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80.xml" ContentType="application/vnd.openxmlformats-officedocument.drawingml.chart+xml"/>
  <Override PartName="/word/theme/themeOverride67.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Override59.xml" ContentType="application/vnd.openxmlformats-officedocument.themeOverride+xml"/>
  <Override PartName="/word/charts/chart81.xml" ContentType="application/vnd.openxmlformats-officedocument.drawingml.chart+xml"/>
  <Override PartName="/word/theme/themeOverride68.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charts/chart70.xml" ContentType="application/vnd.openxmlformats-officedocument.drawingml.chart+xml"/>
  <Override PartName="/word/theme/themeOverride66.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header2.xml" ContentType="application/vnd.openxmlformats-officedocument.wordprocessingml.header+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65.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483" w:rsidRPr="00324483" w:rsidRDefault="00324483" w:rsidP="00324483">
      <w:pPr>
        <w:spacing w:before="0" w:after="80"/>
        <w:jc w:val="center"/>
        <w:rPr>
          <w:rFonts w:ascii="Times New Roman" w:eastAsia="Times New Roman" w:hAnsi="Times New Roman" w:cs="Times New Roman"/>
          <w:b/>
          <w:lang w:eastAsia="ru-RU"/>
        </w:rPr>
      </w:pPr>
      <w:r w:rsidRPr="00324483">
        <w:rPr>
          <w:rFonts w:ascii="Times New Roman" w:eastAsia="Times New Roman" w:hAnsi="Times New Roman" w:cs="Times New Roman"/>
          <w:b/>
          <w:lang w:eastAsia="ru-RU"/>
        </w:rPr>
        <w:t>УПРАВЛЕНИЕ ФЕДЕРАЛЬНОЙ СЛУЖБЫ ПО НАДЗОРУ В СФЕРЕ ЗАЩИТЫ ПРАВ ПОТРЕБИТЕЛЕЙ И БЛАГОПОЛУЧИЯ ЧЕЛОВЕКА ПО БРЯНСКОЙ ОБЛАСТИ</w:t>
      </w:r>
    </w:p>
    <w:p w:rsidR="00324483" w:rsidRPr="0066263B" w:rsidRDefault="00324483" w:rsidP="00324483">
      <w:pPr>
        <w:spacing w:before="4440" w:after="0" w:line="360" w:lineRule="auto"/>
        <w:jc w:val="center"/>
        <w:rPr>
          <w:rFonts w:ascii="Times New Roman" w:eastAsia="Times New Roman" w:hAnsi="Times New Roman" w:cs="Times New Roman"/>
          <w:b/>
          <w:sz w:val="56"/>
          <w:szCs w:val="56"/>
          <w:lang w:eastAsia="ru-RU"/>
        </w:rPr>
      </w:pPr>
      <w:r w:rsidRPr="00324483">
        <w:rPr>
          <w:rFonts w:ascii="Times New Roman" w:eastAsia="Times New Roman" w:hAnsi="Times New Roman" w:cs="Times New Roman"/>
          <w:b/>
          <w:sz w:val="56"/>
          <w:szCs w:val="56"/>
          <w:lang w:eastAsia="ru-RU"/>
        </w:rPr>
        <w:t xml:space="preserve">«О </w:t>
      </w:r>
      <w:r w:rsidRPr="0066263B">
        <w:rPr>
          <w:rFonts w:ascii="Times New Roman" w:eastAsia="Times New Roman" w:hAnsi="Times New Roman" w:cs="Times New Roman"/>
          <w:b/>
          <w:sz w:val="56"/>
          <w:szCs w:val="56"/>
          <w:lang w:eastAsia="ru-RU"/>
        </w:rPr>
        <w:t>состоянии</w:t>
      </w:r>
      <w:r w:rsidRPr="0066263B">
        <w:rPr>
          <w:rFonts w:ascii="Times New Roman" w:eastAsia="Times New Roman" w:hAnsi="Times New Roman" w:cs="Times New Roman"/>
          <w:b/>
          <w:sz w:val="56"/>
          <w:szCs w:val="56"/>
          <w:lang w:eastAsia="ru-RU"/>
        </w:rPr>
        <w:br/>
        <w:t>санитарно-эпидемиологического благополучия населения</w:t>
      </w:r>
      <w:r w:rsidRPr="0066263B">
        <w:rPr>
          <w:rFonts w:ascii="Times New Roman" w:eastAsia="Times New Roman" w:hAnsi="Times New Roman" w:cs="Times New Roman"/>
          <w:b/>
          <w:sz w:val="56"/>
          <w:szCs w:val="56"/>
          <w:lang w:eastAsia="ru-RU"/>
        </w:rPr>
        <w:br/>
        <w:t>в Брянской области в 20</w:t>
      </w:r>
      <w:r w:rsidR="00EC146A" w:rsidRPr="0066263B">
        <w:rPr>
          <w:rFonts w:ascii="Times New Roman" w:eastAsia="Times New Roman" w:hAnsi="Times New Roman" w:cs="Times New Roman"/>
          <w:b/>
          <w:sz w:val="56"/>
          <w:szCs w:val="56"/>
          <w:lang w:eastAsia="ru-RU"/>
        </w:rPr>
        <w:t>2</w:t>
      </w:r>
      <w:r w:rsidR="003A7232" w:rsidRPr="0066263B">
        <w:rPr>
          <w:rFonts w:ascii="Times New Roman" w:eastAsia="Times New Roman" w:hAnsi="Times New Roman" w:cs="Times New Roman"/>
          <w:b/>
          <w:sz w:val="56"/>
          <w:szCs w:val="56"/>
          <w:lang w:eastAsia="ru-RU"/>
        </w:rPr>
        <w:t>1</w:t>
      </w:r>
      <w:r w:rsidRPr="0066263B">
        <w:rPr>
          <w:rFonts w:ascii="Times New Roman" w:eastAsia="Times New Roman" w:hAnsi="Times New Roman" w:cs="Times New Roman"/>
          <w:b/>
          <w:sz w:val="56"/>
          <w:szCs w:val="56"/>
          <w:lang w:eastAsia="ru-RU"/>
        </w:rPr>
        <w:t xml:space="preserve"> году»</w:t>
      </w:r>
    </w:p>
    <w:p w:rsidR="00324483" w:rsidRPr="0066263B" w:rsidRDefault="00324483" w:rsidP="00324483">
      <w:pPr>
        <w:spacing w:before="4680" w:after="0"/>
        <w:jc w:val="center"/>
        <w:rPr>
          <w:rFonts w:ascii="Times New Roman" w:eastAsia="Times New Roman" w:hAnsi="Times New Roman" w:cs="Times New Roman"/>
          <w:b/>
          <w:sz w:val="24"/>
          <w:szCs w:val="24"/>
          <w:lang w:eastAsia="ru-RU"/>
        </w:rPr>
      </w:pPr>
      <w:r w:rsidRPr="0066263B">
        <w:rPr>
          <w:rFonts w:ascii="Times New Roman" w:eastAsia="Times New Roman" w:hAnsi="Times New Roman" w:cs="Times New Roman"/>
          <w:b/>
          <w:sz w:val="24"/>
          <w:szCs w:val="24"/>
          <w:lang w:eastAsia="ru-RU"/>
        </w:rPr>
        <w:t>Брянск • 202</w:t>
      </w:r>
      <w:r w:rsidR="003A7232" w:rsidRPr="0066263B">
        <w:rPr>
          <w:rFonts w:ascii="Times New Roman" w:eastAsia="Times New Roman" w:hAnsi="Times New Roman" w:cs="Times New Roman"/>
          <w:b/>
          <w:sz w:val="24"/>
          <w:szCs w:val="24"/>
          <w:lang w:eastAsia="ru-RU"/>
        </w:rPr>
        <w:t>2</w:t>
      </w: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tbl>
      <w:tblPr>
        <w:tblW w:w="0" w:type="auto"/>
        <w:tblInd w:w="108" w:type="dxa"/>
        <w:tblBorders>
          <w:top w:val="single" w:sz="4" w:space="0" w:color="auto"/>
          <w:left w:val="single" w:sz="4" w:space="0" w:color="auto"/>
          <w:bottom w:val="double" w:sz="12" w:space="0" w:color="auto"/>
          <w:right w:val="single" w:sz="4" w:space="0" w:color="auto"/>
        </w:tblBorders>
        <w:tblLook w:val="01E0"/>
      </w:tblPr>
      <w:tblGrid>
        <w:gridCol w:w="9178"/>
      </w:tblGrid>
      <w:tr w:rsidR="00324483" w:rsidRPr="0066263B" w:rsidTr="00C56F65">
        <w:tc>
          <w:tcPr>
            <w:tcW w:w="9178" w:type="dxa"/>
            <w:tcBorders>
              <w:top w:val="nil"/>
              <w:left w:val="nil"/>
              <w:bottom w:val="double" w:sz="12" w:space="0" w:color="auto"/>
              <w:right w:val="nil"/>
            </w:tcBorders>
          </w:tcPr>
          <w:p w:rsidR="00324483" w:rsidRPr="0066263B" w:rsidRDefault="00324483" w:rsidP="00324483">
            <w:pPr>
              <w:pageBreakBefore/>
              <w:shd w:val="clear" w:color="auto" w:fill="FFFFFF"/>
              <w:jc w:val="center"/>
              <w:rPr>
                <w:rFonts w:ascii="Times New Roman" w:eastAsia="Times New Roman" w:hAnsi="Times New Roman" w:cs="Times New Roman"/>
                <w:b/>
                <w:sz w:val="28"/>
                <w:szCs w:val="28"/>
                <w:lang w:eastAsia="ru-RU"/>
              </w:rPr>
            </w:pPr>
            <w:r w:rsidRPr="0066263B">
              <w:rPr>
                <w:rFonts w:ascii="Times New Roman" w:eastAsia="Times New Roman" w:hAnsi="Times New Roman" w:cs="Times New Roman"/>
                <w:sz w:val="24"/>
                <w:szCs w:val="24"/>
                <w:lang w:eastAsia="ru-RU"/>
              </w:rPr>
              <w:lastRenderedPageBreak/>
              <w:br w:type="page"/>
            </w:r>
            <w:r w:rsidRPr="0066263B">
              <w:rPr>
                <w:rFonts w:ascii="Times New Roman" w:eastAsia="Times New Roman" w:hAnsi="Times New Roman" w:cs="Times New Roman"/>
                <w:b/>
                <w:sz w:val="28"/>
                <w:szCs w:val="28"/>
                <w:lang w:eastAsia="ru-RU"/>
              </w:rPr>
              <w:t>Содержание</w:t>
            </w:r>
          </w:p>
        </w:tc>
      </w:tr>
    </w:tbl>
    <w:p w:rsidR="00324483" w:rsidRPr="0066263B" w:rsidRDefault="00324483" w:rsidP="00324483">
      <w:pPr>
        <w:tabs>
          <w:tab w:val="right" w:leader="dot" w:pos="9060"/>
        </w:tabs>
        <w:spacing w:before="0" w:after="0"/>
        <w:ind w:left="142"/>
        <w:jc w:val="left"/>
        <w:rPr>
          <w:rFonts w:ascii="Times New Roman" w:eastAsia="Times New Roman" w:hAnsi="Times New Roman" w:cs="Times New Roman"/>
          <w:noProof/>
          <w:lang w:eastAsia="ru-RU"/>
        </w:rPr>
      </w:pPr>
    </w:p>
    <w:p w:rsidR="00324483" w:rsidRPr="0066263B" w:rsidRDefault="006C34E2" w:rsidP="00324483">
      <w:pPr>
        <w:tabs>
          <w:tab w:val="right" w:leader="dot" w:pos="9060"/>
        </w:tabs>
        <w:spacing w:before="60" w:after="60"/>
        <w:ind w:left="142"/>
        <w:jc w:val="left"/>
        <w:rPr>
          <w:rFonts w:eastAsiaTheme="minorEastAsia"/>
          <w:noProof/>
          <w:sz w:val="24"/>
          <w:szCs w:val="24"/>
          <w:lang w:eastAsia="ru-RU"/>
        </w:rPr>
      </w:pPr>
      <w:r w:rsidRPr="006C34E2">
        <w:rPr>
          <w:rFonts w:ascii="Times New Roman" w:eastAsia="Times New Roman" w:hAnsi="Times New Roman" w:cs="Times New Roman"/>
          <w:noProof/>
          <w:lang w:eastAsia="ru-RU"/>
        </w:rPr>
        <w:fldChar w:fldCharType="begin"/>
      </w:r>
      <w:r w:rsidR="00324483" w:rsidRPr="0066263B">
        <w:rPr>
          <w:rFonts w:ascii="Times New Roman" w:eastAsia="Times New Roman" w:hAnsi="Times New Roman" w:cs="Times New Roman"/>
          <w:noProof/>
          <w:lang w:eastAsia="ru-RU"/>
        </w:rPr>
        <w:instrText xml:space="preserve"> TOC \o "1-3" \h \z \u </w:instrText>
      </w:r>
      <w:r w:rsidRPr="006C34E2">
        <w:rPr>
          <w:rFonts w:ascii="Times New Roman" w:eastAsia="Times New Roman" w:hAnsi="Times New Roman" w:cs="Times New Roman"/>
          <w:noProof/>
          <w:lang w:eastAsia="ru-RU"/>
        </w:rPr>
        <w:fldChar w:fldCharType="separate"/>
      </w:r>
      <w:hyperlink w:anchor="_Toc2253821" w:history="1">
        <w:r w:rsidR="00324483" w:rsidRPr="0066263B">
          <w:rPr>
            <w:rFonts w:ascii="Times New Roman" w:eastAsia="Times New Roman" w:hAnsi="Times New Roman" w:cs="Times New Roman"/>
            <w:b/>
            <w:noProof/>
            <w:sz w:val="24"/>
            <w:lang w:eastAsia="ru-RU"/>
          </w:rPr>
          <w:t>Введение</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_Toc2253821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3</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142"/>
        <w:jc w:val="left"/>
        <w:rPr>
          <w:rFonts w:eastAsiaTheme="minorEastAsia"/>
          <w:noProof/>
          <w:sz w:val="24"/>
          <w:szCs w:val="24"/>
          <w:lang w:eastAsia="ru-RU"/>
        </w:rPr>
      </w:pPr>
      <w:hyperlink w:anchor="_Toc2253822" w:history="1">
        <w:r w:rsidR="00324483" w:rsidRPr="0066263B">
          <w:rPr>
            <w:rFonts w:ascii="Times New Roman" w:eastAsia="Times New Roman" w:hAnsi="Times New Roman" w:cs="Times New Roman"/>
            <w:b/>
            <w:noProof/>
            <w:sz w:val="24"/>
            <w:lang w:eastAsia="ru-RU"/>
          </w:rPr>
          <w:t>I. Результаты социально-гигиенического мониторинга за отчётный год</w:t>
        </w:r>
        <w:r w:rsidR="00324483" w:rsidRPr="0066263B">
          <w:rPr>
            <w:rFonts w:ascii="Times New Roman" w:eastAsia="Times New Roman" w:hAnsi="Times New Roman" w:cs="Times New Roman"/>
            <w:b/>
            <w:noProof/>
            <w:sz w:val="24"/>
            <w:lang w:eastAsia="ru-RU"/>
          </w:rPr>
          <w:br/>
          <w:t>и в динамике за последние три года</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_Toc2253822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4</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567" w:hanging="425"/>
        <w:jc w:val="left"/>
        <w:rPr>
          <w:rFonts w:eastAsiaTheme="minorEastAsia"/>
          <w:noProof/>
          <w:sz w:val="24"/>
          <w:szCs w:val="24"/>
          <w:lang w:eastAsia="ru-RU"/>
        </w:rPr>
      </w:pPr>
      <w:hyperlink w:anchor="_Toc2253823" w:history="1">
        <w:r w:rsidR="00324483" w:rsidRPr="0066263B">
          <w:rPr>
            <w:rFonts w:ascii="Times New Roman" w:eastAsia="Times New Roman" w:hAnsi="Times New Roman" w:cs="Times New Roman"/>
            <w:noProof/>
            <w:sz w:val="24"/>
            <w:lang w:eastAsia="ru-RU"/>
          </w:rPr>
          <w:t>1.1. Состояние среды обитания и её влияние на здоровье населения</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_Toc2253823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5</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left" w:pos="1320"/>
          <w:tab w:val="right" w:leader="dot" w:pos="9060"/>
        </w:tabs>
        <w:spacing w:before="60" w:after="60"/>
        <w:ind w:left="561"/>
        <w:jc w:val="left"/>
        <w:rPr>
          <w:rFonts w:eastAsiaTheme="minorEastAsia"/>
          <w:noProof/>
          <w:sz w:val="24"/>
          <w:szCs w:val="24"/>
          <w:lang w:eastAsia="ru-RU"/>
        </w:rPr>
      </w:pPr>
      <w:hyperlink w:anchor="_Toc2253824" w:history="1">
        <w:r w:rsidR="00324483" w:rsidRPr="0066263B">
          <w:rPr>
            <w:rFonts w:ascii="Times New Roman" w:eastAsia="TimesNewRomanPS-BoldMT" w:hAnsi="Times New Roman" w:cs="Times New Roman"/>
            <w:bCs/>
            <w:i/>
            <w:noProof/>
            <w:sz w:val="24"/>
          </w:rPr>
          <w:t>Анализ состояния среды обитания</w:t>
        </w:r>
        <w:r w:rsidR="00324483" w:rsidRPr="0066263B">
          <w:rPr>
            <w:rFonts w:ascii="Times New Roman" w:eastAsia="Times New Roman" w:hAnsi="Times New Roman" w:cs="Times New Roman"/>
            <w:bCs/>
            <w:noProof/>
            <w:webHidden/>
            <w:sz w:val="24"/>
            <w:szCs w:val="24"/>
            <w:lang w:eastAsia="ru-RU"/>
          </w:rPr>
          <w:tab/>
        </w:r>
        <w:r w:rsidRPr="0066263B">
          <w:rPr>
            <w:rFonts w:ascii="Times New Roman" w:eastAsia="Times New Roman" w:hAnsi="Times New Roman" w:cs="Times New Roman"/>
            <w:bCs/>
            <w:noProof/>
            <w:webHidden/>
            <w:sz w:val="24"/>
            <w:szCs w:val="24"/>
            <w:lang w:eastAsia="ru-RU"/>
          </w:rPr>
          <w:fldChar w:fldCharType="begin"/>
        </w:r>
        <w:r w:rsidR="00324483" w:rsidRPr="0066263B">
          <w:rPr>
            <w:rFonts w:ascii="Times New Roman" w:eastAsia="Times New Roman" w:hAnsi="Times New Roman" w:cs="Times New Roman"/>
            <w:bCs/>
            <w:noProof/>
            <w:webHidden/>
            <w:sz w:val="24"/>
            <w:szCs w:val="24"/>
            <w:lang w:eastAsia="ru-RU"/>
          </w:rPr>
          <w:instrText xml:space="preserve"> PAGEREF _Toc2253824 \h </w:instrText>
        </w:r>
        <w:r w:rsidRPr="0066263B">
          <w:rPr>
            <w:rFonts w:ascii="Times New Roman" w:eastAsia="Times New Roman" w:hAnsi="Times New Roman" w:cs="Times New Roman"/>
            <w:bCs/>
            <w:noProof/>
            <w:webHidden/>
            <w:sz w:val="24"/>
            <w:szCs w:val="24"/>
            <w:lang w:eastAsia="ru-RU"/>
          </w:rPr>
        </w:r>
        <w:r w:rsidRPr="0066263B">
          <w:rPr>
            <w:rFonts w:ascii="Times New Roman" w:eastAsia="Times New Roman" w:hAnsi="Times New Roman" w:cs="Times New Roman"/>
            <w:bCs/>
            <w:noProof/>
            <w:webHidden/>
            <w:sz w:val="24"/>
            <w:szCs w:val="24"/>
            <w:lang w:eastAsia="ru-RU"/>
          </w:rPr>
          <w:fldChar w:fldCharType="separate"/>
        </w:r>
        <w:r w:rsidR="008118D0">
          <w:rPr>
            <w:rFonts w:ascii="Times New Roman" w:eastAsia="Times New Roman" w:hAnsi="Times New Roman" w:cs="Times New Roman"/>
            <w:bCs/>
            <w:noProof/>
            <w:webHidden/>
            <w:sz w:val="24"/>
            <w:szCs w:val="24"/>
            <w:lang w:eastAsia="ru-RU"/>
          </w:rPr>
          <w:t>5</w:t>
        </w:r>
        <w:r w:rsidRPr="0066263B">
          <w:rPr>
            <w:rFonts w:ascii="Times New Roman" w:eastAsia="Times New Roman" w:hAnsi="Times New Roman" w:cs="Times New Roman"/>
            <w:bCs/>
            <w:noProof/>
            <w:webHidden/>
            <w:sz w:val="24"/>
            <w:szCs w:val="24"/>
            <w:lang w:eastAsia="ru-RU"/>
          </w:rPr>
          <w:fldChar w:fldCharType="end"/>
        </w:r>
      </w:hyperlink>
    </w:p>
    <w:p w:rsidR="00324483" w:rsidRPr="0066263B" w:rsidRDefault="006C34E2" w:rsidP="00324483">
      <w:pPr>
        <w:tabs>
          <w:tab w:val="left" w:pos="1320"/>
          <w:tab w:val="right" w:leader="dot" w:pos="9060"/>
        </w:tabs>
        <w:spacing w:before="60" w:after="60"/>
        <w:ind w:left="561"/>
        <w:jc w:val="left"/>
        <w:rPr>
          <w:rFonts w:eastAsiaTheme="minorEastAsia"/>
          <w:noProof/>
          <w:sz w:val="24"/>
          <w:szCs w:val="24"/>
          <w:lang w:eastAsia="ru-RU"/>
        </w:rPr>
      </w:pPr>
      <w:hyperlink w:anchor="_Toc2253825" w:history="1">
        <w:r w:rsidR="00324483" w:rsidRPr="0066263B">
          <w:rPr>
            <w:rFonts w:ascii="Times New Roman" w:eastAsia="TimesNewRomanPS-BoldMT" w:hAnsi="Times New Roman" w:cs="Times New Roman"/>
            <w:bCs/>
            <w:i/>
            <w:noProof/>
            <w:sz w:val="24"/>
          </w:rPr>
          <w:t>Приоритетные факторы среды обитания, формирующие негативные</w:t>
        </w:r>
        <w:r w:rsidR="00324483" w:rsidRPr="0066263B">
          <w:rPr>
            <w:rFonts w:ascii="Times New Roman" w:eastAsia="TimesNewRomanPS-BoldMT" w:hAnsi="Times New Roman" w:cs="Times New Roman"/>
            <w:bCs/>
            <w:i/>
            <w:noProof/>
            <w:sz w:val="24"/>
          </w:rPr>
          <w:br/>
          <w:t>тенденции в состоянии здоровья населения</w:t>
        </w:r>
        <w:r w:rsidR="00324483" w:rsidRPr="0066263B">
          <w:rPr>
            <w:rFonts w:ascii="Times New Roman" w:eastAsia="Times New Roman" w:hAnsi="Times New Roman" w:cs="Times New Roman"/>
            <w:bCs/>
            <w:noProof/>
            <w:webHidden/>
            <w:sz w:val="24"/>
            <w:szCs w:val="24"/>
            <w:lang w:eastAsia="ru-RU"/>
          </w:rPr>
          <w:tab/>
        </w:r>
        <w:r w:rsidRPr="0066263B">
          <w:rPr>
            <w:rFonts w:ascii="Times New Roman" w:eastAsia="Times New Roman" w:hAnsi="Times New Roman" w:cs="Times New Roman"/>
            <w:bCs/>
            <w:noProof/>
            <w:webHidden/>
            <w:sz w:val="24"/>
            <w:szCs w:val="24"/>
            <w:lang w:eastAsia="ru-RU"/>
          </w:rPr>
          <w:fldChar w:fldCharType="begin"/>
        </w:r>
        <w:r w:rsidR="00324483" w:rsidRPr="0066263B">
          <w:rPr>
            <w:rFonts w:ascii="Times New Roman" w:eastAsia="Times New Roman" w:hAnsi="Times New Roman" w:cs="Times New Roman"/>
            <w:bCs/>
            <w:noProof/>
            <w:webHidden/>
            <w:sz w:val="24"/>
            <w:szCs w:val="24"/>
            <w:lang w:eastAsia="ru-RU"/>
          </w:rPr>
          <w:instrText xml:space="preserve"> PAGEREF _Toc2253825 \h </w:instrText>
        </w:r>
        <w:r w:rsidRPr="0066263B">
          <w:rPr>
            <w:rFonts w:ascii="Times New Roman" w:eastAsia="Times New Roman" w:hAnsi="Times New Roman" w:cs="Times New Roman"/>
            <w:bCs/>
            <w:noProof/>
            <w:webHidden/>
            <w:sz w:val="24"/>
            <w:szCs w:val="24"/>
            <w:lang w:eastAsia="ru-RU"/>
          </w:rPr>
        </w:r>
        <w:r w:rsidRPr="0066263B">
          <w:rPr>
            <w:rFonts w:ascii="Times New Roman" w:eastAsia="Times New Roman" w:hAnsi="Times New Roman" w:cs="Times New Roman"/>
            <w:bCs/>
            <w:noProof/>
            <w:webHidden/>
            <w:sz w:val="24"/>
            <w:szCs w:val="24"/>
            <w:lang w:eastAsia="ru-RU"/>
          </w:rPr>
          <w:fldChar w:fldCharType="separate"/>
        </w:r>
        <w:r w:rsidR="008118D0">
          <w:rPr>
            <w:rFonts w:ascii="Times New Roman" w:eastAsia="Times New Roman" w:hAnsi="Times New Roman" w:cs="Times New Roman"/>
            <w:bCs/>
            <w:noProof/>
            <w:webHidden/>
            <w:sz w:val="24"/>
            <w:szCs w:val="24"/>
            <w:lang w:eastAsia="ru-RU"/>
          </w:rPr>
          <w:t>7</w:t>
        </w:r>
        <w:r w:rsidRPr="0066263B">
          <w:rPr>
            <w:rFonts w:ascii="Times New Roman" w:eastAsia="Times New Roman" w:hAnsi="Times New Roman" w:cs="Times New Roman"/>
            <w:bCs/>
            <w:noProof/>
            <w:webHidden/>
            <w:sz w:val="24"/>
            <w:szCs w:val="24"/>
            <w:lang w:eastAsia="ru-RU"/>
          </w:rPr>
          <w:fldChar w:fldCharType="end"/>
        </w:r>
      </w:hyperlink>
    </w:p>
    <w:p w:rsidR="00324483" w:rsidRPr="0066263B" w:rsidRDefault="006C34E2" w:rsidP="00324483">
      <w:pPr>
        <w:tabs>
          <w:tab w:val="right" w:leader="dot" w:pos="9060"/>
        </w:tabs>
        <w:spacing w:before="60" w:after="60"/>
        <w:ind w:left="567" w:hanging="425"/>
        <w:jc w:val="left"/>
        <w:rPr>
          <w:rFonts w:eastAsiaTheme="minorEastAsia"/>
          <w:noProof/>
          <w:sz w:val="24"/>
          <w:szCs w:val="24"/>
          <w:lang w:eastAsia="ru-RU"/>
        </w:rPr>
      </w:pPr>
      <w:hyperlink w:anchor="_Toc2253826" w:history="1">
        <w:r w:rsidR="00324483" w:rsidRPr="0066263B">
          <w:rPr>
            <w:rFonts w:ascii="Times New Roman" w:eastAsia="Times New Roman" w:hAnsi="Times New Roman" w:cs="Times New Roman"/>
            <w:noProof/>
            <w:sz w:val="24"/>
            <w:lang w:eastAsia="ru-RU"/>
          </w:rPr>
          <w:t>1.2. Анализ состояния заболеваемости массовыми неинфекционными</w:t>
        </w:r>
        <w:r w:rsidR="00324483" w:rsidRPr="0066263B">
          <w:rPr>
            <w:rFonts w:ascii="Times New Roman" w:eastAsia="Times New Roman" w:hAnsi="Times New Roman" w:cs="Times New Roman"/>
            <w:noProof/>
            <w:sz w:val="24"/>
            <w:lang w:eastAsia="ru-RU"/>
          </w:rPr>
          <w:br/>
          <w:t>заболеваниями (отравлениями) и приоритетными заболеваниями в связи с вредным воздействием факторов среды обитания</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_Toc2253826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84</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left" w:pos="1320"/>
          <w:tab w:val="right" w:leader="dot" w:pos="9060"/>
        </w:tabs>
        <w:spacing w:before="60" w:after="60"/>
        <w:ind w:left="561"/>
        <w:jc w:val="left"/>
        <w:rPr>
          <w:rFonts w:eastAsiaTheme="minorEastAsia"/>
          <w:noProof/>
          <w:sz w:val="24"/>
          <w:szCs w:val="24"/>
          <w:lang w:eastAsia="ru-RU"/>
        </w:rPr>
      </w:pPr>
      <w:hyperlink w:anchor="_Toc2253827" w:history="1">
        <w:r w:rsidR="00324483" w:rsidRPr="0066263B">
          <w:rPr>
            <w:rFonts w:ascii="Times New Roman" w:eastAsia="TimesNewRomanPS-BoldMT" w:hAnsi="Times New Roman" w:cs="Times New Roman"/>
            <w:bCs/>
            <w:i/>
            <w:noProof/>
            <w:sz w:val="24"/>
          </w:rPr>
          <w:t>Анализ состояния заболеваемости в связи с вредным воздействием</w:t>
        </w:r>
        <w:r w:rsidR="00324483" w:rsidRPr="0066263B">
          <w:rPr>
            <w:rFonts w:ascii="Times New Roman" w:eastAsia="TimesNewRomanPS-BoldMT" w:hAnsi="Times New Roman" w:cs="Times New Roman"/>
            <w:bCs/>
            <w:i/>
            <w:noProof/>
            <w:sz w:val="24"/>
          </w:rPr>
          <w:br/>
          <w:t>факторов среды обитания</w:t>
        </w:r>
        <w:r w:rsidR="00324483" w:rsidRPr="0066263B">
          <w:rPr>
            <w:rFonts w:ascii="Times New Roman" w:eastAsia="Times New Roman" w:hAnsi="Times New Roman" w:cs="Times New Roman"/>
            <w:bCs/>
            <w:noProof/>
            <w:webHidden/>
            <w:sz w:val="24"/>
            <w:szCs w:val="24"/>
            <w:lang w:eastAsia="ru-RU"/>
          </w:rPr>
          <w:tab/>
        </w:r>
        <w:r w:rsidRPr="0066263B">
          <w:rPr>
            <w:rFonts w:ascii="Times New Roman" w:eastAsia="Times New Roman" w:hAnsi="Times New Roman" w:cs="Times New Roman"/>
            <w:bCs/>
            <w:noProof/>
            <w:webHidden/>
            <w:sz w:val="24"/>
            <w:szCs w:val="24"/>
            <w:lang w:eastAsia="ru-RU"/>
          </w:rPr>
          <w:fldChar w:fldCharType="begin"/>
        </w:r>
        <w:r w:rsidR="00324483" w:rsidRPr="0066263B">
          <w:rPr>
            <w:rFonts w:ascii="Times New Roman" w:eastAsia="Times New Roman" w:hAnsi="Times New Roman" w:cs="Times New Roman"/>
            <w:bCs/>
            <w:noProof/>
            <w:webHidden/>
            <w:sz w:val="24"/>
            <w:szCs w:val="24"/>
            <w:lang w:eastAsia="ru-RU"/>
          </w:rPr>
          <w:instrText xml:space="preserve"> PAGEREF _Toc2253827 \h </w:instrText>
        </w:r>
        <w:r w:rsidRPr="0066263B">
          <w:rPr>
            <w:rFonts w:ascii="Times New Roman" w:eastAsia="Times New Roman" w:hAnsi="Times New Roman" w:cs="Times New Roman"/>
            <w:bCs/>
            <w:noProof/>
            <w:webHidden/>
            <w:sz w:val="24"/>
            <w:szCs w:val="24"/>
            <w:lang w:eastAsia="ru-RU"/>
          </w:rPr>
        </w:r>
        <w:r w:rsidRPr="0066263B">
          <w:rPr>
            <w:rFonts w:ascii="Times New Roman" w:eastAsia="Times New Roman" w:hAnsi="Times New Roman" w:cs="Times New Roman"/>
            <w:bCs/>
            <w:noProof/>
            <w:webHidden/>
            <w:sz w:val="24"/>
            <w:szCs w:val="24"/>
            <w:lang w:eastAsia="ru-RU"/>
          </w:rPr>
          <w:fldChar w:fldCharType="separate"/>
        </w:r>
        <w:r w:rsidR="008118D0">
          <w:rPr>
            <w:rFonts w:ascii="Times New Roman" w:eastAsia="Times New Roman" w:hAnsi="Times New Roman" w:cs="Times New Roman"/>
            <w:bCs/>
            <w:noProof/>
            <w:webHidden/>
            <w:sz w:val="24"/>
            <w:szCs w:val="24"/>
            <w:lang w:eastAsia="ru-RU"/>
          </w:rPr>
          <w:t>84</w:t>
        </w:r>
        <w:r w:rsidRPr="0066263B">
          <w:rPr>
            <w:rFonts w:ascii="Times New Roman" w:eastAsia="Times New Roman" w:hAnsi="Times New Roman" w:cs="Times New Roman"/>
            <w:bCs/>
            <w:noProof/>
            <w:webHidden/>
            <w:sz w:val="24"/>
            <w:szCs w:val="24"/>
            <w:lang w:eastAsia="ru-RU"/>
          </w:rPr>
          <w:fldChar w:fldCharType="end"/>
        </w:r>
      </w:hyperlink>
    </w:p>
    <w:p w:rsidR="00324483" w:rsidRPr="0066263B" w:rsidRDefault="006C34E2" w:rsidP="00324483">
      <w:pPr>
        <w:tabs>
          <w:tab w:val="left" w:pos="1320"/>
          <w:tab w:val="right" w:leader="dot" w:pos="9060"/>
        </w:tabs>
        <w:spacing w:before="60" w:after="60"/>
        <w:ind w:left="561"/>
        <w:jc w:val="left"/>
        <w:rPr>
          <w:rFonts w:eastAsiaTheme="minorEastAsia"/>
          <w:noProof/>
          <w:sz w:val="24"/>
          <w:szCs w:val="24"/>
          <w:lang w:eastAsia="ru-RU"/>
        </w:rPr>
      </w:pPr>
      <w:hyperlink w:anchor="_Toc2253828" w:history="1">
        <w:r w:rsidR="00324483" w:rsidRPr="0066263B">
          <w:rPr>
            <w:rFonts w:ascii="Times New Roman" w:eastAsia="TimesNewRomanPS-BoldMT" w:hAnsi="Times New Roman" w:cs="Times New Roman"/>
            <w:bCs/>
            <w:i/>
            <w:noProof/>
            <w:sz w:val="24"/>
          </w:rPr>
          <w:t>Сведения о профессиональной заболеваемости</w:t>
        </w:r>
        <w:r w:rsidR="00324483" w:rsidRPr="0066263B">
          <w:rPr>
            <w:rFonts w:ascii="Times New Roman" w:eastAsia="Times New Roman" w:hAnsi="Times New Roman" w:cs="Times New Roman"/>
            <w:bCs/>
            <w:noProof/>
            <w:webHidden/>
            <w:sz w:val="24"/>
            <w:szCs w:val="24"/>
            <w:lang w:eastAsia="ru-RU"/>
          </w:rPr>
          <w:tab/>
        </w:r>
        <w:r w:rsidRPr="0066263B">
          <w:rPr>
            <w:rFonts w:ascii="Times New Roman" w:eastAsia="Times New Roman" w:hAnsi="Times New Roman" w:cs="Times New Roman"/>
            <w:bCs/>
            <w:noProof/>
            <w:webHidden/>
            <w:sz w:val="24"/>
            <w:szCs w:val="24"/>
            <w:lang w:eastAsia="ru-RU"/>
          </w:rPr>
          <w:fldChar w:fldCharType="begin"/>
        </w:r>
        <w:r w:rsidR="00324483" w:rsidRPr="0066263B">
          <w:rPr>
            <w:rFonts w:ascii="Times New Roman" w:eastAsia="Times New Roman" w:hAnsi="Times New Roman" w:cs="Times New Roman"/>
            <w:bCs/>
            <w:noProof/>
            <w:webHidden/>
            <w:sz w:val="24"/>
            <w:szCs w:val="24"/>
            <w:lang w:eastAsia="ru-RU"/>
          </w:rPr>
          <w:instrText xml:space="preserve"> PAGEREF _Toc2253828 \h </w:instrText>
        </w:r>
        <w:r w:rsidRPr="0066263B">
          <w:rPr>
            <w:rFonts w:ascii="Times New Roman" w:eastAsia="Times New Roman" w:hAnsi="Times New Roman" w:cs="Times New Roman"/>
            <w:bCs/>
            <w:noProof/>
            <w:webHidden/>
            <w:sz w:val="24"/>
            <w:szCs w:val="24"/>
            <w:lang w:eastAsia="ru-RU"/>
          </w:rPr>
        </w:r>
        <w:r w:rsidRPr="0066263B">
          <w:rPr>
            <w:rFonts w:ascii="Times New Roman" w:eastAsia="Times New Roman" w:hAnsi="Times New Roman" w:cs="Times New Roman"/>
            <w:bCs/>
            <w:noProof/>
            <w:webHidden/>
            <w:sz w:val="24"/>
            <w:szCs w:val="24"/>
            <w:lang w:eastAsia="ru-RU"/>
          </w:rPr>
          <w:fldChar w:fldCharType="separate"/>
        </w:r>
        <w:r w:rsidR="008118D0">
          <w:rPr>
            <w:rFonts w:ascii="Times New Roman" w:eastAsia="Times New Roman" w:hAnsi="Times New Roman" w:cs="Times New Roman"/>
            <w:bCs/>
            <w:noProof/>
            <w:webHidden/>
            <w:sz w:val="24"/>
            <w:szCs w:val="24"/>
            <w:lang w:eastAsia="ru-RU"/>
          </w:rPr>
          <w:t>98</w:t>
        </w:r>
        <w:r w:rsidRPr="0066263B">
          <w:rPr>
            <w:rFonts w:ascii="Times New Roman" w:eastAsia="Times New Roman" w:hAnsi="Times New Roman" w:cs="Times New Roman"/>
            <w:bCs/>
            <w:noProof/>
            <w:webHidden/>
            <w:sz w:val="24"/>
            <w:szCs w:val="24"/>
            <w:lang w:eastAsia="ru-RU"/>
          </w:rPr>
          <w:fldChar w:fldCharType="end"/>
        </w:r>
      </w:hyperlink>
    </w:p>
    <w:p w:rsidR="00324483" w:rsidRPr="0066263B" w:rsidRDefault="006C34E2" w:rsidP="00324483">
      <w:pPr>
        <w:tabs>
          <w:tab w:val="right" w:leader="dot" w:pos="9060"/>
        </w:tabs>
        <w:spacing w:before="60" w:after="60"/>
        <w:ind w:left="567" w:hanging="425"/>
        <w:jc w:val="left"/>
        <w:rPr>
          <w:rFonts w:eastAsiaTheme="minorEastAsia"/>
          <w:noProof/>
          <w:sz w:val="24"/>
          <w:szCs w:val="24"/>
          <w:lang w:eastAsia="ru-RU"/>
        </w:rPr>
      </w:pPr>
      <w:hyperlink w:anchor="_Toc2253829" w:history="1">
        <w:r w:rsidR="00324483" w:rsidRPr="0066263B">
          <w:rPr>
            <w:rFonts w:ascii="Times New Roman" w:eastAsia="Times New Roman" w:hAnsi="Times New Roman" w:cs="Times New Roman"/>
            <w:noProof/>
            <w:sz w:val="24"/>
            <w:lang w:eastAsia="ru-RU"/>
          </w:rPr>
          <w:t>1.3. Сведения об инфекционной и паразитарной заболеваемости</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_Toc2253829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102</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142"/>
        <w:jc w:val="left"/>
        <w:rPr>
          <w:rFonts w:eastAsiaTheme="minorEastAsia"/>
          <w:noProof/>
          <w:sz w:val="24"/>
          <w:szCs w:val="24"/>
          <w:lang w:eastAsia="ru-RU"/>
        </w:rPr>
      </w:pPr>
      <w:hyperlink w:anchor="_Toc2253830" w:history="1">
        <w:r w:rsidR="00324483" w:rsidRPr="0066263B">
          <w:rPr>
            <w:rFonts w:ascii="Times New Roman" w:eastAsia="Times New Roman" w:hAnsi="Times New Roman" w:cs="Times New Roman"/>
            <w:b/>
            <w:noProof/>
            <w:sz w:val="24"/>
            <w:lang w:eastAsia="ru-RU"/>
          </w:rPr>
          <w:t>II. Основные меры по улучшению состояния среды обитания и</w:t>
        </w:r>
        <w:r w:rsidR="00324483" w:rsidRPr="0066263B">
          <w:rPr>
            <w:rFonts w:ascii="Times New Roman" w:eastAsia="Times New Roman" w:hAnsi="Times New Roman" w:cs="Times New Roman"/>
            <w:b/>
            <w:noProof/>
            <w:sz w:val="24"/>
            <w:lang w:eastAsia="ru-RU"/>
          </w:rPr>
          <w:br/>
          <w:t>здоровья населения</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_Toc2253830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150</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567" w:hanging="425"/>
        <w:jc w:val="left"/>
        <w:rPr>
          <w:rFonts w:eastAsiaTheme="minorEastAsia"/>
          <w:noProof/>
          <w:sz w:val="24"/>
          <w:szCs w:val="24"/>
          <w:lang w:eastAsia="ru-RU"/>
        </w:rPr>
      </w:pPr>
      <w:hyperlink w:anchor="_Toc2253831" w:history="1">
        <w:r w:rsidR="00324483" w:rsidRPr="0066263B">
          <w:rPr>
            <w:rFonts w:ascii="Times New Roman" w:eastAsia="Times New Roman" w:hAnsi="Times New Roman" w:cs="Times New Roman"/>
            <w:noProof/>
            <w:sz w:val="24"/>
            <w:lang w:eastAsia="ru-RU"/>
          </w:rPr>
          <w:t>2.1. Основные меры по улучшению состояния среды обитания</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_Toc2253831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150</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567" w:hanging="425"/>
        <w:jc w:val="left"/>
        <w:rPr>
          <w:rFonts w:eastAsiaTheme="minorEastAsia"/>
          <w:noProof/>
          <w:sz w:val="24"/>
          <w:szCs w:val="24"/>
          <w:lang w:eastAsia="ru-RU"/>
        </w:rPr>
      </w:pPr>
      <w:hyperlink w:anchor="_Toc2253832" w:history="1">
        <w:r w:rsidR="00324483" w:rsidRPr="0066263B">
          <w:rPr>
            <w:rFonts w:ascii="Times New Roman" w:eastAsia="Times New Roman" w:hAnsi="Times New Roman" w:cs="Times New Roman"/>
            <w:noProof/>
            <w:sz w:val="24"/>
            <w:lang w:eastAsia="ru-RU"/>
          </w:rPr>
          <w:t>2.2. Основные меры по профилактике массовых неинфекционных</w:t>
        </w:r>
        <w:r w:rsidR="00324483" w:rsidRPr="0066263B">
          <w:rPr>
            <w:rFonts w:ascii="Times New Roman" w:eastAsia="Times New Roman" w:hAnsi="Times New Roman" w:cs="Times New Roman"/>
            <w:noProof/>
            <w:sz w:val="24"/>
            <w:lang w:eastAsia="ru-RU"/>
          </w:rPr>
          <w:br/>
          <w:t>(отравлений) и приоритетных заболеваний в связи с вредным</w:t>
        </w:r>
        <w:r w:rsidR="00324483" w:rsidRPr="0066263B">
          <w:rPr>
            <w:rFonts w:ascii="Times New Roman" w:eastAsia="Times New Roman" w:hAnsi="Times New Roman" w:cs="Times New Roman"/>
            <w:noProof/>
            <w:sz w:val="24"/>
            <w:lang w:eastAsia="ru-RU"/>
          </w:rPr>
          <w:br/>
          <w:t>воздействием факторов среды обитания</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_Toc2253832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162</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567" w:hanging="425"/>
        <w:jc w:val="left"/>
        <w:rPr>
          <w:rFonts w:eastAsiaTheme="minorEastAsia"/>
          <w:noProof/>
          <w:sz w:val="24"/>
          <w:szCs w:val="24"/>
          <w:lang w:eastAsia="ru-RU"/>
        </w:rPr>
      </w:pPr>
      <w:hyperlink w:anchor="_Toc2253833" w:history="1">
        <w:r w:rsidR="00324483" w:rsidRPr="0066263B">
          <w:rPr>
            <w:rFonts w:ascii="Times New Roman" w:eastAsia="Times New Roman" w:hAnsi="Times New Roman" w:cs="Times New Roman"/>
            <w:noProof/>
            <w:sz w:val="24"/>
            <w:lang w:eastAsia="ru-RU"/>
          </w:rPr>
          <w:t>2.3. Основные меры по профилактике инфекционной и паразитарной</w:t>
        </w:r>
        <w:r w:rsidR="00324483" w:rsidRPr="0066263B">
          <w:rPr>
            <w:rFonts w:ascii="Times New Roman" w:eastAsia="Times New Roman" w:hAnsi="Times New Roman" w:cs="Times New Roman"/>
            <w:noProof/>
            <w:sz w:val="24"/>
            <w:lang w:eastAsia="ru-RU"/>
          </w:rPr>
          <w:br/>
          <w:t>заболеваемости</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_Toc2253833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168</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142"/>
        <w:jc w:val="left"/>
        <w:rPr>
          <w:rFonts w:eastAsiaTheme="minorEastAsia"/>
          <w:noProof/>
          <w:sz w:val="24"/>
          <w:szCs w:val="24"/>
          <w:lang w:eastAsia="ru-RU"/>
        </w:rPr>
      </w:pPr>
      <w:hyperlink w:anchor="_Toc2253834" w:history="1">
        <w:r w:rsidR="00324483" w:rsidRPr="0066263B">
          <w:rPr>
            <w:rFonts w:ascii="Times New Roman" w:eastAsia="Times New Roman" w:hAnsi="Times New Roman" w:cs="Times New Roman"/>
            <w:b/>
            <w:noProof/>
            <w:sz w:val="24"/>
            <w:lang w:eastAsia="ru-RU"/>
          </w:rPr>
          <w:t>III. Достигнутые результаты улучшения санитарно-эпидемиологической обстановки в Брянской области, имеющиеся проблемные вопросы</w:t>
        </w:r>
        <w:r w:rsidR="00324483" w:rsidRPr="0066263B">
          <w:rPr>
            <w:rFonts w:ascii="Times New Roman" w:eastAsia="Times New Roman" w:hAnsi="Times New Roman" w:cs="Times New Roman"/>
            <w:b/>
            <w:noProof/>
            <w:sz w:val="24"/>
            <w:lang w:eastAsia="ru-RU"/>
          </w:rPr>
          <w:br/>
          <w:t>при обеспечении санитарно-эпидемиологического благополучия</w:t>
        </w:r>
        <w:r w:rsidR="00324483" w:rsidRPr="0066263B">
          <w:rPr>
            <w:rFonts w:ascii="Times New Roman" w:eastAsia="Times New Roman" w:hAnsi="Times New Roman" w:cs="Times New Roman"/>
            <w:b/>
            <w:noProof/>
            <w:sz w:val="24"/>
            <w:lang w:eastAsia="ru-RU"/>
          </w:rPr>
          <w:br/>
          <w:t>и намечаемые меры по их решению</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_Toc2253834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170</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567" w:hanging="425"/>
        <w:jc w:val="left"/>
        <w:rPr>
          <w:rFonts w:eastAsiaTheme="minorEastAsia"/>
          <w:noProof/>
          <w:sz w:val="24"/>
          <w:szCs w:val="24"/>
          <w:lang w:eastAsia="ru-RU"/>
        </w:rPr>
      </w:pPr>
      <w:hyperlink w:anchor="_Toc2253835" w:history="1">
        <w:r w:rsidR="00324483" w:rsidRPr="0066263B">
          <w:rPr>
            <w:rFonts w:ascii="Times New Roman" w:eastAsia="Times New Roman" w:hAnsi="Times New Roman" w:cs="Times New Roman"/>
            <w:noProof/>
            <w:sz w:val="24"/>
            <w:lang w:eastAsia="ru-RU"/>
          </w:rPr>
          <w:t>3.1. Анализ и оценка эффективности достижения индикативных показателей деятельности по улучшению санитарно-эпидемиологического</w:t>
        </w:r>
        <w:r w:rsidR="00324483" w:rsidRPr="0066263B">
          <w:rPr>
            <w:rFonts w:ascii="Times New Roman" w:eastAsia="Times New Roman" w:hAnsi="Times New Roman" w:cs="Times New Roman"/>
            <w:noProof/>
            <w:sz w:val="24"/>
            <w:lang w:eastAsia="ru-RU"/>
          </w:rPr>
          <w:br/>
          <w:t>благополучия населения Брянской области</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_Toc2253835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170</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567" w:hanging="425"/>
        <w:jc w:val="left"/>
        <w:rPr>
          <w:rFonts w:eastAsiaTheme="minorEastAsia"/>
          <w:noProof/>
          <w:sz w:val="24"/>
          <w:szCs w:val="24"/>
          <w:lang w:eastAsia="ru-RU"/>
        </w:rPr>
      </w:pPr>
      <w:hyperlink w:anchor="_Toc2253836" w:history="1">
        <w:r w:rsidR="00324483" w:rsidRPr="0066263B">
          <w:rPr>
            <w:rFonts w:ascii="Times New Roman" w:eastAsia="Times New Roman" w:hAnsi="Times New Roman" w:cs="Times New Roman"/>
            <w:noProof/>
            <w:sz w:val="24"/>
            <w:lang w:eastAsia="ru-RU"/>
          </w:rPr>
          <w:t>3.2. Проблемные вопросы при обеспечении санитарно-эпидемиологического благополучия и намечаемые меры по их решению</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_Toc2253836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179</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567" w:hanging="425"/>
        <w:jc w:val="left"/>
        <w:rPr>
          <w:rFonts w:eastAsiaTheme="minorEastAsia"/>
          <w:noProof/>
          <w:sz w:val="24"/>
          <w:szCs w:val="24"/>
          <w:lang w:eastAsia="ru-RU"/>
        </w:rPr>
      </w:pPr>
      <w:hyperlink w:anchor="_Toc2253837" w:history="1">
        <w:r w:rsidR="00324483" w:rsidRPr="0066263B">
          <w:rPr>
            <w:rFonts w:ascii="Times New Roman" w:eastAsia="Times New Roman" w:hAnsi="Times New Roman" w:cs="Times New Roman"/>
            <w:noProof/>
            <w:sz w:val="24"/>
            <w:lang w:eastAsia="ru-RU"/>
          </w:rPr>
          <w:t>3.3. Выполнение мер по реализации международных актов и нормативных</w:t>
        </w:r>
        <w:r w:rsidR="00324483" w:rsidRPr="0066263B">
          <w:rPr>
            <w:rFonts w:ascii="Times New Roman" w:eastAsia="Times New Roman" w:hAnsi="Times New Roman" w:cs="Times New Roman"/>
            <w:noProof/>
            <w:sz w:val="24"/>
            <w:lang w:eastAsia="ru-RU"/>
          </w:rPr>
          <w:br/>
          <w:t>правовых актов Российской Федерации, принятых в целях обеспечения санитарно-эпидемиологического благополучия населения</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_Toc2253837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180</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tabs>
          <w:tab w:val="right" w:leader="dot" w:pos="9060"/>
        </w:tabs>
        <w:spacing w:before="60" w:after="60"/>
        <w:ind w:left="142"/>
        <w:jc w:val="left"/>
        <w:rPr>
          <w:rFonts w:eastAsiaTheme="minorEastAsia"/>
          <w:noProof/>
          <w:sz w:val="24"/>
          <w:szCs w:val="24"/>
          <w:lang w:eastAsia="ru-RU"/>
        </w:rPr>
      </w:pPr>
      <w:hyperlink w:anchor="_Toc2253838" w:history="1">
        <w:r w:rsidR="00324483" w:rsidRPr="0066263B">
          <w:rPr>
            <w:rFonts w:ascii="Times New Roman" w:eastAsia="Times New Roman" w:hAnsi="Times New Roman" w:cs="Times New Roman"/>
            <w:b/>
            <w:noProof/>
            <w:sz w:val="24"/>
            <w:lang w:eastAsia="ru-RU"/>
          </w:rPr>
          <w:t>Заключение</w:t>
        </w:r>
        <w:r w:rsidR="00324483" w:rsidRPr="0066263B">
          <w:rPr>
            <w:rFonts w:ascii="Times New Roman" w:eastAsia="Times New Roman" w:hAnsi="Times New Roman" w:cs="Times New Roman"/>
            <w:noProof/>
            <w:webHidden/>
            <w:sz w:val="24"/>
            <w:szCs w:val="24"/>
            <w:lang w:eastAsia="ru-RU"/>
          </w:rPr>
          <w:tab/>
        </w:r>
        <w:r w:rsidRPr="0066263B">
          <w:rPr>
            <w:rFonts w:ascii="Times New Roman" w:eastAsia="Times New Roman" w:hAnsi="Times New Roman" w:cs="Times New Roman"/>
            <w:noProof/>
            <w:webHidden/>
            <w:sz w:val="24"/>
            <w:szCs w:val="24"/>
            <w:lang w:eastAsia="ru-RU"/>
          </w:rPr>
          <w:fldChar w:fldCharType="begin"/>
        </w:r>
        <w:r w:rsidR="00324483" w:rsidRPr="0066263B">
          <w:rPr>
            <w:rFonts w:ascii="Times New Roman" w:eastAsia="Times New Roman" w:hAnsi="Times New Roman" w:cs="Times New Roman"/>
            <w:noProof/>
            <w:webHidden/>
            <w:sz w:val="24"/>
            <w:szCs w:val="24"/>
            <w:lang w:eastAsia="ru-RU"/>
          </w:rPr>
          <w:instrText xml:space="preserve"> PAGEREF _Toc2253838 \h </w:instrText>
        </w:r>
        <w:r w:rsidRPr="0066263B">
          <w:rPr>
            <w:rFonts w:ascii="Times New Roman" w:eastAsia="Times New Roman" w:hAnsi="Times New Roman" w:cs="Times New Roman"/>
            <w:noProof/>
            <w:webHidden/>
            <w:sz w:val="24"/>
            <w:szCs w:val="24"/>
            <w:lang w:eastAsia="ru-RU"/>
          </w:rPr>
        </w:r>
        <w:r w:rsidRPr="0066263B">
          <w:rPr>
            <w:rFonts w:ascii="Times New Roman" w:eastAsia="Times New Roman" w:hAnsi="Times New Roman" w:cs="Times New Roman"/>
            <w:noProof/>
            <w:webHidden/>
            <w:sz w:val="24"/>
            <w:szCs w:val="24"/>
            <w:lang w:eastAsia="ru-RU"/>
          </w:rPr>
          <w:fldChar w:fldCharType="separate"/>
        </w:r>
        <w:r w:rsidR="008118D0">
          <w:rPr>
            <w:rFonts w:ascii="Times New Roman" w:eastAsia="Times New Roman" w:hAnsi="Times New Roman" w:cs="Times New Roman"/>
            <w:noProof/>
            <w:webHidden/>
            <w:sz w:val="24"/>
            <w:szCs w:val="24"/>
            <w:lang w:eastAsia="ru-RU"/>
          </w:rPr>
          <w:t>183</w:t>
        </w:r>
        <w:r w:rsidRPr="0066263B">
          <w:rPr>
            <w:rFonts w:ascii="Times New Roman" w:eastAsia="Times New Roman" w:hAnsi="Times New Roman" w:cs="Times New Roman"/>
            <w:noProof/>
            <w:webHidden/>
            <w:sz w:val="24"/>
            <w:szCs w:val="24"/>
            <w:lang w:eastAsia="ru-RU"/>
          </w:rPr>
          <w:fldChar w:fldCharType="end"/>
        </w:r>
      </w:hyperlink>
    </w:p>
    <w:p w:rsidR="00324483" w:rsidRPr="0066263B" w:rsidRDefault="006C34E2" w:rsidP="00324483">
      <w:pPr>
        <w:spacing w:before="0" w:after="0"/>
        <w:jc w:val="left"/>
        <w:rPr>
          <w:rFonts w:ascii="Times New Roman" w:eastAsia="Times New Roman" w:hAnsi="Times New Roman" w:cs="Times New Roman"/>
          <w:b/>
          <w:sz w:val="24"/>
          <w:szCs w:val="24"/>
          <w:lang w:eastAsia="ru-RU"/>
        </w:rPr>
      </w:pPr>
      <w:r w:rsidRPr="0066263B">
        <w:rPr>
          <w:rFonts w:ascii="Times New Roman" w:eastAsia="Times New Roman" w:hAnsi="Times New Roman" w:cs="Times New Roman"/>
          <w:b/>
          <w:sz w:val="24"/>
          <w:szCs w:val="24"/>
          <w:lang w:eastAsia="ru-RU"/>
        </w:rPr>
        <w:fldChar w:fldCharType="end"/>
      </w:r>
    </w:p>
    <w:tbl>
      <w:tblPr>
        <w:tblW w:w="0" w:type="auto"/>
        <w:tblInd w:w="108" w:type="dxa"/>
        <w:tblLook w:val="04A0"/>
      </w:tblPr>
      <w:tblGrid>
        <w:gridCol w:w="9072"/>
      </w:tblGrid>
      <w:tr w:rsidR="00324483" w:rsidRPr="0066263B" w:rsidTr="00C56F65">
        <w:tc>
          <w:tcPr>
            <w:tcW w:w="9072" w:type="dxa"/>
            <w:tcBorders>
              <w:bottom w:val="double" w:sz="18" w:space="0" w:color="auto"/>
            </w:tcBorders>
          </w:tcPr>
          <w:p w:rsidR="00324483" w:rsidRPr="0066263B" w:rsidRDefault="00324483" w:rsidP="00324483">
            <w:pPr>
              <w:pageBreakBefore/>
              <w:jc w:val="center"/>
              <w:outlineLvl w:val="0"/>
              <w:rPr>
                <w:rFonts w:ascii="Times New Roman" w:eastAsia="Times New Roman" w:hAnsi="Times New Roman" w:cs="Times New Roman"/>
                <w:b/>
                <w:sz w:val="24"/>
                <w:szCs w:val="24"/>
                <w:lang w:eastAsia="ru-RU"/>
              </w:rPr>
            </w:pPr>
            <w:bookmarkStart w:id="0" w:name="_Toc2253821"/>
            <w:r w:rsidRPr="0066263B">
              <w:rPr>
                <w:rFonts w:ascii="Times New Roman" w:eastAsia="Times New Roman" w:hAnsi="Times New Roman" w:cs="Times New Roman"/>
                <w:b/>
                <w:sz w:val="28"/>
                <w:szCs w:val="28"/>
                <w:lang w:eastAsia="ru-RU"/>
              </w:rPr>
              <w:lastRenderedPageBreak/>
              <w:t>Введение</w:t>
            </w:r>
            <w:bookmarkEnd w:id="0"/>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Деятельность органов и организаций Роспотребнадзора по Брянской области в 20</w:t>
      </w:r>
      <w:r w:rsidR="003A7232" w:rsidRPr="0066263B">
        <w:rPr>
          <w:rFonts w:ascii="Times New Roman" w:eastAsia="Times New Roman" w:hAnsi="Times New Roman" w:cs="Times New Roman"/>
          <w:sz w:val="24"/>
          <w:szCs w:val="24"/>
          <w:lang w:eastAsia="ru-RU"/>
        </w:rPr>
        <w:t>21</w:t>
      </w:r>
      <w:r w:rsidRPr="0066263B">
        <w:rPr>
          <w:rFonts w:ascii="Times New Roman" w:eastAsia="Times New Roman" w:hAnsi="Times New Roman" w:cs="Times New Roman"/>
          <w:sz w:val="24"/>
          <w:szCs w:val="24"/>
          <w:lang w:eastAsia="ru-RU"/>
        </w:rPr>
        <w:t xml:space="preserve"> году была направлена на достижение целей и решение задач, определённых основными направлениями деятельности Федеральной службы по надзору в сфере защиты прав потребителей и благополучия человека и разработанными в рамках их реализации основными направлениями деятельности Управления Федеральной службы по надзору в сфере защиты прав потребителей и благополучия человека по Брянской области</w:t>
      </w:r>
      <w:proofErr w:type="gramEnd"/>
      <w:r w:rsidRPr="0066263B">
        <w:rPr>
          <w:rFonts w:ascii="Times New Roman" w:eastAsia="Times New Roman" w:hAnsi="Times New Roman" w:cs="Times New Roman"/>
          <w:sz w:val="24"/>
          <w:szCs w:val="24"/>
          <w:lang w:eastAsia="ru-RU"/>
        </w:rPr>
        <w:t xml:space="preserve"> и ФБУЗ «Центр гигиены и эпидемиологии в Брянской области» и предусматривала:</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 Реализацию федеральных проектов и документов стратегического планирования.</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 Совершенствование правового регулирования госконтроля (надзора) с учётом риск-ориентированного подхода (регуляторная гильотина).</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3. Совершенствование надзора (</w:t>
      </w:r>
      <w:proofErr w:type="gramStart"/>
      <w:r w:rsidRPr="0066263B">
        <w:rPr>
          <w:rFonts w:ascii="Times New Roman" w:eastAsia="Times New Roman" w:hAnsi="Times New Roman" w:cs="Times New Roman"/>
          <w:sz w:val="24"/>
          <w:szCs w:val="24"/>
          <w:lang w:eastAsia="ru-RU"/>
        </w:rPr>
        <w:t>контроля) за</w:t>
      </w:r>
      <w:proofErr w:type="gramEnd"/>
      <w:r w:rsidRPr="0066263B">
        <w:rPr>
          <w:rFonts w:ascii="Times New Roman" w:eastAsia="Times New Roman" w:hAnsi="Times New Roman" w:cs="Times New Roman"/>
          <w:sz w:val="24"/>
          <w:szCs w:val="24"/>
          <w:lang w:eastAsia="ru-RU"/>
        </w:rPr>
        <w:t xml:space="preserve"> исполнением обязательных требований законодательства Российской Федерации в области обеспечения санитарно-эпидемиологического благополучия населения, защиты прав потребителей, в области потребительского рынка и обеспечения качества и безопасности пищевых продуктов.</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4. Оптимизацию и развитие системы лабораторного обеспечения деятельности Федеральной службы по надзору в сфере защиты прав потребителей и благополучия человека.</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5. Развитие кадрового потенциала и реализация комплекса мер по профилактике коррупционных и иных правонарушений.</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6. Модернизацию бюджетного процесса в условиях внедрения проектных методов управления.</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7. Совершенствование системы управления государственным имуществом.</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8. Развитие деятельности по информатизации и обеспечению безопасности информации, не содержащей сведения, составляющие государственную тайну.</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9. Реализацию принципов открытости в деятельности Управления Федеральной службы по надзору в сфере защиты прав потребителей и благополучия человека по Брянской области, ФБУЗ «Центр гигиены и эпидемиологии в Брянской области».</w:t>
      </w:r>
    </w:p>
    <w:p w:rsidR="003A7232" w:rsidRPr="0066263B" w:rsidRDefault="003A7232" w:rsidP="003A72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10. Внедрение автоматизации сервисных документационных, организационных и обеспечивающих процессов Управления Федеральной службы по надзору в сфере защиты прав потребителей и благополучия человека по Брянской области, ФБУЗ «Центр гигиены и эпидемиологии в Брянской области».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докладе отражены приоритетные вопросы обеспечения санитарно-эпидемиологического благополучия населения и, определены мероприятия, выполнение которых будет способствовать сохранению здоровья, снижению уровня смертности и увеличению продолжительности жизни населения области.</w:t>
      </w:r>
    </w:p>
    <w:tbl>
      <w:tblPr>
        <w:tblW w:w="9072" w:type="dxa"/>
        <w:tblInd w:w="108" w:type="dxa"/>
        <w:tblLook w:val="01E0"/>
      </w:tblPr>
      <w:tblGrid>
        <w:gridCol w:w="9072"/>
      </w:tblGrid>
      <w:tr w:rsidR="00324483" w:rsidRPr="0066263B" w:rsidTr="00C56F65">
        <w:tc>
          <w:tcPr>
            <w:tcW w:w="9072" w:type="dxa"/>
            <w:tcBorders>
              <w:bottom w:val="double" w:sz="18" w:space="0" w:color="auto"/>
            </w:tcBorders>
          </w:tcPr>
          <w:p w:rsidR="00324483" w:rsidRPr="0066263B" w:rsidRDefault="00324483" w:rsidP="00324483">
            <w:pPr>
              <w:pageBreakBefore/>
              <w:jc w:val="center"/>
              <w:outlineLvl w:val="0"/>
              <w:rPr>
                <w:rFonts w:ascii="Times New Roman" w:eastAsia="Times New Roman" w:hAnsi="Times New Roman" w:cs="Times New Roman"/>
                <w:b/>
                <w:sz w:val="28"/>
                <w:szCs w:val="28"/>
                <w:lang w:eastAsia="ru-RU"/>
              </w:rPr>
            </w:pPr>
            <w:bookmarkStart w:id="1" w:name="_Toc2253822"/>
            <w:r w:rsidRPr="0066263B">
              <w:rPr>
                <w:rFonts w:ascii="Times New Roman" w:eastAsia="Times New Roman" w:hAnsi="Times New Roman" w:cs="Times New Roman"/>
                <w:b/>
                <w:sz w:val="28"/>
                <w:szCs w:val="28"/>
                <w:lang w:eastAsia="ru-RU"/>
              </w:rPr>
              <w:lastRenderedPageBreak/>
              <w:t>I. Результаты социально-гигиенического мониторинга</w:t>
            </w:r>
            <w:r w:rsidRPr="0066263B">
              <w:rPr>
                <w:rFonts w:ascii="Times New Roman" w:eastAsia="Times New Roman" w:hAnsi="Times New Roman" w:cs="Times New Roman"/>
                <w:b/>
                <w:sz w:val="28"/>
                <w:szCs w:val="28"/>
                <w:lang w:eastAsia="ru-RU"/>
              </w:rPr>
              <w:br/>
              <w:t>за отчётный год и в динамике за последние три года</w:t>
            </w:r>
            <w:bookmarkEnd w:id="1"/>
          </w:p>
        </w:tc>
      </w:tr>
    </w:tbl>
    <w:p w:rsidR="00324483" w:rsidRPr="0066263B" w:rsidRDefault="00324483" w:rsidP="00324483">
      <w:pPr>
        <w:spacing w:before="0" w:after="0"/>
        <w:ind w:firstLine="709"/>
        <w:rPr>
          <w:rFonts w:ascii="Times New Roman" w:eastAsia="TimesNewRomanPSMT" w:hAnsi="Times New Roman" w:cs="Times New Roman"/>
          <w:sz w:val="24"/>
          <w:szCs w:val="24"/>
        </w:rPr>
      </w:pPr>
    </w:p>
    <w:p w:rsidR="00324483" w:rsidRPr="0066263B" w:rsidRDefault="00324483" w:rsidP="00324483">
      <w:pPr>
        <w:spacing w:before="0" w:after="0"/>
        <w:ind w:firstLine="709"/>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Федеральным законом от 30.03.1999 № 52-ФЗ «О санитарно-эпидемиологическом благополучии населения» установлено, что:</w:t>
      </w:r>
    </w:p>
    <w:p w:rsidR="00324483" w:rsidRPr="0066263B" w:rsidRDefault="00324483" w:rsidP="00324483">
      <w:pPr>
        <w:numPr>
          <w:ilvl w:val="0"/>
          <w:numId w:val="8"/>
        </w:numPr>
        <w:spacing w:before="0" w:after="0"/>
        <w:ind w:left="425" w:hanging="141"/>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санитарно-эпидемиологическое благополучие населения – состояние здоровья населения, среды обитания человека, при котором отсутствует вредное воздействие факторов среды обитания на человека, и обеспечиваются благоприятные условия его жизнедеятельности;</w:t>
      </w:r>
    </w:p>
    <w:p w:rsidR="00324483" w:rsidRPr="0066263B" w:rsidRDefault="00324483" w:rsidP="00324483">
      <w:pPr>
        <w:numPr>
          <w:ilvl w:val="0"/>
          <w:numId w:val="8"/>
        </w:numPr>
        <w:spacing w:before="0" w:after="0"/>
        <w:ind w:left="425" w:hanging="141"/>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среда обитания человека – совокупность объектов, явлений и факторов окружающей (природной и искусственной) среды, определяющая условия жизнедеятельности человека;</w:t>
      </w:r>
    </w:p>
    <w:p w:rsidR="00324483" w:rsidRPr="0066263B" w:rsidRDefault="00324483" w:rsidP="00324483">
      <w:pPr>
        <w:numPr>
          <w:ilvl w:val="0"/>
          <w:numId w:val="8"/>
        </w:numPr>
        <w:spacing w:before="0" w:after="0"/>
        <w:ind w:left="425" w:hanging="141"/>
        <w:rPr>
          <w:rFonts w:ascii="Times New Roman" w:eastAsia="TimesNewRomanPSMT" w:hAnsi="Times New Roman" w:cs="Times New Roman"/>
          <w:sz w:val="24"/>
          <w:szCs w:val="24"/>
        </w:rPr>
      </w:pPr>
      <w:proofErr w:type="gramStart"/>
      <w:r w:rsidRPr="0066263B">
        <w:rPr>
          <w:rFonts w:ascii="Times New Roman" w:eastAsia="TimesNewRomanPSMT" w:hAnsi="Times New Roman" w:cs="Times New Roman"/>
          <w:sz w:val="24"/>
          <w:szCs w:val="24"/>
        </w:rPr>
        <w:t>факторы среды обитания – биологические (вирусные, бактериальные, паразитарные и иные), химические, физические (шум, вибрация, ультразвук, инфразвук, тепловые, ионизирующие, неионизирующие и иные излучения), социальные (питание, водоснабжение, условия быта, труда, отдыха) и иные факторы среды обитания, которые оказывают или могут оказывать воздействие на человека и (или) на состояние здоровья будущих поколений;</w:t>
      </w:r>
      <w:proofErr w:type="gramEnd"/>
    </w:p>
    <w:p w:rsidR="00324483" w:rsidRPr="0066263B" w:rsidRDefault="00324483" w:rsidP="00324483">
      <w:pPr>
        <w:numPr>
          <w:ilvl w:val="0"/>
          <w:numId w:val="8"/>
        </w:numPr>
        <w:spacing w:before="0" w:after="0"/>
        <w:ind w:left="425" w:hanging="141"/>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вредное воздействие на человека – воздействие факторов среды обитания, создающее угрозу жизни или здоровью человека либо угрозу жизни или здоровью будущих поколений;</w:t>
      </w:r>
    </w:p>
    <w:p w:rsidR="00324483" w:rsidRPr="0066263B" w:rsidRDefault="00324483" w:rsidP="00324483">
      <w:pPr>
        <w:numPr>
          <w:ilvl w:val="0"/>
          <w:numId w:val="8"/>
        </w:numPr>
        <w:spacing w:before="0" w:after="0"/>
        <w:ind w:left="425" w:hanging="141"/>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федеральный государственный санитарно-эпидемиологический надзор – деятельность по предупреждению, обнаружению, пресечению нарушений законодательства Российской Федерации в области обеспечения санитарно-эпидемиологического благополучия населения в целях охраны здоровья населения и среды обитания.</w:t>
      </w:r>
    </w:p>
    <w:p w:rsidR="00324483" w:rsidRPr="0066263B" w:rsidRDefault="00324483" w:rsidP="00324483">
      <w:pPr>
        <w:spacing w:before="0" w:after="0"/>
        <w:ind w:firstLine="709"/>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Социально-гигиенический мониторинг представляет собой государственную систему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состоянием здоровья населения и воздействием факторов среды обитания.</w:t>
      </w:r>
    </w:p>
    <w:p w:rsidR="00324483" w:rsidRPr="0066263B" w:rsidRDefault="00324483" w:rsidP="00324483">
      <w:pPr>
        <w:spacing w:before="0" w:after="0"/>
        <w:ind w:firstLine="709"/>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Социально-гигиенический мониторинг проводится Управлением Федеральной службы по надзору в сфере защиты прав потребителей и благополучия человека по Брянской области совместно с другими федеральными органами исполнительной власти, уполномоченными осуществлять федеральный государственный санитарно-эпидемиологический надзор.</w:t>
      </w:r>
    </w:p>
    <w:p w:rsidR="00324483" w:rsidRPr="0066263B" w:rsidRDefault="00324483" w:rsidP="00324483">
      <w:pPr>
        <w:spacing w:before="0" w:after="0"/>
        <w:ind w:firstLine="709"/>
        <w:rPr>
          <w:rFonts w:ascii="Times New Roman" w:eastAsia="TimesNewRomanPSMT" w:hAnsi="Times New Roman" w:cs="Times New Roman"/>
          <w:sz w:val="24"/>
          <w:szCs w:val="24"/>
        </w:rPr>
      </w:pPr>
      <w:proofErr w:type="gramStart"/>
      <w:r w:rsidRPr="0066263B">
        <w:rPr>
          <w:rFonts w:ascii="Times New Roman" w:eastAsia="TimesNewRomanPSMT" w:hAnsi="Times New Roman" w:cs="Times New Roman"/>
          <w:sz w:val="24"/>
          <w:szCs w:val="24"/>
        </w:rPr>
        <w:t>В соответствии с Постановлением Правительства Российской Федерации от 02.06.2006 № 60 «Об утверждении Положения о проведении социально-гигиенического мониторинга» на основе данных социально-гигиенического мониторинга (далее – СГМ) формируется региональный информационный фонд данных социально-гигиенического мониторинга (далее – РИФ СГМ), который представляет собой базу данных о состоянии среды обитания человека и здоровья населения Брянской области, формируемую на основе постоянных системных наблюдений.</w:t>
      </w:r>
      <w:proofErr w:type="gramEnd"/>
    </w:p>
    <w:p w:rsidR="00324483" w:rsidRPr="0066263B" w:rsidRDefault="00324483" w:rsidP="00324483">
      <w:pPr>
        <w:spacing w:before="0" w:after="0"/>
        <w:ind w:firstLine="709"/>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В РИФ СГМ включены данные Управления Роспотребнадзора по Брянской области, учреждений осуществляющих мониторинг среды обитания, государственной и ведомственной статистической отчётности.</w:t>
      </w:r>
    </w:p>
    <w:p w:rsidR="00324483" w:rsidRPr="0066263B" w:rsidRDefault="00324483" w:rsidP="00324483">
      <w:pPr>
        <w:spacing w:before="0" w:after="0"/>
        <w:ind w:firstLine="709"/>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Ежегодно формируется программа лабораторных исследований факторов среды обитания, проводимых в рамках социально-гигиенического мониторинга на территории Брянской области.</w:t>
      </w:r>
    </w:p>
    <w:p w:rsidR="00324483" w:rsidRPr="0066263B" w:rsidRDefault="00324483" w:rsidP="00324483">
      <w:pPr>
        <w:jc w:val="center"/>
        <w:outlineLvl w:val="1"/>
        <w:rPr>
          <w:rFonts w:ascii="Times New Roman" w:eastAsia="Times New Roman" w:hAnsi="Times New Roman" w:cs="Times New Roman"/>
          <w:b/>
          <w:bCs/>
          <w:sz w:val="26"/>
          <w:szCs w:val="26"/>
          <w:lang w:eastAsia="ru-RU"/>
        </w:rPr>
      </w:pPr>
      <w:bookmarkStart w:id="2" w:name="_Toc2253823"/>
      <w:r w:rsidRPr="0066263B">
        <w:rPr>
          <w:rFonts w:ascii="Times New Roman" w:eastAsia="Times New Roman" w:hAnsi="Times New Roman" w:cs="Times New Roman"/>
          <w:b/>
          <w:bCs/>
          <w:sz w:val="26"/>
          <w:szCs w:val="26"/>
          <w:lang w:eastAsia="ru-RU"/>
        </w:rPr>
        <w:lastRenderedPageBreak/>
        <w:t>1.1. Состояние среды обитания и её влияние на здоровье населения</w:t>
      </w:r>
      <w:bookmarkEnd w:id="2"/>
    </w:p>
    <w:p w:rsidR="00324483" w:rsidRPr="0066263B" w:rsidRDefault="00324483" w:rsidP="00324483">
      <w:pPr>
        <w:spacing w:before="120"/>
        <w:jc w:val="center"/>
        <w:outlineLvl w:val="2"/>
        <w:rPr>
          <w:rFonts w:ascii="Times New Roman" w:eastAsia="TimesNewRomanPS-BoldMT" w:hAnsi="Times New Roman" w:cs="Times New Roman"/>
          <w:b/>
          <w:bCs/>
          <w:i/>
          <w:sz w:val="24"/>
          <w:szCs w:val="24"/>
        </w:rPr>
      </w:pPr>
      <w:bookmarkStart w:id="3" w:name="_Toc2253824"/>
      <w:r w:rsidRPr="0066263B">
        <w:rPr>
          <w:rFonts w:ascii="Times New Roman" w:eastAsia="TimesNewRomanPS-BoldMT" w:hAnsi="Times New Roman" w:cs="Times New Roman"/>
          <w:b/>
          <w:bCs/>
          <w:i/>
          <w:sz w:val="24"/>
          <w:szCs w:val="24"/>
        </w:rPr>
        <w:t>Анализ состояния среды обитания</w:t>
      </w:r>
      <w:bookmarkEnd w:id="3"/>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t>Состояние загрязнения атмосферного воздуха</w:t>
      </w:r>
    </w:p>
    <w:p w:rsidR="00324483" w:rsidRPr="0066263B" w:rsidRDefault="00324483"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Одним из ведущих факторов внешней среды, определяющих условия проживания населения, является состояние атмосферного воздуха.</w:t>
      </w:r>
    </w:p>
    <w:p w:rsidR="00324483" w:rsidRPr="0066263B" w:rsidRDefault="00324483"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CC15B1" w:rsidRPr="0066263B">
        <w:rPr>
          <w:rFonts w:ascii="Times New Roman" w:eastAsia="Times New Roman" w:hAnsi="Times New Roman" w:cs="Times New Roman"/>
          <w:sz w:val="24"/>
          <w:szCs w:val="24"/>
          <w:lang w:eastAsia="ru-RU"/>
        </w:rPr>
        <w:t>2</w:t>
      </w:r>
      <w:r w:rsidR="003A7232"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w:t>
      </w:r>
      <w:proofErr w:type="gramStart"/>
      <w:r w:rsidRPr="0066263B">
        <w:rPr>
          <w:rFonts w:ascii="Times New Roman" w:eastAsia="Times New Roman" w:hAnsi="Times New Roman" w:cs="Times New Roman"/>
          <w:sz w:val="24"/>
          <w:szCs w:val="24"/>
          <w:lang w:eastAsia="ru-RU"/>
        </w:rPr>
        <w:t>контроль за</w:t>
      </w:r>
      <w:proofErr w:type="gramEnd"/>
      <w:r w:rsidRPr="0066263B">
        <w:rPr>
          <w:rFonts w:ascii="Times New Roman" w:eastAsia="Times New Roman" w:hAnsi="Times New Roman" w:cs="Times New Roman"/>
          <w:sz w:val="24"/>
          <w:szCs w:val="24"/>
          <w:lang w:eastAsia="ru-RU"/>
        </w:rPr>
        <w:t xml:space="preserve"> качеством атмосферного воздуха на территории Брянской области осуществлялся на 93 мониторинговых точках и постах наблюдения.</w:t>
      </w:r>
    </w:p>
    <w:p w:rsidR="00CC15B1" w:rsidRPr="0066263B" w:rsidRDefault="00CC15B1" w:rsidP="00CC15B1">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Всего в 202</w:t>
      </w:r>
      <w:r w:rsidR="003A7232"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исследовано </w:t>
      </w:r>
      <w:r w:rsidR="002B3A14" w:rsidRPr="0066263B">
        <w:rPr>
          <w:rFonts w:ascii="Times New Roman" w:eastAsia="Times New Roman" w:hAnsi="Times New Roman" w:cs="Times New Roman"/>
          <w:sz w:val="24"/>
          <w:szCs w:val="24"/>
          <w:lang w:eastAsia="ru-RU"/>
        </w:rPr>
        <w:t>7</w:t>
      </w:r>
      <w:r w:rsidRPr="0066263B">
        <w:rPr>
          <w:rFonts w:ascii="Times New Roman" w:eastAsia="Times New Roman" w:hAnsi="Times New Roman" w:cs="Times New Roman"/>
          <w:sz w:val="24"/>
          <w:szCs w:val="24"/>
          <w:lang w:eastAsia="ru-RU"/>
        </w:rPr>
        <w:t> </w:t>
      </w:r>
      <w:r w:rsidR="002B3A14" w:rsidRPr="0066263B">
        <w:rPr>
          <w:rFonts w:ascii="Times New Roman" w:eastAsia="Times New Roman" w:hAnsi="Times New Roman" w:cs="Times New Roman"/>
          <w:sz w:val="24"/>
          <w:szCs w:val="24"/>
          <w:lang w:eastAsia="ru-RU"/>
        </w:rPr>
        <w:t>239</w:t>
      </w:r>
      <w:r w:rsidRPr="0066263B">
        <w:rPr>
          <w:rFonts w:ascii="Times New Roman" w:eastAsia="Times New Roman" w:hAnsi="Times New Roman" w:cs="Times New Roman"/>
          <w:sz w:val="24"/>
          <w:szCs w:val="24"/>
          <w:lang w:eastAsia="ru-RU"/>
        </w:rPr>
        <w:t xml:space="preserve"> проб атмосферного воздуха населённых мест, из них:</w:t>
      </w:r>
    </w:p>
    <w:p w:rsidR="002B3A14" w:rsidRPr="0066263B" w:rsidRDefault="002B3A14" w:rsidP="00BE7104">
      <w:pPr>
        <w:pStyle w:val="aff9"/>
        <w:numPr>
          <w:ilvl w:val="0"/>
          <w:numId w:val="59"/>
        </w:numPr>
        <w:autoSpaceDE w:val="0"/>
        <w:autoSpaceDN w:val="0"/>
        <w:adjustRightInd w:val="0"/>
        <w:ind w:left="851" w:hanging="142"/>
        <w:jc w:val="both"/>
      </w:pPr>
      <w:r w:rsidRPr="0066263B">
        <w:t>6 226 проб на содержание загрязняющих веществ в городских поселениях, из них 90 проб не соответствовали нормативным требованиям, что составляет 1,45% (2020 – 1,2%; 2019 – 0,02%; 2018 – 0,6%);</w:t>
      </w:r>
    </w:p>
    <w:p w:rsidR="002B3A14" w:rsidRPr="0066263B" w:rsidRDefault="002B3A14" w:rsidP="00BE7104">
      <w:pPr>
        <w:pStyle w:val="aff9"/>
        <w:numPr>
          <w:ilvl w:val="0"/>
          <w:numId w:val="59"/>
        </w:numPr>
        <w:autoSpaceDE w:val="0"/>
        <w:autoSpaceDN w:val="0"/>
        <w:adjustRightInd w:val="0"/>
        <w:ind w:left="851" w:hanging="142"/>
        <w:jc w:val="both"/>
      </w:pPr>
      <w:r w:rsidRPr="0066263B">
        <w:t>1 013 проб на содержание загрязняющих веществ в сельских поселениях, превышений гигиенических нормативов не обнаружено (</w:t>
      </w:r>
      <w:r w:rsidR="000D6A97" w:rsidRPr="0066263B">
        <w:t>2019-2020 г.г. – 0%; 2018 – 2,03%</w:t>
      </w:r>
      <w:r w:rsidRPr="0066263B">
        <w:t>).</w:t>
      </w:r>
    </w:p>
    <w:p w:rsidR="000D6A97" w:rsidRPr="0066263B" w:rsidRDefault="000D6A97" w:rsidP="00CC15B1">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CC15B1" w:rsidRPr="0066263B" w:rsidRDefault="00CC15B1" w:rsidP="00CC15B1">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РФ доля проб воздуха не соответствующих гигиеническим нормативам составила 0,</w:t>
      </w:r>
      <w:r w:rsidR="003A7232"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 (данные 20</w:t>
      </w:r>
      <w:r w:rsidR="003A7232"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w:t>
      </w:r>
    </w:p>
    <w:p w:rsidR="00CC15B1" w:rsidRPr="0066263B" w:rsidRDefault="00CC15B1" w:rsidP="00CC15B1">
      <w:pPr>
        <w:autoSpaceDE w:val="0"/>
        <w:autoSpaceDN w:val="0"/>
        <w:adjustRightInd w:val="0"/>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202</w:t>
      </w:r>
      <w:r w:rsidR="003A7232"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необходимо отметить ухудшение качества атмосферного воздуха в городских поселениях с одновременным стабильным отсутствием доли несоответствующих проб в сельских</w:t>
      </w:r>
      <w:r w:rsidR="00A70AA8" w:rsidRPr="0066263B">
        <w:rPr>
          <w:rFonts w:ascii="Times New Roman" w:eastAsia="Times New Roman" w:hAnsi="Times New Roman" w:cs="Times New Roman"/>
          <w:sz w:val="24"/>
          <w:szCs w:val="24"/>
          <w:lang w:eastAsia="ru-RU"/>
        </w:rPr>
        <w:t xml:space="preserve"> (рис. 1)</w:t>
      </w:r>
      <w:r w:rsidRPr="0066263B">
        <w:rPr>
          <w:rFonts w:ascii="Times New Roman" w:eastAsia="Times New Roman" w:hAnsi="Times New Roman" w:cs="Times New Roman"/>
          <w:sz w:val="24"/>
          <w:szCs w:val="24"/>
          <w:lang w:eastAsia="ru-RU"/>
        </w:rPr>
        <w:t>.</w:t>
      </w:r>
      <w:proofErr w:type="gramEnd"/>
    </w:p>
    <w:p w:rsidR="00324483" w:rsidRPr="0066263B" w:rsidRDefault="00324483"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82199B" w:rsidRPr="0066263B" w:rsidRDefault="0082199B"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autoSpaceDE w:val="0"/>
        <w:autoSpaceDN w:val="0"/>
        <w:adjustRightInd w:val="0"/>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494351" cy="2910177"/>
            <wp:effectExtent l="0" t="0" r="0" b="0"/>
            <wp:docPr id="1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4483" w:rsidRPr="0066263B" w:rsidRDefault="00324483"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1</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Доля проб атмосферного воздуха превышающих ПДК, %</w:t>
      </w:r>
    </w:p>
    <w:p w:rsidR="00324483" w:rsidRPr="0066263B" w:rsidRDefault="00324483"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82199B" w:rsidRPr="0066263B" w:rsidRDefault="0082199B">
      <w:pP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br w:type="page"/>
      </w: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lastRenderedPageBreak/>
        <w:t>Питьевая вода систем централизованного водоснабжения</w:t>
      </w:r>
    </w:p>
    <w:p w:rsidR="006F776B" w:rsidRPr="0066263B" w:rsidRDefault="006F776B" w:rsidP="006F776B">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Состояние питьевого водоснабжения продолжает оставаться одной из актуальных задач по обеспечению санитарно-эпидемиологического благополучия населения Брянской области. </w:t>
      </w:r>
      <w:r w:rsidR="00D6012C" w:rsidRPr="0066263B">
        <w:rPr>
          <w:rFonts w:ascii="Times New Roman" w:eastAsia="Times New Roman" w:hAnsi="Times New Roman" w:cs="Times New Roman"/>
          <w:sz w:val="24"/>
          <w:szCs w:val="24"/>
          <w:lang w:eastAsia="ru-RU"/>
        </w:rPr>
        <w:t>В 2021 году отмечается некоторое ухудшение к</w:t>
      </w:r>
      <w:r w:rsidRPr="0066263B">
        <w:rPr>
          <w:rFonts w:ascii="Times New Roman" w:eastAsia="Times New Roman" w:hAnsi="Times New Roman" w:cs="Times New Roman"/>
          <w:sz w:val="24"/>
          <w:szCs w:val="24"/>
          <w:lang w:eastAsia="ru-RU"/>
        </w:rPr>
        <w:t>ачеств</w:t>
      </w:r>
      <w:r w:rsidR="00D6012C"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lang w:eastAsia="ru-RU"/>
        </w:rPr>
        <w:t xml:space="preserve"> воды </w:t>
      </w:r>
      <w:r w:rsidR="00D6012C" w:rsidRPr="0066263B">
        <w:rPr>
          <w:rFonts w:ascii="Times New Roman" w:eastAsia="Times New Roman" w:hAnsi="Times New Roman" w:cs="Times New Roman"/>
          <w:sz w:val="24"/>
          <w:szCs w:val="24"/>
          <w:lang w:eastAsia="ru-RU"/>
        </w:rPr>
        <w:t>из</w:t>
      </w:r>
      <w:r w:rsidRPr="0066263B">
        <w:rPr>
          <w:rFonts w:ascii="Times New Roman" w:eastAsia="Times New Roman" w:hAnsi="Times New Roman" w:cs="Times New Roman"/>
          <w:sz w:val="24"/>
          <w:szCs w:val="24"/>
          <w:lang w:eastAsia="ru-RU"/>
        </w:rPr>
        <w:t xml:space="preserve"> распределительной сети</w:t>
      </w:r>
      <w:r w:rsidR="00D6012C" w:rsidRPr="0066263B">
        <w:rPr>
          <w:rFonts w:ascii="Times New Roman" w:eastAsia="Times New Roman" w:hAnsi="Times New Roman" w:cs="Times New Roman"/>
          <w:sz w:val="24"/>
          <w:szCs w:val="24"/>
          <w:lang w:eastAsia="ru-RU"/>
        </w:rPr>
        <w:t xml:space="preserve"> по санитарно-химическим показателям</w:t>
      </w:r>
      <w:r w:rsidRPr="0066263B">
        <w:rPr>
          <w:rFonts w:ascii="Times New Roman" w:eastAsia="Times New Roman" w:hAnsi="Times New Roman" w:cs="Times New Roman"/>
          <w:sz w:val="24"/>
          <w:szCs w:val="24"/>
          <w:lang w:eastAsia="ru-RU"/>
        </w:rPr>
        <w:t xml:space="preserve"> (</w:t>
      </w:r>
      <w:r w:rsidR="00D6012C" w:rsidRPr="0066263B">
        <w:rPr>
          <w:rFonts w:ascii="Times New Roman" w:eastAsia="Times New Roman" w:hAnsi="Times New Roman" w:cs="Times New Roman"/>
          <w:sz w:val="24"/>
          <w:szCs w:val="24"/>
          <w:lang w:eastAsia="ru-RU"/>
        </w:rPr>
        <w:t xml:space="preserve">2021 – 9,0%; 2020 – 7,3%; </w:t>
      </w:r>
      <w:r w:rsidRPr="0066263B">
        <w:rPr>
          <w:rFonts w:ascii="Times New Roman" w:eastAsia="Times New Roman" w:hAnsi="Times New Roman" w:cs="Times New Roman"/>
          <w:sz w:val="24"/>
          <w:szCs w:val="24"/>
          <w:lang w:eastAsia="ru-RU"/>
        </w:rPr>
        <w:t xml:space="preserve">2019 – 7,8%; 2018 – 7,9%) </w:t>
      </w:r>
      <w:r w:rsidR="00D6012C" w:rsidRPr="0066263B">
        <w:rPr>
          <w:rFonts w:ascii="Times New Roman" w:eastAsia="Times New Roman" w:hAnsi="Times New Roman" w:cs="Times New Roman"/>
          <w:sz w:val="24"/>
          <w:szCs w:val="24"/>
          <w:lang w:eastAsia="ru-RU"/>
        </w:rPr>
        <w:t xml:space="preserve">и стабильность </w:t>
      </w:r>
      <w:r w:rsidRPr="0066263B">
        <w:rPr>
          <w:rFonts w:ascii="Times New Roman" w:eastAsia="Times New Roman" w:hAnsi="Times New Roman" w:cs="Times New Roman"/>
          <w:sz w:val="24"/>
          <w:szCs w:val="24"/>
          <w:lang w:eastAsia="ru-RU"/>
        </w:rPr>
        <w:t>по микробиологическим показателям (</w:t>
      </w:r>
      <w:r w:rsidR="00D6012C" w:rsidRPr="0066263B">
        <w:rPr>
          <w:rFonts w:ascii="Times New Roman" w:eastAsia="Times New Roman" w:hAnsi="Times New Roman" w:cs="Times New Roman"/>
          <w:sz w:val="24"/>
          <w:szCs w:val="24"/>
          <w:lang w:eastAsia="ru-RU"/>
        </w:rPr>
        <w:t xml:space="preserve">2021 – 2,2%; 2020 – 2,2%; </w:t>
      </w:r>
      <w:r w:rsidRPr="0066263B">
        <w:rPr>
          <w:rFonts w:ascii="Times New Roman" w:eastAsia="Times New Roman" w:hAnsi="Times New Roman" w:cs="Times New Roman"/>
          <w:sz w:val="24"/>
          <w:szCs w:val="24"/>
          <w:lang w:eastAsia="ru-RU"/>
        </w:rPr>
        <w:t>2019 – 1,95%; 2018 – 2,3%).</w:t>
      </w:r>
      <w:r w:rsidR="00D6012C" w:rsidRPr="0066263B">
        <w:rPr>
          <w:rFonts w:ascii="Times New Roman" w:eastAsia="Times New Roman" w:hAnsi="Times New Roman" w:cs="Times New Roman"/>
          <w:sz w:val="24"/>
          <w:szCs w:val="24"/>
          <w:lang w:eastAsia="ru-RU"/>
        </w:rPr>
        <w:t xml:space="preserve"> Несоответствие исследованных проб воды по санитарно-химическим показателям фиксировалось главным образом по органолептическим показателям и повышенному содержанию железа. Данная ситуация обусловлена гидрогеологическим повышенным содержанием железа в подземных источниках централизованного водоснабжения ряда административных территорий и износом водопроводных сетей, сооружений для забора воды, водопроводных насосных станций, резервуаров для обеспечения водой.</w:t>
      </w:r>
    </w:p>
    <w:p w:rsidR="006F776B" w:rsidRPr="0066263B" w:rsidRDefault="006F776B" w:rsidP="006F776B">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w:t>
      </w:r>
      <w:r w:rsidR="00D6012C"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доля населения, имеющего централизованное водоснабжение и обеспеченное доброкачественной питьевой водой, составил</w:t>
      </w:r>
      <w:r w:rsidR="002C2B38"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lang w:eastAsia="ru-RU"/>
        </w:rPr>
        <w:t xml:space="preserve"> 8</w:t>
      </w:r>
      <w:r w:rsidR="00C9082D"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w:t>
      </w:r>
      <w:r w:rsidR="00C9082D" w:rsidRPr="0066263B">
        <w:rPr>
          <w:rFonts w:ascii="Times New Roman" w:eastAsia="Times New Roman" w:hAnsi="Times New Roman" w:cs="Times New Roman"/>
          <w:sz w:val="24"/>
          <w:szCs w:val="24"/>
          <w:lang w:eastAsia="ru-RU"/>
        </w:rPr>
        <w:t>48</w:t>
      </w:r>
      <w:r w:rsidRPr="0066263B">
        <w:rPr>
          <w:rFonts w:ascii="Times New Roman" w:eastAsia="Times New Roman" w:hAnsi="Times New Roman" w:cs="Times New Roman"/>
          <w:sz w:val="24"/>
          <w:szCs w:val="24"/>
          <w:lang w:eastAsia="ru-RU"/>
        </w:rPr>
        <w:t>%</w:t>
      </w:r>
      <w:r w:rsidR="002E5867" w:rsidRPr="0066263B">
        <w:rPr>
          <w:rFonts w:ascii="Times New Roman" w:eastAsia="Times New Roman" w:hAnsi="Times New Roman" w:cs="Times New Roman"/>
          <w:sz w:val="24"/>
          <w:szCs w:val="24"/>
          <w:lang w:eastAsia="ru-RU"/>
        </w:rPr>
        <w:t xml:space="preserve"> (</w:t>
      </w:r>
      <w:r w:rsidR="00D6012C" w:rsidRPr="0066263B">
        <w:rPr>
          <w:rFonts w:ascii="Times New Roman" w:eastAsia="Times New Roman" w:hAnsi="Times New Roman" w:cs="Times New Roman"/>
          <w:sz w:val="24"/>
          <w:szCs w:val="24"/>
          <w:lang w:eastAsia="ru-RU"/>
        </w:rPr>
        <w:t xml:space="preserve">2020 – 82,96%; </w:t>
      </w:r>
      <w:r w:rsidR="002E5867" w:rsidRPr="0066263B">
        <w:rPr>
          <w:rFonts w:ascii="Times New Roman" w:eastAsia="Times New Roman" w:hAnsi="Times New Roman" w:cs="Times New Roman"/>
          <w:sz w:val="24"/>
          <w:szCs w:val="24"/>
          <w:lang w:eastAsia="ru-RU"/>
        </w:rPr>
        <w:t>2019 – 82,7%)</w:t>
      </w:r>
      <w:r w:rsidRPr="0066263B">
        <w:rPr>
          <w:rFonts w:ascii="Times New Roman" w:eastAsia="Times New Roman" w:hAnsi="Times New Roman" w:cs="Times New Roman"/>
          <w:sz w:val="24"/>
          <w:szCs w:val="24"/>
          <w:lang w:eastAsia="ru-RU"/>
        </w:rPr>
        <w:t>. Доля городского населения, имеющего централизованное водоснабжение и обеспеченное доброкачественной питьевой водой, составил</w:t>
      </w:r>
      <w:r w:rsidR="002C2B38"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lang w:eastAsia="ru-RU"/>
        </w:rPr>
        <w:t xml:space="preserve"> </w:t>
      </w:r>
      <w:r w:rsidR="00C9082D" w:rsidRPr="0066263B">
        <w:rPr>
          <w:rFonts w:ascii="Times New Roman" w:eastAsia="Times New Roman" w:hAnsi="Times New Roman" w:cs="Times New Roman"/>
          <w:sz w:val="24"/>
          <w:szCs w:val="24"/>
          <w:lang w:eastAsia="ru-RU"/>
        </w:rPr>
        <w:t>91,35</w:t>
      </w:r>
      <w:r w:rsidRPr="0066263B">
        <w:rPr>
          <w:rFonts w:ascii="Times New Roman" w:eastAsia="Times New Roman" w:hAnsi="Times New Roman" w:cs="Times New Roman"/>
          <w:sz w:val="24"/>
          <w:szCs w:val="24"/>
          <w:lang w:eastAsia="ru-RU"/>
        </w:rPr>
        <w:t>%</w:t>
      </w:r>
      <w:r w:rsidR="002E5867" w:rsidRPr="0066263B">
        <w:rPr>
          <w:rFonts w:ascii="Times New Roman" w:eastAsia="Times New Roman" w:hAnsi="Times New Roman" w:cs="Times New Roman"/>
          <w:sz w:val="24"/>
          <w:szCs w:val="24"/>
          <w:lang w:eastAsia="ru-RU"/>
        </w:rPr>
        <w:t xml:space="preserve"> (</w:t>
      </w:r>
      <w:r w:rsidR="00D6012C" w:rsidRPr="0066263B">
        <w:rPr>
          <w:rFonts w:ascii="Times New Roman" w:eastAsia="Times New Roman" w:hAnsi="Times New Roman" w:cs="Times New Roman"/>
          <w:sz w:val="24"/>
          <w:szCs w:val="24"/>
          <w:lang w:eastAsia="ru-RU"/>
        </w:rPr>
        <w:t xml:space="preserve">2020 – 90,21%; </w:t>
      </w:r>
      <w:r w:rsidR="002E5867" w:rsidRPr="0066263B">
        <w:rPr>
          <w:rFonts w:ascii="Times New Roman" w:eastAsia="Times New Roman" w:hAnsi="Times New Roman" w:cs="Times New Roman"/>
          <w:sz w:val="24"/>
          <w:szCs w:val="24"/>
          <w:lang w:eastAsia="ru-RU"/>
        </w:rPr>
        <w:t>2019 – 90,1%)</w:t>
      </w:r>
      <w:r w:rsidRPr="0066263B">
        <w:rPr>
          <w:rFonts w:ascii="Times New Roman" w:eastAsia="Times New Roman" w:hAnsi="Times New Roman" w:cs="Times New Roman"/>
          <w:sz w:val="24"/>
          <w:szCs w:val="24"/>
          <w:lang w:eastAsia="ru-RU"/>
        </w:rPr>
        <w:t>. В 2018 году за базовый показатель</w:t>
      </w:r>
      <w:r w:rsidR="002E5867" w:rsidRPr="0066263B">
        <w:rPr>
          <w:rFonts w:ascii="Times New Roman" w:eastAsia="Times New Roman" w:hAnsi="Times New Roman" w:cs="Times New Roman"/>
          <w:sz w:val="24"/>
          <w:szCs w:val="24"/>
          <w:lang w:eastAsia="ru-RU"/>
        </w:rPr>
        <w:t xml:space="preserve"> </w:t>
      </w:r>
      <w:r w:rsidR="002E5867" w:rsidRPr="0066263B">
        <w:rPr>
          <w:rFonts w:ascii="Times New Roman" w:eastAsia="Times New Roman" w:hAnsi="Times New Roman" w:cs="Times New Roman"/>
          <w:i/>
          <w:sz w:val="24"/>
          <w:szCs w:val="24"/>
          <w:lang w:eastAsia="ru-RU"/>
        </w:rPr>
        <w:t>«д</w:t>
      </w:r>
      <w:r w:rsidRPr="0066263B">
        <w:rPr>
          <w:rFonts w:ascii="Times New Roman" w:eastAsia="Times New Roman" w:hAnsi="Times New Roman" w:cs="Times New Roman"/>
          <w:i/>
          <w:sz w:val="24"/>
          <w:szCs w:val="24"/>
          <w:lang w:eastAsia="ru-RU"/>
        </w:rPr>
        <w:t>оля населения, имеющего централизованное водоснабжение и обеспеченное доброкачественной питьевой водой</w:t>
      </w:r>
      <w:r w:rsidR="002E5867" w:rsidRPr="0066263B">
        <w:rPr>
          <w:rFonts w:ascii="Times New Roman" w:eastAsia="Times New Roman" w:hAnsi="Times New Roman" w:cs="Times New Roman"/>
          <w:i/>
          <w:sz w:val="24"/>
          <w:szCs w:val="24"/>
          <w:lang w:eastAsia="ru-RU"/>
        </w:rPr>
        <w:t>»</w:t>
      </w:r>
      <w:r w:rsidRPr="0066263B">
        <w:rPr>
          <w:rFonts w:ascii="Times New Roman" w:eastAsia="Times New Roman" w:hAnsi="Times New Roman" w:cs="Times New Roman"/>
          <w:sz w:val="24"/>
          <w:szCs w:val="24"/>
          <w:lang w:eastAsia="ru-RU"/>
        </w:rPr>
        <w:t>, принят 82,5%.</w:t>
      </w:r>
    </w:p>
    <w:p w:rsidR="006F776B" w:rsidRPr="0066263B" w:rsidRDefault="006F776B" w:rsidP="006F776B">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Недоброкачественной питьевой водой пользовались </w:t>
      </w:r>
      <w:r w:rsidR="00C9082D" w:rsidRPr="0066263B">
        <w:rPr>
          <w:rFonts w:ascii="Times New Roman" w:eastAsia="Times New Roman" w:hAnsi="Times New Roman" w:cs="Times New Roman"/>
          <w:sz w:val="24"/>
          <w:szCs w:val="24"/>
          <w:lang w:eastAsia="ru-RU"/>
        </w:rPr>
        <w:t>60 671</w:t>
      </w:r>
      <w:r w:rsidRPr="0066263B">
        <w:rPr>
          <w:rFonts w:ascii="Times New Roman" w:eastAsia="Times New Roman" w:hAnsi="Times New Roman" w:cs="Times New Roman"/>
          <w:sz w:val="24"/>
          <w:szCs w:val="24"/>
          <w:lang w:eastAsia="ru-RU"/>
        </w:rPr>
        <w:t xml:space="preserve"> человек или </w:t>
      </w:r>
      <w:r w:rsidR="00C9082D"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,0% населения, проживающего в Брянской области (</w:t>
      </w:r>
      <w:r w:rsidR="00F6794F" w:rsidRPr="0066263B">
        <w:rPr>
          <w:rFonts w:ascii="Times New Roman" w:eastAsia="Times New Roman" w:hAnsi="Times New Roman" w:cs="Times New Roman"/>
          <w:sz w:val="24"/>
          <w:szCs w:val="24"/>
          <w:lang w:eastAsia="ru-RU"/>
        </w:rPr>
        <w:t xml:space="preserve">2020 – 7,0%; </w:t>
      </w:r>
      <w:r w:rsidRPr="0066263B">
        <w:rPr>
          <w:rFonts w:ascii="Times New Roman" w:eastAsia="Times New Roman" w:hAnsi="Times New Roman" w:cs="Times New Roman"/>
          <w:sz w:val="24"/>
          <w:szCs w:val="24"/>
          <w:lang w:eastAsia="ru-RU"/>
        </w:rPr>
        <w:t xml:space="preserve">2019 </w:t>
      </w:r>
      <w:r w:rsidR="002E586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6,8%; 2018 – 5,4%). Среди них 3</w:t>
      </w:r>
      <w:r w:rsidR="00C9082D"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 </w:t>
      </w:r>
      <w:r w:rsidR="00C9082D" w:rsidRPr="0066263B">
        <w:rPr>
          <w:rFonts w:ascii="Times New Roman" w:eastAsia="Times New Roman" w:hAnsi="Times New Roman" w:cs="Times New Roman"/>
          <w:sz w:val="24"/>
          <w:szCs w:val="24"/>
          <w:lang w:eastAsia="ru-RU"/>
        </w:rPr>
        <w:t>300</w:t>
      </w:r>
      <w:r w:rsidRPr="0066263B">
        <w:rPr>
          <w:rFonts w:ascii="Times New Roman" w:eastAsia="Times New Roman" w:hAnsi="Times New Roman" w:cs="Times New Roman"/>
          <w:sz w:val="24"/>
          <w:szCs w:val="24"/>
          <w:lang w:eastAsia="ru-RU"/>
        </w:rPr>
        <w:t xml:space="preserve"> человек или </w:t>
      </w:r>
      <w:r w:rsidR="00C9082D" w:rsidRPr="0066263B">
        <w:rPr>
          <w:rFonts w:ascii="Times New Roman" w:eastAsia="Times New Roman" w:hAnsi="Times New Roman" w:cs="Times New Roman"/>
          <w:sz w:val="24"/>
          <w:szCs w:val="24"/>
          <w:lang w:eastAsia="ru-RU"/>
        </w:rPr>
        <w:t>56,5</w:t>
      </w:r>
      <w:r w:rsidRPr="0066263B">
        <w:rPr>
          <w:rFonts w:ascii="Times New Roman" w:eastAsia="Times New Roman" w:hAnsi="Times New Roman" w:cs="Times New Roman"/>
          <w:sz w:val="24"/>
          <w:szCs w:val="24"/>
          <w:lang w:eastAsia="ru-RU"/>
        </w:rPr>
        <w:t>% от общего числа населения, обеспеченного недоброкачественной питьевой водой, проживают в сельской местности (</w:t>
      </w:r>
      <w:r w:rsidR="00F6794F" w:rsidRPr="0066263B">
        <w:rPr>
          <w:rFonts w:ascii="Times New Roman" w:eastAsia="Times New Roman" w:hAnsi="Times New Roman" w:cs="Times New Roman"/>
          <w:sz w:val="24"/>
          <w:szCs w:val="24"/>
          <w:lang w:eastAsia="ru-RU"/>
        </w:rPr>
        <w:t xml:space="preserve">2020 – 36,8%; </w:t>
      </w:r>
      <w:r w:rsidRPr="0066263B">
        <w:rPr>
          <w:rFonts w:ascii="Times New Roman" w:eastAsia="Times New Roman" w:hAnsi="Times New Roman" w:cs="Times New Roman"/>
          <w:sz w:val="24"/>
          <w:szCs w:val="24"/>
          <w:lang w:eastAsia="ru-RU"/>
        </w:rPr>
        <w:t xml:space="preserve">2019 </w:t>
      </w:r>
      <w:r w:rsidR="002E586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33,7%; 2018 – 46,3%), </w:t>
      </w:r>
      <w:r w:rsidR="0088059B" w:rsidRPr="0066263B">
        <w:rPr>
          <w:rFonts w:ascii="Times New Roman" w:eastAsia="Times New Roman" w:hAnsi="Times New Roman" w:cs="Times New Roman"/>
          <w:sz w:val="24"/>
          <w:szCs w:val="24"/>
          <w:lang w:eastAsia="ru-RU"/>
        </w:rPr>
        <w:t>26 371</w:t>
      </w:r>
      <w:r w:rsidRPr="0066263B">
        <w:rPr>
          <w:rFonts w:ascii="Times New Roman" w:eastAsia="Times New Roman" w:hAnsi="Times New Roman" w:cs="Times New Roman"/>
          <w:sz w:val="24"/>
          <w:szCs w:val="24"/>
          <w:lang w:eastAsia="ru-RU"/>
        </w:rPr>
        <w:t xml:space="preserve"> </w:t>
      </w:r>
      <w:r w:rsidR="002C2B38" w:rsidRPr="0066263B">
        <w:rPr>
          <w:rFonts w:ascii="Times New Roman" w:eastAsia="Times New Roman" w:hAnsi="Times New Roman" w:cs="Times New Roman"/>
          <w:sz w:val="24"/>
          <w:szCs w:val="24"/>
          <w:lang w:eastAsia="ru-RU"/>
        </w:rPr>
        <w:t xml:space="preserve">человек </w:t>
      </w:r>
      <w:r w:rsidRPr="0066263B">
        <w:rPr>
          <w:rFonts w:ascii="Times New Roman" w:eastAsia="Times New Roman" w:hAnsi="Times New Roman" w:cs="Times New Roman"/>
          <w:sz w:val="24"/>
          <w:szCs w:val="24"/>
          <w:lang w:eastAsia="ru-RU"/>
        </w:rPr>
        <w:t xml:space="preserve">или </w:t>
      </w:r>
      <w:r w:rsidR="0088059B" w:rsidRPr="0066263B">
        <w:rPr>
          <w:rFonts w:ascii="Times New Roman" w:eastAsia="Times New Roman" w:hAnsi="Times New Roman" w:cs="Times New Roman"/>
          <w:sz w:val="24"/>
          <w:szCs w:val="24"/>
          <w:lang w:eastAsia="ru-RU"/>
        </w:rPr>
        <w:t>43,5</w:t>
      </w:r>
      <w:r w:rsidRPr="0066263B">
        <w:rPr>
          <w:rFonts w:ascii="Times New Roman" w:eastAsia="Times New Roman" w:hAnsi="Times New Roman" w:cs="Times New Roman"/>
          <w:sz w:val="24"/>
          <w:szCs w:val="24"/>
          <w:lang w:eastAsia="ru-RU"/>
        </w:rPr>
        <w:t>%</w:t>
      </w:r>
      <w:r w:rsidR="002E586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проживают в городской местности (</w:t>
      </w:r>
      <w:r w:rsidR="00F6794F" w:rsidRPr="0066263B">
        <w:rPr>
          <w:rFonts w:ascii="Times New Roman" w:eastAsia="Times New Roman" w:hAnsi="Times New Roman" w:cs="Times New Roman"/>
          <w:sz w:val="24"/>
          <w:szCs w:val="24"/>
          <w:lang w:eastAsia="ru-RU"/>
        </w:rPr>
        <w:t xml:space="preserve">2020 – 63,2%; </w:t>
      </w:r>
      <w:r w:rsidRPr="0066263B">
        <w:rPr>
          <w:rFonts w:ascii="Times New Roman" w:eastAsia="Times New Roman" w:hAnsi="Times New Roman" w:cs="Times New Roman"/>
          <w:sz w:val="24"/>
          <w:szCs w:val="24"/>
          <w:lang w:eastAsia="ru-RU"/>
        </w:rPr>
        <w:t xml:space="preserve">2019 </w:t>
      </w:r>
      <w:r w:rsidR="002E586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66,3%; 2018 – 53,7%). Снижение доли городского населения, использующего некачественную питьевую воду, связано с изменением административной классификации насел</w:t>
      </w:r>
      <w:r w:rsidR="002E5867"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 xml:space="preserve">нных пунктов и инвентаризацией систем водоснабжения. Доля населения, пользующегося недоброкачественной питьевой водой среди городского населения, составила </w:t>
      </w:r>
      <w:r w:rsidR="00C9082D" w:rsidRPr="0066263B">
        <w:rPr>
          <w:rFonts w:ascii="Times New Roman" w:eastAsia="Times New Roman" w:hAnsi="Times New Roman" w:cs="Times New Roman"/>
          <w:sz w:val="24"/>
          <w:szCs w:val="24"/>
          <w:lang w:eastAsia="ru-RU"/>
        </w:rPr>
        <w:t>3,0</w:t>
      </w:r>
      <w:r w:rsidRPr="0066263B">
        <w:rPr>
          <w:rFonts w:ascii="Times New Roman" w:eastAsia="Times New Roman" w:hAnsi="Times New Roman" w:cs="Times New Roman"/>
          <w:sz w:val="24"/>
          <w:szCs w:val="24"/>
          <w:lang w:eastAsia="ru-RU"/>
        </w:rPr>
        <w:t>% (</w:t>
      </w:r>
      <w:r w:rsidR="00F6794F" w:rsidRPr="0066263B">
        <w:rPr>
          <w:rFonts w:ascii="Times New Roman" w:eastAsia="Times New Roman" w:hAnsi="Times New Roman" w:cs="Times New Roman"/>
          <w:sz w:val="24"/>
          <w:szCs w:val="24"/>
          <w:lang w:eastAsia="ru-RU"/>
        </w:rPr>
        <w:t xml:space="preserve">2020 – 6,3%; </w:t>
      </w:r>
      <w:r w:rsidRPr="0066263B">
        <w:rPr>
          <w:rFonts w:ascii="Times New Roman" w:eastAsia="Times New Roman" w:hAnsi="Times New Roman" w:cs="Times New Roman"/>
          <w:sz w:val="24"/>
          <w:szCs w:val="24"/>
          <w:lang w:eastAsia="ru-RU"/>
        </w:rPr>
        <w:t xml:space="preserve">2019 – 6,5%; 2018 – 4,2%), доля населения, пользующегося недоброкачественной питьевой водой среди сельского населения, составила </w:t>
      </w:r>
      <w:r w:rsidR="00C9082D" w:rsidRPr="0066263B">
        <w:rPr>
          <w:rFonts w:ascii="Times New Roman" w:eastAsia="Times New Roman" w:hAnsi="Times New Roman" w:cs="Times New Roman"/>
          <w:sz w:val="24"/>
          <w:szCs w:val="24"/>
          <w:lang w:eastAsia="ru-RU"/>
        </w:rPr>
        <w:t>10,</w:t>
      </w:r>
      <w:r w:rsidR="0088059B"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 (</w:t>
      </w:r>
      <w:r w:rsidR="00F6794F" w:rsidRPr="0066263B">
        <w:rPr>
          <w:rFonts w:ascii="Times New Roman" w:eastAsia="Times New Roman" w:hAnsi="Times New Roman" w:cs="Times New Roman"/>
          <w:sz w:val="24"/>
          <w:szCs w:val="24"/>
          <w:lang w:eastAsia="ru-RU"/>
        </w:rPr>
        <w:t xml:space="preserve">2020 – 8,7%; </w:t>
      </w:r>
      <w:r w:rsidRPr="0066263B">
        <w:rPr>
          <w:rFonts w:ascii="Times New Roman" w:eastAsia="Times New Roman" w:hAnsi="Times New Roman" w:cs="Times New Roman"/>
          <w:sz w:val="24"/>
          <w:szCs w:val="24"/>
          <w:lang w:eastAsia="ru-RU"/>
        </w:rPr>
        <w:t xml:space="preserve">2019 </w:t>
      </w:r>
      <w:r w:rsidR="002E586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7,9%; 2018 – 8,3%).</w:t>
      </w:r>
    </w:p>
    <w:p w:rsidR="006F776B" w:rsidRPr="0066263B" w:rsidRDefault="006F776B" w:rsidP="006F776B">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Изменение показателей связано с внедрением методики оценки качества воды и результатами инвентаризации источников водоснабжения.</w:t>
      </w:r>
    </w:p>
    <w:p w:rsidR="006F776B" w:rsidRPr="0066263B" w:rsidRDefault="006F776B" w:rsidP="006F776B">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Привозная вода в Брянской области не используется.</w:t>
      </w:r>
    </w:p>
    <w:p w:rsidR="00324483" w:rsidRPr="0066263B" w:rsidRDefault="00324483" w:rsidP="00324483">
      <w:pPr>
        <w:spacing w:before="0" w:after="0"/>
        <w:ind w:firstLine="709"/>
        <w:rPr>
          <w:rFonts w:ascii="Times New Roman" w:eastAsia="Times New Roman" w:hAnsi="Times New Roman" w:cs="Times New Roman"/>
          <w:bCs/>
          <w:sz w:val="24"/>
          <w:szCs w:val="24"/>
          <w:lang w:eastAsia="ru-RU"/>
        </w:rPr>
      </w:pPr>
    </w:p>
    <w:p w:rsidR="00411C86" w:rsidRPr="0066263B" w:rsidRDefault="00411C86" w:rsidP="00324483">
      <w:pPr>
        <w:spacing w:before="0" w:after="0"/>
        <w:ind w:firstLine="709"/>
        <w:rPr>
          <w:rFonts w:ascii="Times New Roman" w:eastAsia="Times New Roman" w:hAnsi="Times New Roman" w:cs="Times New Roman"/>
          <w:bCs/>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t>Санитарно-эпидемиологическая безопасность почвы населённых мест</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C040D6" w:rsidRPr="0066263B">
        <w:rPr>
          <w:rFonts w:ascii="Times New Roman" w:eastAsia="Times New Roman" w:hAnsi="Times New Roman" w:cs="Times New Roman"/>
          <w:sz w:val="24"/>
          <w:szCs w:val="24"/>
          <w:lang w:eastAsia="ru-RU"/>
        </w:rPr>
        <w:t>2</w:t>
      </w:r>
      <w:r w:rsidR="00047C42" w:rsidRPr="0066263B">
        <w:rPr>
          <w:rFonts w:ascii="Times New Roman" w:eastAsia="Times New Roman" w:hAnsi="Times New Roman" w:cs="Times New Roman"/>
          <w:sz w:val="24"/>
          <w:szCs w:val="24"/>
          <w:lang w:eastAsia="ru-RU"/>
        </w:rPr>
        <w:t xml:space="preserve">1 </w:t>
      </w:r>
      <w:r w:rsidRPr="0066263B">
        <w:rPr>
          <w:rFonts w:ascii="Times New Roman" w:eastAsia="Times New Roman" w:hAnsi="Times New Roman" w:cs="Times New Roman"/>
          <w:sz w:val="24"/>
          <w:szCs w:val="24"/>
          <w:lang w:eastAsia="ru-RU"/>
        </w:rPr>
        <w:t>году контроль состояния почвы осуществлялся в 76 мониторинговых точках на территории Брянской области.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Проводимый мониторинг загрязнённости почвы населённых ме</w:t>
      </w:r>
      <w:proofErr w:type="gramStart"/>
      <w:r w:rsidRPr="0066263B">
        <w:rPr>
          <w:rFonts w:ascii="Times New Roman" w:eastAsia="Times New Roman" w:hAnsi="Times New Roman" w:cs="Times New Roman"/>
          <w:sz w:val="24"/>
          <w:szCs w:val="24"/>
          <w:lang w:eastAsia="ru-RU"/>
        </w:rPr>
        <w:t>ст в Бр</w:t>
      </w:r>
      <w:proofErr w:type="gramEnd"/>
      <w:r w:rsidRPr="0066263B">
        <w:rPr>
          <w:rFonts w:ascii="Times New Roman" w:eastAsia="Times New Roman" w:hAnsi="Times New Roman" w:cs="Times New Roman"/>
          <w:sz w:val="24"/>
          <w:szCs w:val="24"/>
          <w:lang w:eastAsia="ru-RU"/>
        </w:rPr>
        <w:t xml:space="preserve">янской области, в том числе в селитебных зонах и на территориях детских садов и детских площадок, характеризуется снижением количества проб, не отвечающих гигиеническим нормативам по </w:t>
      </w:r>
      <w:r w:rsidR="00C040D6" w:rsidRPr="0066263B">
        <w:rPr>
          <w:rFonts w:ascii="Times New Roman" w:eastAsia="Times New Roman" w:hAnsi="Times New Roman" w:cs="Times New Roman"/>
          <w:sz w:val="24"/>
          <w:szCs w:val="24"/>
          <w:lang w:eastAsia="ru-RU"/>
        </w:rPr>
        <w:t xml:space="preserve">микробиологическим </w:t>
      </w:r>
      <w:r w:rsidRPr="0066263B">
        <w:rPr>
          <w:rFonts w:ascii="Times New Roman" w:eastAsia="Times New Roman" w:hAnsi="Times New Roman" w:cs="Times New Roman"/>
          <w:sz w:val="24"/>
          <w:szCs w:val="24"/>
          <w:lang w:eastAsia="ru-RU"/>
        </w:rPr>
        <w:t xml:space="preserve">и паразитологическим показателям и значительным ростом по </w:t>
      </w:r>
      <w:r w:rsidR="00C040D6" w:rsidRPr="0066263B">
        <w:rPr>
          <w:rFonts w:ascii="Times New Roman" w:eastAsia="Times New Roman" w:hAnsi="Times New Roman" w:cs="Times New Roman"/>
          <w:sz w:val="24"/>
          <w:szCs w:val="24"/>
          <w:lang w:eastAsia="ru-RU"/>
        </w:rPr>
        <w:t xml:space="preserve">санитарно-химическим </w:t>
      </w:r>
      <w:r w:rsidRPr="0066263B">
        <w:rPr>
          <w:rFonts w:ascii="Times New Roman" w:eastAsia="Times New Roman" w:hAnsi="Times New Roman" w:cs="Times New Roman"/>
          <w:sz w:val="24"/>
          <w:szCs w:val="24"/>
          <w:lang w:eastAsia="ru-RU"/>
        </w:rPr>
        <w:t>показателям.</w:t>
      </w:r>
    </w:p>
    <w:p w:rsidR="00411C86" w:rsidRPr="0066263B" w:rsidRDefault="00411C86" w:rsidP="00C040D6">
      <w:pPr>
        <w:spacing w:before="0" w:after="0"/>
        <w:ind w:firstLine="709"/>
        <w:rPr>
          <w:rFonts w:ascii="Times New Roman" w:eastAsia="Times New Roman" w:hAnsi="Times New Roman" w:cs="Times New Roman"/>
          <w:sz w:val="24"/>
          <w:szCs w:val="24"/>
          <w:lang w:eastAsia="ru-RU"/>
        </w:rPr>
      </w:pPr>
    </w:p>
    <w:p w:rsidR="00411C86" w:rsidRPr="0066263B" w:rsidRDefault="00411C86" w:rsidP="00C040D6">
      <w:pPr>
        <w:spacing w:before="0" w:after="0"/>
        <w:ind w:firstLine="709"/>
        <w:rPr>
          <w:rFonts w:ascii="Times New Roman" w:eastAsia="Times New Roman" w:hAnsi="Times New Roman" w:cs="Times New Roman"/>
          <w:sz w:val="24"/>
          <w:szCs w:val="24"/>
          <w:lang w:eastAsia="ru-RU"/>
        </w:rPr>
      </w:pPr>
    </w:p>
    <w:p w:rsidR="00C040D6" w:rsidRPr="0066263B" w:rsidRDefault="00C040D6" w:rsidP="00C040D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Так, в 202</w:t>
      </w:r>
      <w:r w:rsidR="00047C42"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удельный вес проб почвы, не отвечающих требованиям санитарных правил по микробиологическим показателям, составил </w:t>
      </w:r>
      <w:r w:rsidR="00047C42"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,5% (</w:t>
      </w:r>
      <w:r w:rsidR="00047C42" w:rsidRPr="0066263B">
        <w:rPr>
          <w:rFonts w:ascii="Times New Roman" w:eastAsia="Times New Roman" w:hAnsi="Times New Roman" w:cs="Times New Roman"/>
          <w:sz w:val="24"/>
          <w:szCs w:val="24"/>
          <w:lang w:eastAsia="ru-RU"/>
        </w:rPr>
        <w:t xml:space="preserve">2020 – 6,5%; </w:t>
      </w:r>
      <w:r w:rsidRPr="0066263B">
        <w:rPr>
          <w:rFonts w:ascii="Times New Roman" w:eastAsia="Times New Roman" w:hAnsi="Times New Roman" w:cs="Times New Roman"/>
          <w:sz w:val="24"/>
          <w:szCs w:val="24"/>
          <w:lang w:eastAsia="ru-RU"/>
        </w:rPr>
        <w:t>2019 – 8,5%; 2018 – 4,7%; РФ 20</w:t>
      </w:r>
      <w:r w:rsidR="00047C42"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 </w:t>
      </w:r>
      <w:r w:rsidR="00047C42" w:rsidRPr="0066263B">
        <w:rPr>
          <w:rFonts w:ascii="Times New Roman" w:eastAsia="Times New Roman" w:hAnsi="Times New Roman" w:cs="Times New Roman"/>
          <w:sz w:val="24"/>
          <w:szCs w:val="24"/>
          <w:lang w:eastAsia="ru-RU"/>
        </w:rPr>
        <w:t>5,82</w:t>
      </w:r>
      <w:r w:rsidRPr="0066263B">
        <w:rPr>
          <w:rFonts w:ascii="Times New Roman" w:eastAsia="Times New Roman" w:hAnsi="Times New Roman" w:cs="Times New Roman"/>
          <w:sz w:val="24"/>
          <w:szCs w:val="24"/>
          <w:lang w:eastAsia="ru-RU"/>
        </w:rPr>
        <w:t xml:space="preserve">%), по санитарно-химическим показателям – </w:t>
      </w:r>
      <w:r w:rsidR="00047C42" w:rsidRPr="0066263B">
        <w:rPr>
          <w:rFonts w:ascii="Times New Roman" w:eastAsia="Times New Roman" w:hAnsi="Times New Roman" w:cs="Times New Roman"/>
          <w:sz w:val="24"/>
          <w:szCs w:val="24"/>
          <w:lang w:eastAsia="ru-RU"/>
        </w:rPr>
        <w:lastRenderedPageBreak/>
        <w:t>0,2</w:t>
      </w:r>
      <w:r w:rsidRPr="0066263B">
        <w:rPr>
          <w:rFonts w:ascii="Times New Roman" w:eastAsia="Times New Roman" w:hAnsi="Times New Roman" w:cs="Times New Roman"/>
          <w:sz w:val="24"/>
          <w:szCs w:val="24"/>
          <w:lang w:eastAsia="ru-RU"/>
        </w:rPr>
        <w:t>% (</w:t>
      </w:r>
      <w:r w:rsidR="00047C42" w:rsidRPr="0066263B">
        <w:rPr>
          <w:rFonts w:ascii="Times New Roman" w:eastAsia="Times New Roman" w:hAnsi="Times New Roman" w:cs="Times New Roman"/>
          <w:sz w:val="24"/>
          <w:szCs w:val="24"/>
          <w:lang w:eastAsia="ru-RU"/>
        </w:rPr>
        <w:t xml:space="preserve">2020 – </w:t>
      </w:r>
      <w:r w:rsidR="00417806" w:rsidRPr="0066263B">
        <w:rPr>
          <w:rFonts w:ascii="Times New Roman" w:eastAsia="Times New Roman" w:hAnsi="Times New Roman" w:cs="Times New Roman"/>
          <w:sz w:val="24"/>
          <w:szCs w:val="24"/>
          <w:lang w:eastAsia="ru-RU"/>
        </w:rPr>
        <w:t>3,4</w:t>
      </w:r>
      <w:r w:rsidR="00047C42"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2019 – 0,</w:t>
      </w:r>
      <w:r w:rsidR="00417806"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 2018 – 1,8%; РФ 20</w:t>
      </w:r>
      <w:r w:rsidR="00047C42" w:rsidRPr="0066263B">
        <w:rPr>
          <w:rFonts w:ascii="Times New Roman" w:eastAsia="Times New Roman" w:hAnsi="Times New Roman" w:cs="Times New Roman"/>
          <w:sz w:val="24"/>
          <w:szCs w:val="24"/>
          <w:lang w:eastAsia="ru-RU"/>
        </w:rPr>
        <w:t>20 – 5,43</w:t>
      </w:r>
      <w:r w:rsidRPr="0066263B">
        <w:rPr>
          <w:rFonts w:ascii="Times New Roman" w:eastAsia="Times New Roman" w:hAnsi="Times New Roman" w:cs="Times New Roman"/>
          <w:sz w:val="24"/>
          <w:szCs w:val="24"/>
          <w:lang w:eastAsia="ru-RU"/>
        </w:rPr>
        <w:t xml:space="preserve">%), по паразитологическим показателям </w:t>
      </w:r>
      <w:r w:rsidR="00047C42" w:rsidRPr="0066263B">
        <w:rPr>
          <w:rFonts w:ascii="Times New Roman" w:eastAsia="Times New Roman" w:hAnsi="Times New Roman" w:cs="Times New Roman"/>
          <w:sz w:val="24"/>
          <w:szCs w:val="24"/>
          <w:lang w:eastAsia="ru-RU"/>
        </w:rPr>
        <w:t>1,2</w:t>
      </w:r>
      <w:r w:rsidRPr="0066263B">
        <w:rPr>
          <w:rFonts w:ascii="Times New Roman" w:eastAsia="Times New Roman" w:hAnsi="Times New Roman" w:cs="Times New Roman"/>
          <w:sz w:val="24"/>
          <w:szCs w:val="24"/>
          <w:lang w:eastAsia="ru-RU"/>
        </w:rPr>
        <w:t>% (</w:t>
      </w:r>
      <w:r w:rsidR="00047C42" w:rsidRPr="0066263B">
        <w:rPr>
          <w:rFonts w:ascii="Times New Roman" w:eastAsia="Times New Roman" w:hAnsi="Times New Roman" w:cs="Times New Roman"/>
          <w:sz w:val="24"/>
          <w:szCs w:val="24"/>
          <w:lang w:eastAsia="ru-RU"/>
        </w:rPr>
        <w:t xml:space="preserve">2020 – 0,6%; </w:t>
      </w:r>
      <w:r w:rsidRPr="0066263B">
        <w:rPr>
          <w:rFonts w:ascii="Times New Roman" w:eastAsia="Times New Roman" w:hAnsi="Times New Roman" w:cs="Times New Roman"/>
          <w:sz w:val="24"/>
          <w:szCs w:val="24"/>
          <w:lang w:eastAsia="ru-RU"/>
        </w:rPr>
        <w:t>2019 – 1,8%; 2018 – 1,8%; РФ 20</w:t>
      </w:r>
      <w:r w:rsidR="00047C42"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 0,9%) (рис. 2).</w:t>
      </w:r>
    </w:p>
    <w:p w:rsidR="00417806" w:rsidRPr="0066263B" w:rsidRDefault="00417806" w:rsidP="00C040D6">
      <w:pPr>
        <w:spacing w:before="0" w:after="0"/>
        <w:ind w:firstLine="709"/>
        <w:rPr>
          <w:rFonts w:ascii="Times New Roman" w:eastAsia="Times New Roman" w:hAnsi="Times New Roman" w:cs="Times New Roman"/>
          <w:sz w:val="24"/>
          <w:szCs w:val="24"/>
          <w:lang w:eastAsia="ru-RU"/>
        </w:rPr>
      </w:pPr>
    </w:p>
    <w:p w:rsidR="006F45C5" w:rsidRPr="0066263B" w:rsidRDefault="006F45C5" w:rsidP="006F45C5">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888182" cy="3373582"/>
            <wp:effectExtent l="0" t="0" r="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F45C5" w:rsidRPr="0066263B" w:rsidRDefault="006F45C5" w:rsidP="00C040D6">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MT" w:hAnsi="Times New Roman" w:cs="Times New Roman"/>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Calibri" w:hAnsi="Times New Roman" w:cs="Times New Roman"/>
          <w:bCs/>
        </w:rPr>
        <w:t>Доля</w:t>
      </w:r>
      <w:r w:rsidRPr="0066263B">
        <w:rPr>
          <w:rFonts w:ascii="Times New Roman" w:eastAsia="TimesNewRomanPS-BoldMT" w:hAnsi="Times New Roman" w:cs="Times New Roman"/>
          <w:bCs/>
        </w:rPr>
        <w:t xml:space="preserve"> проб</w:t>
      </w:r>
      <w:r w:rsidRPr="0066263B">
        <w:rPr>
          <w:rFonts w:ascii="Calibri" w:eastAsia="Calibri" w:hAnsi="Calibri" w:cs="Times New Roman"/>
        </w:rPr>
        <w:t xml:space="preserve"> </w:t>
      </w:r>
      <w:r w:rsidRPr="0066263B">
        <w:rPr>
          <w:rFonts w:ascii="Times New Roman" w:eastAsia="TimesNewRomanPS-BoldMT" w:hAnsi="Times New Roman" w:cs="Times New Roman"/>
          <w:bCs/>
        </w:rPr>
        <w:t xml:space="preserve">почвы, не отвечающих гигиеническим нормативам, </w:t>
      </w:r>
      <w:r w:rsidRPr="0066263B">
        <w:rPr>
          <w:rFonts w:ascii="Times New Roman" w:eastAsia="TimesNewRomanPSMT" w:hAnsi="Times New Roman" w:cs="Times New Roman"/>
        </w:rPr>
        <w:t>%</w:t>
      </w:r>
    </w:p>
    <w:p w:rsidR="00CA5892" w:rsidRPr="0066263B" w:rsidRDefault="00CA5892" w:rsidP="00324483">
      <w:pPr>
        <w:spacing w:before="0" w:after="0"/>
        <w:ind w:firstLine="709"/>
        <w:rPr>
          <w:rFonts w:ascii="Times New Roman" w:eastAsia="Times New Roman" w:hAnsi="Times New Roman" w:cs="Times New Roman"/>
          <w:sz w:val="24"/>
          <w:szCs w:val="24"/>
          <w:lang w:eastAsia="ru-RU"/>
        </w:rPr>
      </w:pPr>
    </w:p>
    <w:p w:rsidR="004B089F" w:rsidRPr="0066263B" w:rsidRDefault="004B089F" w:rsidP="004B089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наблюдается существенное снижение доли проб почвы, не соответствующих гигиеническим нормативам по санитарно-химическим </w:t>
      </w:r>
      <w:r w:rsidR="00333BBF" w:rsidRPr="0066263B">
        <w:rPr>
          <w:rFonts w:ascii="Times New Roman" w:eastAsia="Times New Roman" w:hAnsi="Times New Roman" w:cs="Times New Roman"/>
          <w:sz w:val="24"/>
          <w:szCs w:val="24"/>
          <w:lang w:eastAsia="ru-RU"/>
        </w:rPr>
        <w:t>показателям и незначительное снижение по</w:t>
      </w:r>
      <w:r w:rsidRPr="0066263B">
        <w:rPr>
          <w:rFonts w:ascii="Times New Roman" w:eastAsia="Times New Roman" w:hAnsi="Times New Roman" w:cs="Times New Roman"/>
          <w:sz w:val="24"/>
          <w:szCs w:val="24"/>
          <w:lang w:eastAsia="ru-RU"/>
        </w:rPr>
        <w:t xml:space="preserve"> </w:t>
      </w:r>
      <w:r w:rsidR="00333BBF" w:rsidRPr="0066263B">
        <w:rPr>
          <w:rFonts w:ascii="Times New Roman" w:eastAsia="Times New Roman" w:hAnsi="Times New Roman" w:cs="Times New Roman"/>
          <w:sz w:val="24"/>
          <w:szCs w:val="24"/>
          <w:lang w:eastAsia="ru-RU"/>
        </w:rPr>
        <w:t xml:space="preserve">микробиологическим, </w:t>
      </w:r>
      <w:r w:rsidRPr="0066263B">
        <w:rPr>
          <w:rFonts w:ascii="Times New Roman" w:eastAsia="Times New Roman" w:hAnsi="Times New Roman" w:cs="Times New Roman"/>
          <w:sz w:val="24"/>
          <w:szCs w:val="24"/>
          <w:lang w:eastAsia="ru-RU"/>
        </w:rPr>
        <w:t xml:space="preserve">чем годом ранее. Доля несоответствий по паразитологическим показателям </w:t>
      </w:r>
      <w:r w:rsidR="00333BBF" w:rsidRPr="0066263B">
        <w:rPr>
          <w:rFonts w:ascii="Times New Roman" w:eastAsia="Times New Roman" w:hAnsi="Times New Roman" w:cs="Times New Roman"/>
          <w:sz w:val="24"/>
          <w:szCs w:val="24"/>
          <w:lang w:eastAsia="ru-RU"/>
        </w:rPr>
        <w:t>в сравнении с</w:t>
      </w:r>
      <w:r w:rsidRPr="0066263B">
        <w:rPr>
          <w:rFonts w:ascii="Times New Roman" w:eastAsia="Times New Roman" w:hAnsi="Times New Roman" w:cs="Times New Roman"/>
          <w:sz w:val="24"/>
          <w:szCs w:val="24"/>
          <w:lang w:eastAsia="ru-RU"/>
        </w:rPr>
        <w:t xml:space="preserve"> 2020 год</w:t>
      </w:r>
      <w:r w:rsidR="00333BBF" w:rsidRPr="0066263B">
        <w:rPr>
          <w:rFonts w:ascii="Times New Roman" w:eastAsia="Times New Roman" w:hAnsi="Times New Roman" w:cs="Times New Roman"/>
          <w:sz w:val="24"/>
          <w:szCs w:val="24"/>
          <w:lang w:eastAsia="ru-RU"/>
        </w:rPr>
        <w:t>ом выросла в 2 раза</w:t>
      </w:r>
      <w:r w:rsidRPr="0066263B">
        <w:rPr>
          <w:rFonts w:ascii="Times New Roman" w:eastAsia="Times New Roman" w:hAnsi="Times New Roman" w:cs="Times New Roman"/>
          <w:sz w:val="24"/>
          <w:szCs w:val="24"/>
          <w:lang w:eastAsia="ru-RU"/>
        </w:rPr>
        <w:t>.</w:t>
      </w:r>
    </w:p>
    <w:p w:rsidR="00333BBF" w:rsidRPr="0066263B" w:rsidRDefault="00CA5892" w:rsidP="00333BB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ходе проведённого анализа результатов исследований по административным территориям Брянской области установлено, что в 202</w:t>
      </w:r>
      <w:r w:rsidR="00333BBF"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пробы почвы, не соответствующие гигиеническим нормативам по санитарно-химическим показателям, отмечаются в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xml:space="preserve">. Брянске, по микробиологическим показателям </w:t>
      </w:r>
      <w:r w:rsidR="00333BBF" w:rsidRPr="0066263B">
        <w:rPr>
          <w:rFonts w:ascii="Times New Roman" w:eastAsia="Times New Roman" w:hAnsi="Times New Roman" w:cs="Times New Roman"/>
          <w:sz w:val="24"/>
          <w:szCs w:val="24"/>
          <w:lang w:eastAsia="ru-RU"/>
        </w:rPr>
        <w:t xml:space="preserve">(превышающим среднеобластной показатель – 4,5%) </w:t>
      </w:r>
      <w:r w:rsidRPr="0066263B">
        <w:rPr>
          <w:rFonts w:ascii="Times New Roman" w:eastAsia="Times New Roman" w:hAnsi="Times New Roman" w:cs="Times New Roman"/>
          <w:sz w:val="24"/>
          <w:szCs w:val="24"/>
          <w:lang w:eastAsia="ru-RU"/>
        </w:rPr>
        <w:t xml:space="preserve">– на территориях г. Брянска, Брянского, </w:t>
      </w:r>
      <w:r w:rsidR="00333BBF" w:rsidRPr="0066263B">
        <w:rPr>
          <w:rFonts w:ascii="Times New Roman" w:eastAsia="Times New Roman" w:hAnsi="Times New Roman" w:cs="Times New Roman"/>
          <w:sz w:val="24"/>
          <w:szCs w:val="24"/>
          <w:lang w:eastAsia="ru-RU"/>
        </w:rPr>
        <w:t>Дятьковского, Клинцовского, Красногорского,</w:t>
      </w:r>
      <w:r w:rsidRPr="0066263B">
        <w:rPr>
          <w:rFonts w:ascii="Times New Roman" w:eastAsia="Times New Roman" w:hAnsi="Times New Roman" w:cs="Times New Roman"/>
          <w:sz w:val="24"/>
          <w:szCs w:val="24"/>
          <w:lang w:eastAsia="ru-RU"/>
        </w:rPr>
        <w:t xml:space="preserve"> Навлинского</w:t>
      </w:r>
      <w:r w:rsidR="00333BBF"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w:t>
      </w:r>
      <w:r w:rsidR="00333BBF" w:rsidRPr="0066263B">
        <w:rPr>
          <w:rFonts w:ascii="Times New Roman" w:eastAsia="Times New Roman" w:hAnsi="Times New Roman" w:cs="Times New Roman"/>
          <w:sz w:val="24"/>
          <w:szCs w:val="24"/>
          <w:lang w:eastAsia="ru-RU"/>
        </w:rPr>
        <w:t xml:space="preserve">Севского и Трубчевского </w:t>
      </w:r>
      <w:r w:rsidRPr="0066263B">
        <w:rPr>
          <w:rFonts w:ascii="Times New Roman" w:eastAsia="Times New Roman" w:hAnsi="Times New Roman" w:cs="Times New Roman"/>
          <w:sz w:val="24"/>
          <w:szCs w:val="24"/>
          <w:lang w:eastAsia="ru-RU"/>
        </w:rPr>
        <w:t>районов.</w:t>
      </w:r>
    </w:p>
    <w:p w:rsidR="00417806" w:rsidRPr="0066263B" w:rsidRDefault="00417806" w:rsidP="00333BBF">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outlineLvl w:val="2"/>
        <w:rPr>
          <w:rFonts w:ascii="Times New Roman" w:eastAsia="TimesNewRomanPS-BoldMT" w:hAnsi="Times New Roman" w:cs="Times New Roman"/>
          <w:b/>
          <w:bCs/>
          <w:i/>
          <w:sz w:val="24"/>
          <w:szCs w:val="24"/>
        </w:rPr>
      </w:pPr>
      <w:bookmarkStart w:id="4" w:name="_Toc2253825"/>
      <w:r w:rsidRPr="0066263B">
        <w:rPr>
          <w:rFonts w:ascii="Times New Roman" w:eastAsia="TimesNewRomanPS-BoldMT" w:hAnsi="Times New Roman" w:cs="Times New Roman"/>
          <w:b/>
          <w:bCs/>
          <w:i/>
          <w:sz w:val="24"/>
          <w:szCs w:val="24"/>
        </w:rPr>
        <w:t>Приоритетные факторы среды обитания, формирующие негативные</w:t>
      </w:r>
      <w:r w:rsidRPr="0066263B">
        <w:rPr>
          <w:rFonts w:ascii="Times New Roman" w:eastAsia="TimesNewRomanPS-BoldMT" w:hAnsi="Times New Roman" w:cs="Times New Roman"/>
          <w:b/>
          <w:bCs/>
          <w:i/>
          <w:sz w:val="24"/>
          <w:szCs w:val="24"/>
        </w:rPr>
        <w:br/>
        <w:t>тенденции в состоянии здоровья населения</w:t>
      </w:r>
      <w:bookmarkEnd w:id="4"/>
    </w:p>
    <w:p w:rsidR="00851858" w:rsidRPr="0066263B" w:rsidRDefault="00851858" w:rsidP="0085185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Системное и последовательное улучшение </w:t>
      </w:r>
      <w:proofErr w:type="gramStart"/>
      <w:r w:rsidRPr="0066263B">
        <w:rPr>
          <w:rFonts w:ascii="Times New Roman" w:eastAsia="Times New Roman" w:hAnsi="Times New Roman" w:cs="Times New Roman"/>
          <w:sz w:val="24"/>
          <w:szCs w:val="24"/>
          <w:lang w:eastAsia="ru-RU"/>
        </w:rPr>
        <w:t>ряда показателей качества среды обитания населения административных территорий Брянской области</w:t>
      </w:r>
      <w:proofErr w:type="gramEnd"/>
      <w:r w:rsidRPr="0066263B">
        <w:rPr>
          <w:rFonts w:ascii="Times New Roman" w:eastAsia="Times New Roman" w:hAnsi="Times New Roman" w:cs="Times New Roman"/>
          <w:sz w:val="24"/>
          <w:szCs w:val="24"/>
          <w:lang w:eastAsia="ru-RU"/>
        </w:rPr>
        <w:t xml:space="preserve"> влечёт за собой и общее снижение числа нарушений здоровья, ассоциированных с санитарно-гигиеническими факторами.</w:t>
      </w:r>
    </w:p>
    <w:p w:rsidR="00851858" w:rsidRPr="0066263B" w:rsidRDefault="00851858"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Анализ данных статистических материалов «Доклад о состоянии здоровья населения и организации здравоохранения Брянской области за 20</w:t>
      </w:r>
      <w:r w:rsidR="00B76141" w:rsidRPr="0066263B">
        <w:rPr>
          <w:rFonts w:ascii="Times New Roman" w:eastAsia="Times New Roman" w:hAnsi="Times New Roman" w:cs="Times New Roman"/>
          <w:sz w:val="24"/>
          <w:szCs w:val="24"/>
          <w:lang w:eastAsia="ru-RU"/>
        </w:rPr>
        <w:t>20</w:t>
      </w:r>
      <w:r w:rsidR="00D6430A"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год», изданными Департаментом здравоохранения Брянской области, свидетельствует о том, что приоритетными санитарно-гигиеническими факторами, формирующими медико-демографические потери, продолжают оставаться химическое, биологическое и физическое загрязнение среды обитания. Загрязнения атмосферного воздуха </w:t>
      </w:r>
      <w:r w:rsidRPr="0066263B">
        <w:rPr>
          <w:rFonts w:ascii="Times New Roman" w:eastAsia="Times New Roman" w:hAnsi="Times New Roman" w:cs="Times New Roman"/>
          <w:sz w:val="24"/>
          <w:szCs w:val="24"/>
          <w:lang w:eastAsia="ru-RU"/>
        </w:rPr>
        <w:lastRenderedPageBreak/>
        <w:t xml:space="preserve">химическими компонентами ассоциировано с такими показателями здоровья как смертность по причине болезней органов дыхания, кровообращения, новообразований. По данным анализа среды обитания в Брянской области отмечается незначительное загрязнение атмосферного воздуха в точках контроля на автомагистралях, улицах с интенсивным движением в городских и сельских поселениях. Загрязнение питьевых вод химическими и микробиологическими агентами ассоциировано с такими показателями здоровья как смертность от инфекционных заболеваний, болезней органов пищеварения, болезней системы кровообращения, новообразований, мочеполовой системы, эндокринной системы. По данным анализа среды обитания в Брянской области отмечается </w:t>
      </w:r>
      <w:r w:rsidR="000F49CF" w:rsidRPr="0066263B">
        <w:rPr>
          <w:rFonts w:ascii="Times New Roman" w:eastAsia="Times New Roman" w:hAnsi="Times New Roman" w:cs="Times New Roman"/>
          <w:sz w:val="24"/>
          <w:szCs w:val="24"/>
          <w:lang w:eastAsia="ru-RU"/>
        </w:rPr>
        <w:t>стабильность</w:t>
      </w:r>
      <w:r w:rsidRPr="0066263B">
        <w:rPr>
          <w:rFonts w:ascii="Times New Roman" w:eastAsia="Times New Roman" w:hAnsi="Times New Roman" w:cs="Times New Roman"/>
          <w:sz w:val="24"/>
          <w:szCs w:val="24"/>
          <w:lang w:eastAsia="ru-RU"/>
        </w:rPr>
        <w:t xml:space="preserve"> доли проб воды из распределительной сети централизованного водоснабжения не соответствующих санитарным требованиям по </w:t>
      </w:r>
      <w:r w:rsidR="000F49CF" w:rsidRPr="0066263B">
        <w:rPr>
          <w:rFonts w:ascii="Times New Roman" w:eastAsia="Times New Roman" w:hAnsi="Times New Roman" w:cs="Times New Roman"/>
          <w:sz w:val="24"/>
          <w:szCs w:val="24"/>
          <w:lang w:eastAsia="ru-RU"/>
        </w:rPr>
        <w:t xml:space="preserve">микробиологическим показателям и незначительный рост по </w:t>
      </w:r>
      <w:r w:rsidRPr="0066263B">
        <w:rPr>
          <w:rFonts w:ascii="Times New Roman" w:eastAsia="Times New Roman" w:hAnsi="Times New Roman" w:cs="Times New Roman"/>
          <w:sz w:val="24"/>
          <w:szCs w:val="24"/>
          <w:lang w:eastAsia="ru-RU"/>
        </w:rPr>
        <w:t xml:space="preserve">санитарно-химическим. Воздействие физических факторов среды (шум, электромагнитное излучение, ионизирующее излучение, освещённость, вибрация) ассоциировано с такими показателями здоровья как смертность от внешних причин, заболеваемость глаз, костно-мышечной системы, последствия воздействия внешних причин. По данным анализа среды обитания в Брянской области в целом отмечается высокий уровень негативного воздействия физических </w:t>
      </w:r>
      <w:proofErr w:type="gramStart"/>
      <w:r w:rsidRPr="0066263B">
        <w:rPr>
          <w:rFonts w:ascii="Times New Roman" w:eastAsia="Times New Roman" w:hAnsi="Times New Roman" w:cs="Times New Roman"/>
          <w:sz w:val="24"/>
          <w:szCs w:val="24"/>
          <w:lang w:eastAsia="ru-RU"/>
        </w:rPr>
        <w:t>факторов</w:t>
      </w:r>
      <w:proofErr w:type="gramEnd"/>
      <w:r w:rsidRPr="0066263B">
        <w:rPr>
          <w:rFonts w:ascii="Times New Roman" w:eastAsia="Times New Roman" w:hAnsi="Times New Roman" w:cs="Times New Roman"/>
          <w:sz w:val="24"/>
          <w:szCs w:val="24"/>
          <w:lang w:eastAsia="ru-RU"/>
        </w:rPr>
        <w:t xml:space="preserve"> как на селитебной территории, так и на рабочих местах предприятий различных форм собственности. Загрязнение почв тяжёлыми металлами, микробиологическое и паразитарное загрязнение ассоциировано с такими показателями здоровья как смертность от новообразований, болезней органов дыхания, кровообращения. </w:t>
      </w:r>
      <w:r w:rsidR="002E5867" w:rsidRPr="0066263B">
        <w:rPr>
          <w:rFonts w:ascii="Times New Roman" w:eastAsia="Times New Roman" w:hAnsi="Times New Roman" w:cs="Times New Roman"/>
          <w:sz w:val="24"/>
          <w:szCs w:val="24"/>
          <w:lang w:eastAsia="ru-RU"/>
        </w:rPr>
        <w:t xml:space="preserve">По данным анализа среды обитания в Брянской области отмечено </w:t>
      </w:r>
      <w:r w:rsidR="00262113" w:rsidRPr="0066263B">
        <w:rPr>
          <w:rFonts w:ascii="Times New Roman" w:eastAsia="Times New Roman" w:hAnsi="Times New Roman" w:cs="Times New Roman"/>
          <w:sz w:val="24"/>
          <w:szCs w:val="24"/>
          <w:lang w:eastAsia="ru-RU"/>
        </w:rPr>
        <w:t>снижение</w:t>
      </w:r>
      <w:r w:rsidR="002E5867" w:rsidRPr="0066263B">
        <w:rPr>
          <w:rFonts w:ascii="Times New Roman" w:eastAsia="Times New Roman" w:hAnsi="Times New Roman" w:cs="Times New Roman"/>
          <w:sz w:val="24"/>
          <w:szCs w:val="24"/>
          <w:lang w:eastAsia="ru-RU"/>
        </w:rPr>
        <w:t xml:space="preserve"> доли проб почвы, не соответствующих гигиеническим нормативам в селитебной зоне по санитарно-химическим и микробиологическим показателям и </w:t>
      </w:r>
      <w:r w:rsidR="00262113" w:rsidRPr="0066263B">
        <w:rPr>
          <w:rFonts w:ascii="Times New Roman" w:eastAsia="Times New Roman" w:hAnsi="Times New Roman" w:cs="Times New Roman"/>
          <w:sz w:val="24"/>
          <w:szCs w:val="24"/>
          <w:lang w:eastAsia="ru-RU"/>
        </w:rPr>
        <w:t>незначительный рост</w:t>
      </w:r>
      <w:r w:rsidR="002E5867" w:rsidRPr="0066263B">
        <w:rPr>
          <w:rFonts w:ascii="Times New Roman" w:eastAsia="Times New Roman" w:hAnsi="Times New Roman" w:cs="Times New Roman"/>
          <w:sz w:val="24"/>
          <w:szCs w:val="24"/>
          <w:lang w:eastAsia="ru-RU"/>
        </w:rPr>
        <w:t xml:space="preserve"> по паразитологическим показателям.</w:t>
      </w:r>
    </w:p>
    <w:p w:rsidR="00851858" w:rsidRPr="0066263B" w:rsidRDefault="00851858"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Анализ демографических и социальных факторов, влияющих на состояние</w:t>
      </w:r>
      <w:r w:rsidRPr="0066263B">
        <w:rPr>
          <w:rFonts w:ascii="Times New Roman" w:eastAsia="Times New Roman" w:hAnsi="Times New Roman" w:cs="Times New Roman"/>
          <w:bCs/>
          <w:i/>
          <w:sz w:val="24"/>
          <w:szCs w:val="24"/>
          <w:lang w:eastAsia="ru-RU"/>
        </w:rPr>
        <w:br/>
        <w:t>здоровья населения Брянской области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Численность постоянного населения Брянской области на 1 января 20</w:t>
      </w:r>
      <w:r w:rsidR="00B76141"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года составила </w:t>
      </w:r>
      <w:r w:rsidR="00B76141" w:rsidRPr="0066263B">
        <w:rPr>
          <w:rFonts w:ascii="Times New Roman" w:eastAsia="Times New Roman" w:hAnsi="Times New Roman" w:cs="Times New Roman"/>
          <w:sz w:val="24"/>
          <w:szCs w:val="24"/>
          <w:lang w:eastAsia="ru-RU"/>
        </w:rPr>
        <w:t xml:space="preserve">1 192 491 </w:t>
      </w:r>
      <w:r w:rsidRPr="0066263B">
        <w:rPr>
          <w:rFonts w:ascii="Times New Roman" w:eastAsia="Times New Roman" w:hAnsi="Times New Roman" w:cs="Times New Roman"/>
          <w:sz w:val="24"/>
          <w:szCs w:val="24"/>
          <w:lang w:eastAsia="ru-RU"/>
        </w:rPr>
        <w:t xml:space="preserve">тыс. человек, из которых </w:t>
      </w:r>
      <w:r w:rsidR="00B76141" w:rsidRPr="0066263B">
        <w:rPr>
          <w:rFonts w:ascii="Times New Roman" w:eastAsia="Times New Roman" w:hAnsi="Times New Roman" w:cs="Times New Roman"/>
          <w:sz w:val="24"/>
          <w:szCs w:val="24"/>
          <w:lang w:eastAsia="ru-RU"/>
        </w:rPr>
        <w:t>839,8</w:t>
      </w:r>
      <w:r w:rsidRPr="0066263B">
        <w:rPr>
          <w:rFonts w:ascii="Times New Roman" w:eastAsia="Times New Roman" w:hAnsi="Times New Roman" w:cs="Times New Roman"/>
          <w:sz w:val="24"/>
          <w:szCs w:val="24"/>
          <w:lang w:eastAsia="ru-RU"/>
        </w:rPr>
        <w:t xml:space="preserve"> тыс. </w:t>
      </w:r>
      <w:r w:rsidR="005875CE" w:rsidRPr="0066263B">
        <w:rPr>
          <w:rFonts w:ascii="Times New Roman" w:eastAsia="Times New Roman" w:hAnsi="Times New Roman" w:cs="Times New Roman"/>
          <w:sz w:val="24"/>
          <w:szCs w:val="24"/>
          <w:lang w:eastAsia="ru-RU"/>
        </w:rPr>
        <w:t xml:space="preserve">человек </w:t>
      </w:r>
      <w:r w:rsidRPr="0066263B">
        <w:rPr>
          <w:rFonts w:ascii="Times New Roman" w:eastAsia="Times New Roman" w:hAnsi="Times New Roman" w:cs="Times New Roman"/>
          <w:sz w:val="24"/>
          <w:szCs w:val="24"/>
          <w:lang w:eastAsia="ru-RU"/>
        </w:rPr>
        <w:t>(70,</w:t>
      </w:r>
      <w:r w:rsidR="00B35BCA"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 проживали в городах и пос</w:t>
      </w:r>
      <w:r w:rsidR="00EC1D99">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 xml:space="preserve">лках городского типа, </w:t>
      </w:r>
      <w:r w:rsidR="00B76141" w:rsidRPr="0066263B">
        <w:rPr>
          <w:rFonts w:ascii="Times New Roman" w:eastAsia="Times New Roman" w:hAnsi="Times New Roman" w:cs="Times New Roman"/>
          <w:sz w:val="24"/>
          <w:szCs w:val="24"/>
          <w:lang w:eastAsia="ru-RU"/>
        </w:rPr>
        <w:t>352,7</w:t>
      </w:r>
      <w:r w:rsidRPr="0066263B">
        <w:rPr>
          <w:rFonts w:ascii="Times New Roman" w:eastAsia="Times New Roman" w:hAnsi="Times New Roman" w:cs="Times New Roman"/>
          <w:sz w:val="24"/>
          <w:szCs w:val="24"/>
          <w:lang w:eastAsia="ru-RU"/>
        </w:rPr>
        <w:t xml:space="preserve"> тыс. </w:t>
      </w:r>
      <w:r w:rsidR="005875CE" w:rsidRPr="0066263B">
        <w:rPr>
          <w:rFonts w:ascii="Times New Roman" w:eastAsia="Times New Roman" w:hAnsi="Times New Roman" w:cs="Times New Roman"/>
          <w:sz w:val="24"/>
          <w:szCs w:val="24"/>
          <w:lang w:eastAsia="ru-RU"/>
        </w:rPr>
        <w:t xml:space="preserve">человек </w:t>
      </w:r>
      <w:r w:rsidRPr="0066263B">
        <w:rPr>
          <w:rFonts w:ascii="Times New Roman" w:eastAsia="Times New Roman" w:hAnsi="Times New Roman" w:cs="Times New Roman"/>
          <w:sz w:val="24"/>
          <w:szCs w:val="24"/>
          <w:lang w:eastAsia="ru-RU"/>
        </w:rPr>
        <w:t>(29,</w:t>
      </w:r>
      <w:r w:rsidR="00B35BCA" w:rsidRPr="0066263B">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 xml:space="preserve">%) </w:t>
      </w:r>
      <w:r w:rsidR="00B35BCA"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в сельской местности. За год численность населения области уменьшилась на 0,</w:t>
      </w:r>
      <w:r w:rsidR="00B76141" w:rsidRPr="0066263B">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 xml:space="preserve">%, или на </w:t>
      </w:r>
      <w:r w:rsidR="00B76141" w:rsidRPr="0066263B">
        <w:rPr>
          <w:rFonts w:ascii="Times New Roman" w:eastAsia="Times New Roman" w:hAnsi="Times New Roman" w:cs="Times New Roman"/>
          <w:sz w:val="24"/>
          <w:szCs w:val="24"/>
          <w:lang w:eastAsia="ru-RU"/>
        </w:rPr>
        <w:t>7</w:t>
      </w:r>
      <w:r w:rsidR="00B35BCA" w:rsidRPr="0066263B">
        <w:rPr>
          <w:rFonts w:ascii="Times New Roman" w:eastAsia="Times New Roman" w:hAnsi="Times New Roman" w:cs="Times New Roman"/>
          <w:sz w:val="24"/>
          <w:szCs w:val="24"/>
          <w:lang w:eastAsia="ru-RU"/>
        </w:rPr>
        <w:t> </w:t>
      </w:r>
      <w:r w:rsidR="00B76141" w:rsidRPr="0066263B">
        <w:rPr>
          <w:rFonts w:ascii="Times New Roman" w:eastAsia="Times New Roman" w:hAnsi="Times New Roman" w:cs="Times New Roman"/>
          <w:sz w:val="24"/>
          <w:szCs w:val="24"/>
          <w:lang w:eastAsia="ru-RU"/>
        </w:rPr>
        <w:t>969</w:t>
      </w:r>
      <w:r w:rsidR="00B35BCA"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человек.</w:t>
      </w:r>
    </w:p>
    <w:p w:rsidR="00B76141" w:rsidRPr="0066263B" w:rsidRDefault="00B76141"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Население Брянской области за последние </w:t>
      </w:r>
      <w:r w:rsidR="005458E7"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 xml:space="preserve"> </w:t>
      </w:r>
      <w:r w:rsidR="005458E7" w:rsidRPr="0066263B">
        <w:rPr>
          <w:rFonts w:ascii="Times New Roman" w:eastAsia="Times New Roman" w:hAnsi="Times New Roman" w:cs="Times New Roman"/>
          <w:sz w:val="24"/>
          <w:szCs w:val="24"/>
          <w:lang w:eastAsia="ru-RU"/>
        </w:rPr>
        <w:t>лет</w:t>
      </w:r>
      <w:r w:rsidRPr="0066263B">
        <w:rPr>
          <w:rFonts w:ascii="Times New Roman" w:eastAsia="Times New Roman" w:hAnsi="Times New Roman" w:cs="Times New Roman"/>
          <w:sz w:val="24"/>
          <w:szCs w:val="24"/>
          <w:lang w:eastAsia="ru-RU"/>
        </w:rPr>
        <w:t xml:space="preserve"> сократилось на </w:t>
      </w:r>
      <w:r w:rsidR="00D6430A" w:rsidRPr="0066263B">
        <w:rPr>
          <w:rFonts w:ascii="Times New Roman" w:eastAsia="Times New Roman" w:hAnsi="Times New Roman" w:cs="Times New Roman"/>
          <w:sz w:val="24"/>
          <w:szCs w:val="24"/>
          <w:lang w:eastAsia="ru-RU"/>
        </w:rPr>
        <w:t>43 059</w:t>
      </w:r>
      <w:r w:rsidRPr="0066263B">
        <w:rPr>
          <w:rFonts w:ascii="Times New Roman" w:eastAsia="Times New Roman" w:hAnsi="Times New Roman" w:cs="Times New Roman"/>
          <w:sz w:val="24"/>
          <w:szCs w:val="24"/>
          <w:lang w:eastAsia="ru-RU"/>
        </w:rPr>
        <w:t xml:space="preserve"> человек (на </w:t>
      </w:r>
      <w:r w:rsidR="00D6430A" w:rsidRPr="0066263B">
        <w:rPr>
          <w:rFonts w:ascii="Times New Roman" w:eastAsia="Times New Roman" w:hAnsi="Times New Roman" w:cs="Times New Roman"/>
          <w:sz w:val="24"/>
          <w:szCs w:val="24"/>
          <w:lang w:eastAsia="ru-RU"/>
        </w:rPr>
        <w:t>3,6</w:t>
      </w:r>
      <w:r w:rsidRPr="0066263B">
        <w:rPr>
          <w:rFonts w:ascii="Times New Roman" w:eastAsia="Times New Roman" w:hAnsi="Times New Roman" w:cs="Times New Roman"/>
          <w:sz w:val="24"/>
          <w:szCs w:val="24"/>
          <w:lang w:eastAsia="ru-RU"/>
        </w:rPr>
        <w:t>%), что поддерживается снижением численности в</w:t>
      </w:r>
      <w:r w:rsidR="005458E7" w:rsidRPr="0066263B">
        <w:rPr>
          <w:rFonts w:ascii="Times New Roman" w:eastAsia="Times New Roman" w:hAnsi="Times New Roman" w:cs="Times New Roman"/>
          <w:sz w:val="24"/>
          <w:szCs w:val="24"/>
          <w:lang w:eastAsia="ru-RU"/>
        </w:rPr>
        <w:t>о</w:t>
      </w:r>
      <w:r w:rsidRPr="0066263B">
        <w:rPr>
          <w:rFonts w:ascii="Times New Roman" w:eastAsia="Times New Roman" w:hAnsi="Times New Roman" w:cs="Times New Roman"/>
          <w:sz w:val="24"/>
          <w:szCs w:val="24"/>
          <w:lang w:eastAsia="ru-RU"/>
        </w:rPr>
        <w:t xml:space="preserve"> </w:t>
      </w:r>
      <w:r w:rsidR="005458E7" w:rsidRPr="0066263B">
        <w:rPr>
          <w:rFonts w:ascii="Times New Roman" w:eastAsia="Times New Roman" w:hAnsi="Times New Roman" w:cs="Times New Roman"/>
          <w:sz w:val="24"/>
          <w:szCs w:val="24"/>
          <w:lang w:eastAsia="ru-RU"/>
        </w:rPr>
        <w:t xml:space="preserve">всех </w:t>
      </w:r>
      <w:r w:rsidRPr="0066263B">
        <w:rPr>
          <w:rFonts w:ascii="Times New Roman" w:eastAsia="Times New Roman" w:hAnsi="Times New Roman" w:cs="Times New Roman"/>
          <w:sz w:val="24"/>
          <w:szCs w:val="24"/>
          <w:lang w:eastAsia="ru-RU"/>
        </w:rPr>
        <w:t>возрастных группах</w:t>
      </w:r>
      <w:r w:rsidR="00D6430A" w:rsidRPr="0066263B">
        <w:rPr>
          <w:rFonts w:ascii="Times New Roman" w:eastAsia="Times New Roman" w:hAnsi="Times New Roman" w:cs="Times New Roman"/>
          <w:sz w:val="24"/>
          <w:szCs w:val="24"/>
          <w:lang w:eastAsia="ru-RU"/>
        </w:rPr>
        <w:t>, за исключением возрастной группы 15-19 лет</w:t>
      </w:r>
      <w:r w:rsidRPr="0066263B">
        <w:rPr>
          <w:rFonts w:ascii="Times New Roman" w:eastAsia="Times New Roman" w:hAnsi="Times New Roman" w:cs="Times New Roman"/>
          <w:sz w:val="24"/>
          <w:szCs w:val="24"/>
          <w:lang w:eastAsia="ru-RU"/>
        </w:rPr>
        <w:t xml:space="preserve"> (табл. 1).</w:t>
      </w:r>
    </w:p>
    <w:p w:rsidR="00324483" w:rsidRPr="0066263B" w:rsidRDefault="00324483" w:rsidP="00324483">
      <w:pPr>
        <w:spacing w:before="0" w:after="0"/>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Среднегодовая численность населения Брянской области</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8"/>
        <w:gridCol w:w="1938"/>
        <w:gridCol w:w="1937"/>
        <w:gridCol w:w="1937"/>
        <w:gridCol w:w="2299"/>
      </w:tblGrid>
      <w:tr w:rsidR="00324483" w:rsidRPr="0066263B" w:rsidTr="00C56F65">
        <w:trPr>
          <w:trHeight w:val="421"/>
          <w:jc w:val="center"/>
        </w:trPr>
        <w:tc>
          <w:tcPr>
            <w:tcW w:w="562" w:type="pct"/>
            <w:vAlign w:val="center"/>
          </w:tcPr>
          <w:p w:rsidR="00324483" w:rsidRPr="0066263B" w:rsidRDefault="00324483" w:rsidP="00324483">
            <w:pPr>
              <w:spacing w:before="20" w:after="20"/>
              <w:jc w:val="center"/>
              <w:rPr>
                <w:rFonts w:ascii="Times New Roman" w:eastAsia="Calibri" w:hAnsi="Times New Roman" w:cs="Times New Roman"/>
                <w:b/>
                <w:bCs/>
                <w:i/>
              </w:rPr>
            </w:pPr>
          </w:p>
        </w:tc>
        <w:tc>
          <w:tcPr>
            <w:tcW w:w="1060" w:type="pct"/>
            <w:noWrap/>
            <w:vAlign w:val="center"/>
          </w:tcPr>
          <w:p w:rsidR="00324483" w:rsidRPr="0066263B" w:rsidRDefault="00324483" w:rsidP="00324483">
            <w:pPr>
              <w:spacing w:before="20" w:after="20"/>
              <w:jc w:val="center"/>
              <w:rPr>
                <w:rFonts w:ascii="Times New Roman" w:eastAsia="Calibri" w:hAnsi="Times New Roman" w:cs="Times New Roman"/>
                <w:b/>
                <w:bCs/>
                <w:i/>
              </w:rPr>
            </w:pPr>
            <w:r w:rsidRPr="0066263B">
              <w:rPr>
                <w:rFonts w:ascii="Times New Roman" w:eastAsia="Calibri" w:hAnsi="Times New Roman" w:cs="Times New Roman"/>
                <w:b/>
                <w:bCs/>
                <w:i/>
              </w:rPr>
              <w:t>Всего</w:t>
            </w:r>
            <w:r w:rsidRPr="0066263B">
              <w:rPr>
                <w:rFonts w:ascii="Times New Roman" w:eastAsia="Calibri" w:hAnsi="Times New Roman" w:cs="Times New Roman"/>
                <w:b/>
                <w:bCs/>
                <w:i/>
              </w:rPr>
              <w:br/>
              <w:t>населения</w:t>
            </w:r>
          </w:p>
        </w:tc>
        <w:tc>
          <w:tcPr>
            <w:tcW w:w="1060" w:type="pct"/>
            <w:noWrap/>
            <w:vAlign w:val="center"/>
          </w:tcPr>
          <w:p w:rsidR="00324483" w:rsidRPr="0066263B" w:rsidRDefault="00324483" w:rsidP="009A2002">
            <w:pPr>
              <w:spacing w:before="20" w:after="20"/>
              <w:jc w:val="center"/>
              <w:rPr>
                <w:rFonts w:ascii="Times New Roman" w:eastAsia="Calibri" w:hAnsi="Times New Roman" w:cs="Times New Roman"/>
                <w:b/>
                <w:bCs/>
                <w:i/>
              </w:rPr>
            </w:pPr>
            <w:r w:rsidRPr="0066263B">
              <w:rPr>
                <w:rFonts w:ascii="Times New Roman" w:eastAsia="Calibri" w:hAnsi="Times New Roman" w:cs="Times New Roman"/>
                <w:b/>
                <w:bCs/>
                <w:i/>
              </w:rPr>
              <w:t>0-14</w:t>
            </w:r>
            <w:r w:rsidR="009A2002" w:rsidRPr="0066263B">
              <w:rPr>
                <w:rFonts w:ascii="Times New Roman" w:eastAsia="Calibri" w:hAnsi="Times New Roman" w:cs="Times New Roman"/>
                <w:b/>
                <w:bCs/>
                <w:i/>
              </w:rPr>
              <w:t xml:space="preserve"> лет</w:t>
            </w:r>
          </w:p>
        </w:tc>
        <w:tc>
          <w:tcPr>
            <w:tcW w:w="1060" w:type="pct"/>
            <w:noWrap/>
            <w:vAlign w:val="center"/>
          </w:tcPr>
          <w:p w:rsidR="00324483" w:rsidRPr="0066263B" w:rsidRDefault="00324483" w:rsidP="009A2002">
            <w:pPr>
              <w:spacing w:before="20" w:after="20"/>
              <w:jc w:val="center"/>
              <w:rPr>
                <w:rFonts w:ascii="Times New Roman" w:eastAsia="Calibri" w:hAnsi="Times New Roman" w:cs="Times New Roman"/>
                <w:b/>
                <w:bCs/>
                <w:i/>
              </w:rPr>
            </w:pPr>
            <w:r w:rsidRPr="0066263B">
              <w:rPr>
                <w:rFonts w:ascii="Times New Roman" w:eastAsia="Calibri" w:hAnsi="Times New Roman" w:cs="Times New Roman"/>
                <w:b/>
                <w:bCs/>
                <w:i/>
              </w:rPr>
              <w:t>15-1</w:t>
            </w:r>
            <w:r w:rsidR="009A2002" w:rsidRPr="0066263B">
              <w:rPr>
                <w:rFonts w:ascii="Times New Roman" w:eastAsia="Calibri" w:hAnsi="Times New Roman" w:cs="Times New Roman"/>
                <w:b/>
                <w:bCs/>
                <w:i/>
              </w:rPr>
              <w:t>9 лет</w:t>
            </w:r>
          </w:p>
        </w:tc>
        <w:tc>
          <w:tcPr>
            <w:tcW w:w="1258" w:type="pct"/>
            <w:noWrap/>
            <w:vAlign w:val="center"/>
          </w:tcPr>
          <w:p w:rsidR="00324483" w:rsidRPr="0066263B" w:rsidRDefault="00324483" w:rsidP="009A2002">
            <w:pPr>
              <w:spacing w:before="20" w:after="20"/>
              <w:jc w:val="center"/>
              <w:rPr>
                <w:rFonts w:ascii="Times New Roman" w:eastAsia="Calibri" w:hAnsi="Times New Roman" w:cs="Times New Roman"/>
                <w:b/>
                <w:bCs/>
                <w:i/>
              </w:rPr>
            </w:pPr>
            <w:r w:rsidRPr="0066263B">
              <w:rPr>
                <w:rFonts w:ascii="Times New Roman" w:eastAsia="Calibri" w:hAnsi="Times New Roman" w:cs="Times New Roman"/>
                <w:b/>
                <w:bCs/>
                <w:i/>
              </w:rPr>
              <w:t>18 лет и старше</w:t>
            </w:r>
          </w:p>
        </w:tc>
      </w:tr>
      <w:tr w:rsidR="00324483" w:rsidRPr="0066263B" w:rsidTr="00D6430A">
        <w:trPr>
          <w:trHeight w:val="315"/>
          <w:jc w:val="center"/>
        </w:trPr>
        <w:tc>
          <w:tcPr>
            <w:tcW w:w="562" w:type="pct"/>
            <w:vAlign w:val="center"/>
          </w:tcPr>
          <w:p w:rsidR="00324483" w:rsidRPr="0066263B" w:rsidRDefault="00324483"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2015</w:t>
            </w:r>
          </w:p>
        </w:tc>
        <w:tc>
          <w:tcPr>
            <w:tcW w:w="1060" w:type="pct"/>
            <w:noWrap/>
            <w:vAlign w:val="center"/>
          </w:tcPr>
          <w:p w:rsidR="00324483" w:rsidRPr="0066263B" w:rsidRDefault="00324483"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1232940</w:t>
            </w:r>
          </w:p>
        </w:tc>
        <w:tc>
          <w:tcPr>
            <w:tcW w:w="1060" w:type="pct"/>
            <w:noWrap/>
            <w:vAlign w:val="center"/>
          </w:tcPr>
          <w:p w:rsidR="00324483" w:rsidRPr="0066263B" w:rsidRDefault="00324483"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190945</w:t>
            </w:r>
          </w:p>
        </w:tc>
        <w:tc>
          <w:tcPr>
            <w:tcW w:w="1060" w:type="pct"/>
            <w:noWrap/>
            <w:vAlign w:val="center"/>
          </w:tcPr>
          <w:p w:rsidR="00324483" w:rsidRPr="0066263B" w:rsidRDefault="009A2002"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83620</w:t>
            </w:r>
          </w:p>
        </w:tc>
        <w:tc>
          <w:tcPr>
            <w:tcW w:w="1258" w:type="pct"/>
            <w:noWrap/>
            <w:vAlign w:val="center"/>
          </w:tcPr>
          <w:p w:rsidR="00324483" w:rsidRPr="0066263B" w:rsidRDefault="009A2002"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958375</w:t>
            </w:r>
          </w:p>
        </w:tc>
      </w:tr>
      <w:tr w:rsidR="00324483" w:rsidRPr="0066263B" w:rsidTr="00D6430A">
        <w:trPr>
          <w:trHeight w:val="315"/>
          <w:jc w:val="center"/>
        </w:trPr>
        <w:tc>
          <w:tcPr>
            <w:tcW w:w="562" w:type="pct"/>
            <w:vAlign w:val="center"/>
          </w:tcPr>
          <w:p w:rsidR="00324483" w:rsidRPr="0066263B" w:rsidRDefault="00324483"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2016</w:t>
            </w:r>
          </w:p>
        </w:tc>
        <w:tc>
          <w:tcPr>
            <w:tcW w:w="1060" w:type="pct"/>
            <w:noWrap/>
            <w:vAlign w:val="center"/>
          </w:tcPr>
          <w:p w:rsidR="00324483" w:rsidRPr="0066263B" w:rsidRDefault="00324483"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1225741</w:t>
            </w:r>
          </w:p>
        </w:tc>
        <w:tc>
          <w:tcPr>
            <w:tcW w:w="1060" w:type="pct"/>
            <w:noWrap/>
            <w:vAlign w:val="center"/>
          </w:tcPr>
          <w:p w:rsidR="00324483" w:rsidRPr="0066263B" w:rsidRDefault="00324483"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189240</w:t>
            </w:r>
          </w:p>
        </w:tc>
        <w:tc>
          <w:tcPr>
            <w:tcW w:w="1060" w:type="pct"/>
            <w:noWrap/>
            <w:vAlign w:val="center"/>
          </w:tcPr>
          <w:p w:rsidR="00324483" w:rsidRPr="0066263B" w:rsidRDefault="009A2002"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80360</w:t>
            </w:r>
          </w:p>
        </w:tc>
        <w:tc>
          <w:tcPr>
            <w:tcW w:w="1258" w:type="pct"/>
            <w:noWrap/>
            <w:vAlign w:val="center"/>
          </w:tcPr>
          <w:p w:rsidR="00324483" w:rsidRPr="0066263B" w:rsidRDefault="009A2002"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956141</w:t>
            </w:r>
          </w:p>
        </w:tc>
      </w:tr>
      <w:tr w:rsidR="00324483" w:rsidRPr="0066263B" w:rsidTr="00D6430A">
        <w:trPr>
          <w:trHeight w:val="315"/>
          <w:jc w:val="center"/>
        </w:trPr>
        <w:tc>
          <w:tcPr>
            <w:tcW w:w="562" w:type="pct"/>
            <w:vAlign w:val="center"/>
          </w:tcPr>
          <w:p w:rsidR="00324483" w:rsidRPr="0066263B" w:rsidRDefault="00324483"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2017</w:t>
            </w:r>
          </w:p>
        </w:tc>
        <w:tc>
          <w:tcPr>
            <w:tcW w:w="1060" w:type="pct"/>
            <w:noWrap/>
            <w:vAlign w:val="center"/>
          </w:tcPr>
          <w:p w:rsidR="00324483" w:rsidRPr="0066263B" w:rsidRDefault="00324483"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1220530</w:t>
            </w:r>
          </w:p>
        </w:tc>
        <w:tc>
          <w:tcPr>
            <w:tcW w:w="1060" w:type="pct"/>
            <w:noWrap/>
            <w:vAlign w:val="center"/>
          </w:tcPr>
          <w:p w:rsidR="00324483" w:rsidRPr="0066263B" w:rsidRDefault="00324483"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184272</w:t>
            </w:r>
          </w:p>
        </w:tc>
        <w:tc>
          <w:tcPr>
            <w:tcW w:w="1060" w:type="pct"/>
            <w:noWrap/>
            <w:vAlign w:val="center"/>
          </w:tcPr>
          <w:p w:rsidR="00324483" w:rsidRPr="0066263B" w:rsidRDefault="009A2002"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66911</w:t>
            </w:r>
          </w:p>
        </w:tc>
        <w:tc>
          <w:tcPr>
            <w:tcW w:w="1258" w:type="pct"/>
            <w:noWrap/>
            <w:vAlign w:val="center"/>
          </w:tcPr>
          <w:p w:rsidR="00324483" w:rsidRPr="0066263B" w:rsidRDefault="009A2002"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969347</w:t>
            </w:r>
          </w:p>
        </w:tc>
      </w:tr>
      <w:tr w:rsidR="00324483" w:rsidRPr="0066263B" w:rsidTr="00D6430A">
        <w:trPr>
          <w:trHeight w:val="315"/>
          <w:jc w:val="center"/>
        </w:trPr>
        <w:tc>
          <w:tcPr>
            <w:tcW w:w="562" w:type="pct"/>
            <w:vAlign w:val="center"/>
          </w:tcPr>
          <w:p w:rsidR="00324483" w:rsidRPr="0066263B" w:rsidRDefault="00324483"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2018</w:t>
            </w:r>
          </w:p>
        </w:tc>
        <w:tc>
          <w:tcPr>
            <w:tcW w:w="1060" w:type="pct"/>
            <w:noWrap/>
            <w:vAlign w:val="center"/>
          </w:tcPr>
          <w:p w:rsidR="00324483" w:rsidRPr="0066263B" w:rsidRDefault="00324483"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1210982</w:t>
            </w:r>
          </w:p>
        </w:tc>
        <w:tc>
          <w:tcPr>
            <w:tcW w:w="1060" w:type="pct"/>
            <w:noWrap/>
            <w:vAlign w:val="center"/>
          </w:tcPr>
          <w:p w:rsidR="00324483" w:rsidRPr="0066263B" w:rsidRDefault="00324483"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179395</w:t>
            </w:r>
          </w:p>
        </w:tc>
        <w:tc>
          <w:tcPr>
            <w:tcW w:w="1060" w:type="pct"/>
            <w:noWrap/>
            <w:vAlign w:val="center"/>
          </w:tcPr>
          <w:p w:rsidR="00324483" w:rsidRPr="0066263B" w:rsidRDefault="009A2002"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76511</w:t>
            </w:r>
          </w:p>
        </w:tc>
        <w:tc>
          <w:tcPr>
            <w:tcW w:w="1258" w:type="pct"/>
            <w:noWrap/>
            <w:vAlign w:val="center"/>
          </w:tcPr>
          <w:p w:rsidR="00324483" w:rsidRPr="0066263B" w:rsidRDefault="009A2002" w:rsidP="00D6430A">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955076</w:t>
            </w:r>
          </w:p>
        </w:tc>
      </w:tr>
      <w:tr w:rsidR="00CA5892" w:rsidRPr="0066263B" w:rsidTr="00D6430A">
        <w:trPr>
          <w:trHeight w:val="315"/>
          <w:jc w:val="center"/>
        </w:trPr>
        <w:tc>
          <w:tcPr>
            <w:tcW w:w="562" w:type="pct"/>
            <w:vAlign w:val="center"/>
          </w:tcPr>
          <w:p w:rsidR="00CA5892" w:rsidRPr="0066263B" w:rsidRDefault="00CA5892"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2019</w:t>
            </w:r>
          </w:p>
        </w:tc>
        <w:tc>
          <w:tcPr>
            <w:tcW w:w="1060" w:type="pct"/>
            <w:noWrap/>
            <w:vAlign w:val="center"/>
          </w:tcPr>
          <w:p w:rsidR="00CA5892" w:rsidRPr="0066263B" w:rsidRDefault="00CA5892" w:rsidP="00D6430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1192491</w:t>
            </w:r>
          </w:p>
        </w:tc>
        <w:tc>
          <w:tcPr>
            <w:tcW w:w="1060" w:type="pct"/>
            <w:noWrap/>
            <w:vAlign w:val="center"/>
          </w:tcPr>
          <w:p w:rsidR="00CA5892" w:rsidRPr="0066263B" w:rsidRDefault="00CA5892"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191317</w:t>
            </w:r>
          </w:p>
        </w:tc>
        <w:tc>
          <w:tcPr>
            <w:tcW w:w="1060" w:type="pct"/>
            <w:noWrap/>
            <w:vAlign w:val="center"/>
          </w:tcPr>
          <w:p w:rsidR="00CA5892" w:rsidRPr="0066263B" w:rsidRDefault="00CA5892"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34883</w:t>
            </w:r>
          </w:p>
        </w:tc>
        <w:tc>
          <w:tcPr>
            <w:tcW w:w="1258" w:type="pct"/>
            <w:noWrap/>
            <w:vAlign w:val="center"/>
          </w:tcPr>
          <w:p w:rsidR="00CA5892" w:rsidRPr="0066263B" w:rsidRDefault="00CA5892"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966291</w:t>
            </w:r>
          </w:p>
        </w:tc>
      </w:tr>
      <w:tr w:rsidR="002D37C7" w:rsidRPr="0066263B" w:rsidTr="00D6430A">
        <w:trPr>
          <w:trHeight w:val="315"/>
          <w:jc w:val="center"/>
        </w:trPr>
        <w:tc>
          <w:tcPr>
            <w:tcW w:w="562" w:type="pct"/>
            <w:vAlign w:val="center"/>
          </w:tcPr>
          <w:p w:rsidR="002D37C7" w:rsidRPr="0066263B" w:rsidRDefault="002D37C7"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2020</w:t>
            </w:r>
          </w:p>
        </w:tc>
        <w:tc>
          <w:tcPr>
            <w:tcW w:w="1060" w:type="pct"/>
            <w:noWrap/>
            <w:vAlign w:val="center"/>
          </w:tcPr>
          <w:p w:rsidR="002D37C7" w:rsidRPr="0066263B" w:rsidRDefault="002D37C7" w:rsidP="00D6430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eastAsia="ru-RU"/>
              </w:rPr>
              <w:t>1182682</w:t>
            </w:r>
          </w:p>
        </w:tc>
        <w:tc>
          <w:tcPr>
            <w:tcW w:w="1060" w:type="pct"/>
            <w:noWrap/>
            <w:vAlign w:val="center"/>
          </w:tcPr>
          <w:p w:rsidR="002D37C7" w:rsidRPr="0066263B" w:rsidRDefault="00D6430A"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188855</w:t>
            </w:r>
          </w:p>
        </w:tc>
        <w:tc>
          <w:tcPr>
            <w:tcW w:w="1060" w:type="pct"/>
            <w:noWrap/>
            <w:vAlign w:val="center"/>
          </w:tcPr>
          <w:p w:rsidR="002D37C7" w:rsidRPr="0066263B" w:rsidRDefault="00D6430A"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55345</w:t>
            </w:r>
          </w:p>
        </w:tc>
        <w:tc>
          <w:tcPr>
            <w:tcW w:w="1258" w:type="pct"/>
            <w:noWrap/>
            <w:vAlign w:val="center"/>
          </w:tcPr>
          <w:p w:rsidR="002D37C7" w:rsidRPr="0066263B" w:rsidRDefault="00D6430A" w:rsidP="00D6430A">
            <w:pPr>
              <w:spacing w:before="20" w:after="20"/>
              <w:jc w:val="center"/>
              <w:rPr>
                <w:rFonts w:ascii="Times New Roman" w:eastAsia="Calibri" w:hAnsi="Times New Roman" w:cs="Times New Roman"/>
              </w:rPr>
            </w:pPr>
            <w:r w:rsidRPr="0066263B">
              <w:rPr>
                <w:rFonts w:ascii="Times New Roman" w:eastAsia="Calibri" w:hAnsi="Times New Roman" w:cs="Times New Roman"/>
              </w:rPr>
              <w:t>938482</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D6430A" w:rsidRPr="0066263B" w:rsidRDefault="00D6430A" w:rsidP="00B35BC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На начало 2020 года на территории области проживало 327,5 тыс. человек старше трудоспособного возраста или 27,5% от общей численности населения (2019 – 28,4%), т. е. каждый четвёртый житель области был пенсионного возраста.</w:t>
      </w:r>
    </w:p>
    <w:p w:rsidR="00D6430A" w:rsidRPr="0066263B" w:rsidRDefault="00D6430A" w:rsidP="00B35BC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Численность населения трудоспособного возраста на начало 2020 года составила 661,6 тыс. человек или 55,5% населения (2019 – 54,5%).</w:t>
      </w:r>
    </w:p>
    <w:p w:rsidR="00D6430A" w:rsidRPr="0066263B" w:rsidRDefault="00D6430A" w:rsidP="00B35BC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Доля лиц моложе трудоспособного возраста </w:t>
      </w:r>
      <w:r w:rsidR="00244FFD" w:rsidRPr="0066263B">
        <w:rPr>
          <w:rFonts w:ascii="Times New Roman" w:eastAsia="Times New Roman" w:hAnsi="Times New Roman" w:cs="Times New Roman"/>
          <w:sz w:val="24"/>
          <w:szCs w:val="24"/>
          <w:lang w:eastAsia="ru-RU"/>
        </w:rPr>
        <w:t xml:space="preserve">на 01.01.2020 </w:t>
      </w:r>
      <w:r w:rsidRPr="0066263B">
        <w:rPr>
          <w:rFonts w:ascii="Times New Roman" w:eastAsia="Times New Roman" w:hAnsi="Times New Roman" w:cs="Times New Roman"/>
          <w:sz w:val="24"/>
          <w:szCs w:val="24"/>
          <w:lang w:eastAsia="ru-RU"/>
        </w:rPr>
        <w:t>составила 17,0% (2019 – 17,1%).</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8"/>
          <w:szCs w:val="24"/>
          <w:lang w:eastAsia="ru-RU"/>
        </w:rPr>
        <w:drawing>
          <wp:inline distT="0" distB="0" distL="0" distR="0">
            <wp:extent cx="5784850" cy="2175933"/>
            <wp:effectExtent l="0" t="0" r="6350" b="0"/>
            <wp:docPr id="2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4483" w:rsidRPr="0066263B" w:rsidRDefault="00324483" w:rsidP="00324483">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Среднегодовая численность населения Брянской области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5B057C" w:rsidRPr="0066263B" w:rsidRDefault="005B057C"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течение нескольких </w:t>
      </w:r>
      <w:proofErr w:type="gramStart"/>
      <w:r w:rsidRPr="0066263B">
        <w:rPr>
          <w:rFonts w:ascii="Times New Roman" w:eastAsia="Times New Roman" w:hAnsi="Times New Roman" w:cs="Times New Roman"/>
          <w:sz w:val="24"/>
          <w:szCs w:val="24"/>
          <w:lang w:eastAsia="ru-RU"/>
        </w:rPr>
        <w:t>десятилетий</w:t>
      </w:r>
      <w:proofErr w:type="gramEnd"/>
      <w:r w:rsidRPr="0066263B">
        <w:rPr>
          <w:rFonts w:ascii="Times New Roman" w:eastAsia="Times New Roman" w:hAnsi="Times New Roman" w:cs="Times New Roman"/>
          <w:sz w:val="24"/>
          <w:szCs w:val="24"/>
          <w:lang w:eastAsia="ru-RU"/>
        </w:rPr>
        <w:t xml:space="preserve"> как в России, так и в области наблюдается диспропорция населения по полу: мужчин меньше, чем женщин. В общей численности населения области мужчины составляют 45,8%, женщины – 54,2%. Наиболее ярко выражена диспропорция по полу в пенсионном возрасте: численность женщин в 2,5 раза превышает численность мужчин.</w:t>
      </w:r>
    </w:p>
    <w:p w:rsidR="005B057C" w:rsidRDefault="005B057C" w:rsidP="005B057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Основной причиной сокращения численности населения является естественная убыль населения, т. е. превышение смертности над рождаемостью. Она наблюдается в области с 1991 года. За 12 месяцев 2020 года естественная убыль населения составила 10 605 человек или -8,9 на 1 тыс. населения, что на 39,0% выше показателя 2019 года</w:t>
      </w:r>
      <w:r w:rsidRPr="0066263B">
        <w:rPr>
          <w:rFonts w:ascii="Times New Roman" w:eastAsia="Times New Roman" w:hAnsi="Times New Roman" w:cs="Times New Roman"/>
          <w:sz w:val="24"/>
          <w:szCs w:val="24"/>
          <w:lang w:eastAsia="ru-RU"/>
        </w:rPr>
        <w:br/>
        <w:t>(-6,4), но на 17,6% ниже показателя 2005 года -10,8 на 1 тыс. населения, когда отмечался самый высокий уровень естественной убыли населения в области (рис. 4).</w:t>
      </w:r>
    </w:p>
    <w:p w:rsidR="00EC1D99" w:rsidRPr="0066263B" w:rsidRDefault="00EC1D99" w:rsidP="005B057C">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2621337"/>
            <wp:effectExtent l="0" t="0" r="0" b="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4483" w:rsidRPr="0066263B" w:rsidRDefault="00324483"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4</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Показатели естественной убыли населения, на 1 000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Рождаемость и смертность на территории Брянской области</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2"/>
        <w:gridCol w:w="1568"/>
        <w:gridCol w:w="1168"/>
        <w:gridCol w:w="1168"/>
        <w:gridCol w:w="1168"/>
        <w:gridCol w:w="1158"/>
      </w:tblGrid>
      <w:tr w:rsidR="00480942" w:rsidRPr="0066263B" w:rsidTr="009F1B1B">
        <w:trPr>
          <w:trHeight w:val="98"/>
        </w:trPr>
        <w:tc>
          <w:tcPr>
            <w:tcW w:w="2430" w:type="pct"/>
            <w:gridSpan w:val="2"/>
            <w:vAlign w:val="center"/>
          </w:tcPr>
          <w:p w:rsidR="00480942" w:rsidRPr="0066263B" w:rsidRDefault="00480942" w:rsidP="00324483">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Показатель</w:t>
            </w:r>
          </w:p>
        </w:tc>
        <w:tc>
          <w:tcPr>
            <w:tcW w:w="644" w:type="pct"/>
          </w:tcPr>
          <w:p w:rsidR="00480942" w:rsidRPr="0066263B" w:rsidRDefault="00480942" w:rsidP="004950AC">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2017</w:t>
            </w:r>
          </w:p>
        </w:tc>
        <w:tc>
          <w:tcPr>
            <w:tcW w:w="644" w:type="pct"/>
          </w:tcPr>
          <w:p w:rsidR="00480942" w:rsidRPr="0066263B" w:rsidRDefault="00480942" w:rsidP="004950AC">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2018</w:t>
            </w:r>
          </w:p>
        </w:tc>
        <w:tc>
          <w:tcPr>
            <w:tcW w:w="644" w:type="pct"/>
          </w:tcPr>
          <w:p w:rsidR="00480942" w:rsidRPr="0066263B" w:rsidRDefault="00480942" w:rsidP="004950AC">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2019</w:t>
            </w:r>
          </w:p>
        </w:tc>
        <w:tc>
          <w:tcPr>
            <w:tcW w:w="639" w:type="pct"/>
          </w:tcPr>
          <w:p w:rsidR="00480942" w:rsidRPr="0066263B" w:rsidRDefault="00480942" w:rsidP="00324483">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2020</w:t>
            </w:r>
          </w:p>
        </w:tc>
      </w:tr>
      <w:tr w:rsidR="009F1B1B" w:rsidRPr="0066263B" w:rsidTr="009F1B1B">
        <w:tc>
          <w:tcPr>
            <w:tcW w:w="1566" w:type="pct"/>
            <w:vAlign w:val="center"/>
          </w:tcPr>
          <w:p w:rsidR="009F1B1B" w:rsidRPr="0066263B" w:rsidRDefault="009F1B1B"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 xml:space="preserve">Количество </w:t>
            </w:r>
            <w:proofErr w:type="gramStart"/>
            <w:r w:rsidRPr="0066263B">
              <w:rPr>
                <w:rFonts w:ascii="Times New Roman" w:eastAsia="Calibri" w:hAnsi="Times New Roman" w:cs="Times New Roman"/>
                <w:lang w:eastAsia="ru-RU"/>
              </w:rPr>
              <w:t>родившихся</w:t>
            </w:r>
            <w:proofErr w:type="gramEnd"/>
          </w:p>
        </w:tc>
        <w:tc>
          <w:tcPr>
            <w:tcW w:w="864" w:type="pct"/>
            <w:vAlign w:val="center"/>
          </w:tcPr>
          <w:p w:rsidR="009F1B1B" w:rsidRPr="0066263B" w:rsidRDefault="009F1B1B" w:rsidP="00324483">
            <w:pPr>
              <w:spacing w:before="20" w:after="20"/>
              <w:ind w:left="57"/>
              <w:rPr>
                <w:rFonts w:ascii="Times New Roman" w:eastAsia="Calibri" w:hAnsi="Times New Roman" w:cs="Times New Roman"/>
                <w:smallCaps/>
              </w:rPr>
            </w:pPr>
            <w:r w:rsidRPr="0066263B">
              <w:rPr>
                <w:rFonts w:ascii="Times New Roman" w:eastAsia="Calibri" w:hAnsi="Times New Roman" w:cs="Times New Roman"/>
              </w:rPr>
              <w:t>Абс.</w:t>
            </w:r>
          </w:p>
        </w:tc>
        <w:tc>
          <w:tcPr>
            <w:tcW w:w="644" w:type="pct"/>
            <w:vAlign w:val="center"/>
          </w:tcPr>
          <w:p w:rsidR="009F1B1B" w:rsidRPr="0066263B" w:rsidRDefault="009F1B1B" w:rsidP="009F1B1B">
            <w:pPr>
              <w:spacing w:before="20" w:after="20"/>
              <w:jc w:val="center"/>
              <w:rPr>
                <w:rFonts w:ascii="Times New Roman" w:eastAsia="Calibri" w:hAnsi="Times New Roman" w:cs="Times New Roman"/>
              </w:rPr>
            </w:pPr>
            <w:r w:rsidRPr="0066263B">
              <w:rPr>
                <w:rFonts w:ascii="Times New Roman" w:eastAsia="Calibri" w:hAnsi="Times New Roman" w:cs="Times New Roman"/>
              </w:rPr>
              <w:t>11553</w:t>
            </w:r>
          </w:p>
        </w:tc>
        <w:tc>
          <w:tcPr>
            <w:tcW w:w="644" w:type="pct"/>
            <w:vAlign w:val="center"/>
          </w:tcPr>
          <w:p w:rsidR="009F1B1B" w:rsidRPr="0066263B" w:rsidRDefault="009F1B1B" w:rsidP="004950AC">
            <w:pPr>
              <w:spacing w:before="20" w:after="20"/>
              <w:jc w:val="center"/>
              <w:rPr>
                <w:rFonts w:ascii="Times New Roman" w:eastAsia="Calibri" w:hAnsi="Times New Roman" w:cs="Times New Roman"/>
              </w:rPr>
            </w:pPr>
            <w:r w:rsidRPr="0066263B">
              <w:rPr>
                <w:rFonts w:ascii="Times New Roman" w:eastAsia="Calibri" w:hAnsi="Times New Roman" w:cs="Times New Roman"/>
              </w:rPr>
              <w:t>11118</w:t>
            </w:r>
          </w:p>
        </w:tc>
        <w:tc>
          <w:tcPr>
            <w:tcW w:w="644" w:type="pct"/>
            <w:vAlign w:val="center"/>
          </w:tcPr>
          <w:p w:rsidR="009F1B1B" w:rsidRPr="0066263B" w:rsidRDefault="009F1B1B" w:rsidP="004950AC">
            <w:pPr>
              <w:spacing w:before="20" w:after="20"/>
              <w:jc w:val="center"/>
              <w:rPr>
                <w:rFonts w:ascii="Times New Roman" w:eastAsia="Calibri" w:hAnsi="Times New Roman" w:cs="Times New Roman"/>
              </w:rPr>
            </w:pPr>
            <w:r w:rsidRPr="0066263B">
              <w:rPr>
                <w:rFonts w:ascii="Times New Roman" w:eastAsia="Calibri" w:hAnsi="Times New Roman" w:cs="Times New Roman"/>
              </w:rPr>
              <w:t>9956</w:t>
            </w:r>
          </w:p>
        </w:tc>
        <w:tc>
          <w:tcPr>
            <w:tcW w:w="639" w:type="pct"/>
            <w:vAlign w:val="center"/>
          </w:tcPr>
          <w:p w:rsidR="009F1B1B" w:rsidRPr="0066263B" w:rsidRDefault="009F1B1B"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9480</w:t>
            </w:r>
          </w:p>
        </w:tc>
      </w:tr>
      <w:tr w:rsidR="009F1B1B" w:rsidRPr="0066263B" w:rsidTr="009F1B1B">
        <w:tc>
          <w:tcPr>
            <w:tcW w:w="1566" w:type="pct"/>
            <w:vAlign w:val="center"/>
          </w:tcPr>
          <w:p w:rsidR="009F1B1B" w:rsidRPr="0066263B" w:rsidRDefault="009F1B1B"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Показатель рождаемости</w:t>
            </w:r>
          </w:p>
        </w:tc>
        <w:tc>
          <w:tcPr>
            <w:tcW w:w="864" w:type="pct"/>
            <w:vAlign w:val="center"/>
          </w:tcPr>
          <w:p w:rsidR="009F1B1B" w:rsidRPr="0066263B" w:rsidRDefault="009F1B1B" w:rsidP="00324483">
            <w:pPr>
              <w:spacing w:before="20" w:after="20"/>
              <w:ind w:left="57"/>
              <w:rPr>
                <w:rFonts w:ascii="Times New Roman" w:eastAsia="Calibri" w:hAnsi="Times New Roman" w:cs="Times New Roman"/>
              </w:rPr>
            </w:pPr>
            <w:r w:rsidRPr="0066263B">
              <w:rPr>
                <w:rFonts w:ascii="Times New Roman" w:eastAsia="Calibri" w:hAnsi="Times New Roman" w:cs="Times New Roman"/>
              </w:rPr>
              <w:t>На 1000 чел.</w:t>
            </w:r>
          </w:p>
        </w:tc>
        <w:tc>
          <w:tcPr>
            <w:tcW w:w="644" w:type="pct"/>
            <w:vAlign w:val="center"/>
          </w:tcPr>
          <w:p w:rsidR="009F1B1B" w:rsidRPr="0066263B" w:rsidRDefault="009F1B1B" w:rsidP="006C3961">
            <w:pPr>
              <w:spacing w:before="20" w:after="20"/>
              <w:jc w:val="center"/>
              <w:rPr>
                <w:rFonts w:ascii="Times New Roman" w:eastAsia="Calibri" w:hAnsi="Times New Roman" w:cs="Times New Roman"/>
              </w:rPr>
            </w:pPr>
            <w:r w:rsidRPr="0066263B">
              <w:rPr>
                <w:rFonts w:ascii="Times New Roman" w:eastAsia="Calibri" w:hAnsi="Times New Roman" w:cs="Times New Roman"/>
              </w:rPr>
              <w:t>9,5</w:t>
            </w:r>
          </w:p>
        </w:tc>
        <w:tc>
          <w:tcPr>
            <w:tcW w:w="644" w:type="pct"/>
            <w:vAlign w:val="center"/>
          </w:tcPr>
          <w:p w:rsidR="009F1B1B" w:rsidRPr="0066263B" w:rsidRDefault="009F1B1B" w:rsidP="004950AC">
            <w:pPr>
              <w:spacing w:before="20" w:after="20"/>
              <w:jc w:val="center"/>
              <w:rPr>
                <w:rFonts w:ascii="Times New Roman" w:eastAsia="Calibri" w:hAnsi="Times New Roman" w:cs="Times New Roman"/>
              </w:rPr>
            </w:pPr>
            <w:r w:rsidRPr="0066263B">
              <w:rPr>
                <w:rFonts w:ascii="Times New Roman" w:eastAsia="Calibri" w:hAnsi="Times New Roman" w:cs="Times New Roman"/>
              </w:rPr>
              <w:t>9,2</w:t>
            </w:r>
          </w:p>
        </w:tc>
        <w:tc>
          <w:tcPr>
            <w:tcW w:w="644" w:type="pct"/>
            <w:vAlign w:val="center"/>
          </w:tcPr>
          <w:p w:rsidR="009F1B1B" w:rsidRPr="0066263B" w:rsidRDefault="009F1B1B" w:rsidP="004950AC">
            <w:pPr>
              <w:spacing w:before="20" w:after="20"/>
              <w:jc w:val="center"/>
              <w:rPr>
                <w:rFonts w:ascii="Times New Roman" w:eastAsia="Calibri" w:hAnsi="Times New Roman" w:cs="Times New Roman"/>
              </w:rPr>
            </w:pPr>
            <w:r w:rsidRPr="0066263B">
              <w:rPr>
                <w:rFonts w:ascii="Times New Roman" w:eastAsia="Calibri" w:hAnsi="Times New Roman" w:cs="Times New Roman"/>
              </w:rPr>
              <w:t>8,3</w:t>
            </w:r>
          </w:p>
        </w:tc>
        <w:tc>
          <w:tcPr>
            <w:tcW w:w="639" w:type="pct"/>
            <w:vAlign w:val="center"/>
          </w:tcPr>
          <w:p w:rsidR="009F1B1B" w:rsidRPr="0066263B" w:rsidRDefault="009F1B1B"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8,0</w:t>
            </w:r>
          </w:p>
        </w:tc>
      </w:tr>
      <w:tr w:rsidR="009F1B1B" w:rsidRPr="0066263B" w:rsidTr="009F1B1B">
        <w:tc>
          <w:tcPr>
            <w:tcW w:w="1566" w:type="pct"/>
            <w:vAlign w:val="center"/>
          </w:tcPr>
          <w:p w:rsidR="009F1B1B" w:rsidRPr="0066263B" w:rsidRDefault="009F1B1B"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 xml:space="preserve">Количество </w:t>
            </w:r>
            <w:proofErr w:type="gramStart"/>
            <w:r w:rsidRPr="0066263B">
              <w:rPr>
                <w:rFonts w:ascii="Times New Roman" w:eastAsia="Calibri" w:hAnsi="Times New Roman" w:cs="Times New Roman"/>
                <w:lang w:eastAsia="ru-RU"/>
              </w:rPr>
              <w:t>умерших</w:t>
            </w:r>
            <w:proofErr w:type="gramEnd"/>
          </w:p>
        </w:tc>
        <w:tc>
          <w:tcPr>
            <w:tcW w:w="864" w:type="pct"/>
            <w:vAlign w:val="center"/>
          </w:tcPr>
          <w:p w:rsidR="009F1B1B" w:rsidRPr="0066263B" w:rsidRDefault="009F1B1B" w:rsidP="00324483">
            <w:pPr>
              <w:spacing w:before="20" w:after="20"/>
              <w:ind w:left="57"/>
              <w:rPr>
                <w:rFonts w:ascii="Times New Roman" w:eastAsia="Calibri" w:hAnsi="Times New Roman" w:cs="Times New Roman"/>
                <w:smallCaps/>
              </w:rPr>
            </w:pPr>
            <w:r w:rsidRPr="0066263B">
              <w:rPr>
                <w:rFonts w:ascii="Times New Roman" w:eastAsia="Calibri" w:hAnsi="Times New Roman" w:cs="Times New Roman"/>
              </w:rPr>
              <w:t>Абс.</w:t>
            </w:r>
          </w:p>
        </w:tc>
        <w:tc>
          <w:tcPr>
            <w:tcW w:w="644" w:type="pct"/>
            <w:vAlign w:val="center"/>
          </w:tcPr>
          <w:p w:rsidR="009F1B1B" w:rsidRPr="0066263B" w:rsidRDefault="009F1B1B" w:rsidP="009F1B1B">
            <w:pPr>
              <w:spacing w:before="20" w:after="20"/>
              <w:jc w:val="center"/>
              <w:rPr>
                <w:rFonts w:ascii="Times New Roman" w:eastAsia="Calibri" w:hAnsi="Times New Roman" w:cs="Times New Roman"/>
              </w:rPr>
            </w:pPr>
            <w:r w:rsidRPr="0066263B">
              <w:rPr>
                <w:rFonts w:ascii="Times New Roman" w:eastAsia="Calibri" w:hAnsi="Times New Roman" w:cs="Times New Roman"/>
              </w:rPr>
              <w:t>18597</w:t>
            </w:r>
          </w:p>
        </w:tc>
        <w:tc>
          <w:tcPr>
            <w:tcW w:w="644" w:type="pct"/>
            <w:vAlign w:val="center"/>
          </w:tcPr>
          <w:p w:rsidR="009F1B1B" w:rsidRPr="0066263B" w:rsidRDefault="009F1B1B" w:rsidP="004950AC">
            <w:pPr>
              <w:spacing w:before="20" w:after="20"/>
              <w:jc w:val="center"/>
              <w:rPr>
                <w:rFonts w:ascii="Times New Roman" w:eastAsia="Calibri" w:hAnsi="Times New Roman" w:cs="Times New Roman"/>
              </w:rPr>
            </w:pPr>
            <w:r w:rsidRPr="0066263B">
              <w:rPr>
                <w:rFonts w:ascii="Times New Roman" w:eastAsia="Calibri" w:hAnsi="Times New Roman" w:cs="Times New Roman"/>
              </w:rPr>
              <w:t>18273</w:t>
            </w:r>
          </w:p>
        </w:tc>
        <w:tc>
          <w:tcPr>
            <w:tcW w:w="644" w:type="pct"/>
            <w:vAlign w:val="center"/>
          </w:tcPr>
          <w:p w:rsidR="009F1B1B" w:rsidRPr="0066263B" w:rsidRDefault="009F1B1B" w:rsidP="004950AC">
            <w:pPr>
              <w:spacing w:before="20" w:after="20"/>
              <w:jc w:val="center"/>
              <w:rPr>
                <w:rFonts w:ascii="Times New Roman" w:eastAsia="Calibri" w:hAnsi="Times New Roman" w:cs="Times New Roman"/>
              </w:rPr>
            </w:pPr>
            <w:r w:rsidRPr="0066263B">
              <w:rPr>
                <w:rFonts w:ascii="Times New Roman" w:eastAsia="Calibri" w:hAnsi="Times New Roman" w:cs="Times New Roman"/>
              </w:rPr>
              <w:t>17615</w:t>
            </w:r>
          </w:p>
        </w:tc>
        <w:tc>
          <w:tcPr>
            <w:tcW w:w="639" w:type="pct"/>
            <w:vAlign w:val="center"/>
          </w:tcPr>
          <w:p w:rsidR="009F1B1B" w:rsidRPr="0066263B" w:rsidRDefault="009F1B1B" w:rsidP="002F09DD">
            <w:pPr>
              <w:spacing w:before="20" w:after="20"/>
              <w:jc w:val="center"/>
              <w:rPr>
                <w:rFonts w:ascii="Times New Roman" w:eastAsia="Calibri" w:hAnsi="Times New Roman" w:cs="Times New Roman"/>
              </w:rPr>
            </w:pPr>
            <w:r w:rsidRPr="0066263B">
              <w:rPr>
                <w:rFonts w:ascii="Times New Roman" w:eastAsia="Calibri" w:hAnsi="Times New Roman" w:cs="Times New Roman"/>
              </w:rPr>
              <w:t>20085</w:t>
            </w:r>
          </w:p>
        </w:tc>
      </w:tr>
      <w:tr w:rsidR="009F1B1B" w:rsidRPr="0066263B" w:rsidTr="009F1B1B">
        <w:tc>
          <w:tcPr>
            <w:tcW w:w="1566" w:type="pct"/>
            <w:vAlign w:val="center"/>
          </w:tcPr>
          <w:p w:rsidR="009F1B1B" w:rsidRPr="0066263B" w:rsidRDefault="009F1B1B"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Показатель смертности</w:t>
            </w:r>
          </w:p>
        </w:tc>
        <w:tc>
          <w:tcPr>
            <w:tcW w:w="864" w:type="pct"/>
            <w:vAlign w:val="center"/>
          </w:tcPr>
          <w:p w:rsidR="009F1B1B" w:rsidRPr="0066263B" w:rsidRDefault="009F1B1B" w:rsidP="00324483">
            <w:pPr>
              <w:spacing w:before="20" w:after="20"/>
              <w:ind w:left="57"/>
              <w:rPr>
                <w:rFonts w:ascii="Times New Roman" w:eastAsia="Calibri" w:hAnsi="Times New Roman" w:cs="Times New Roman"/>
              </w:rPr>
            </w:pPr>
            <w:r w:rsidRPr="0066263B">
              <w:rPr>
                <w:rFonts w:ascii="Times New Roman" w:eastAsia="Calibri" w:hAnsi="Times New Roman" w:cs="Times New Roman"/>
              </w:rPr>
              <w:t>На 1000 чел.</w:t>
            </w:r>
          </w:p>
        </w:tc>
        <w:tc>
          <w:tcPr>
            <w:tcW w:w="644" w:type="pct"/>
            <w:vAlign w:val="center"/>
          </w:tcPr>
          <w:p w:rsidR="009F1B1B" w:rsidRPr="0066263B" w:rsidRDefault="009F1B1B" w:rsidP="006C3961">
            <w:pPr>
              <w:spacing w:before="20" w:after="20"/>
              <w:jc w:val="center"/>
              <w:rPr>
                <w:rFonts w:ascii="Times New Roman" w:eastAsia="Calibri" w:hAnsi="Times New Roman" w:cs="Times New Roman"/>
              </w:rPr>
            </w:pPr>
            <w:r w:rsidRPr="0066263B">
              <w:rPr>
                <w:rFonts w:ascii="Times New Roman" w:eastAsia="Calibri" w:hAnsi="Times New Roman" w:cs="Times New Roman"/>
              </w:rPr>
              <w:t>15,3</w:t>
            </w:r>
          </w:p>
        </w:tc>
        <w:tc>
          <w:tcPr>
            <w:tcW w:w="644" w:type="pct"/>
            <w:vAlign w:val="center"/>
          </w:tcPr>
          <w:p w:rsidR="009F1B1B" w:rsidRPr="0066263B" w:rsidRDefault="009F1B1B" w:rsidP="004950AC">
            <w:pPr>
              <w:spacing w:before="20" w:after="20"/>
              <w:jc w:val="center"/>
              <w:rPr>
                <w:rFonts w:ascii="Times New Roman" w:eastAsia="Calibri" w:hAnsi="Times New Roman" w:cs="Times New Roman"/>
              </w:rPr>
            </w:pPr>
            <w:r w:rsidRPr="0066263B">
              <w:rPr>
                <w:rFonts w:ascii="Times New Roman" w:eastAsia="Calibri" w:hAnsi="Times New Roman" w:cs="Times New Roman"/>
              </w:rPr>
              <w:t>15,2</w:t>
            </w:r>
          </w:p>
        </w:tc>
        <w:tc>
          <w:tcPr>
            <w:tcW w:w="644" w:type="pct"/>
            <w:vAlign w:val="center"/>
          </w:tcPr>
          <w:p w:rsidR="009F1B1B" w:rsidRPr="0066263B" w:rsidRDefault="009F1B1B" w:rsidP="004950AC">
            <w:pPr>
              <w:spacing w:before="20" w:after="20"/>
              <w:jc w:val="center"/>
              <w:rPr>
                <w:rFonts w:ascii="Times New Roman" w:eastAsia="Calibri" w:hAnsi="Times New Roman" w:cs="Times New Roman"/>
              </w:rPr>
            </w:pPr>
            <w:r w:rsidRPr="0066263B">
              <w:rPr>
                <w:rFonts w:ascii="Times New Roman" w:eastAsia="Calibri" w:hAnsi="Times New Roman" w:cs="Times New Roman"/>
              </w:rPr>
              <w:t>14,7</w:t>
            </w:r>
          </w:p>
        </w:tc>
        <w:tc>
          <w:tcPr>
            <w:tcW w:w="639" w:type="pct"/>
            <w:vAlign w:val="center"/>
          </w:tcPr>
          <w:p w:rsidR="009F1B1B" w:rsidRPr="0066263B" w:rsidRDefault="009F1B1B"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16,9</w:t>
            </w:r>
          </w:p>
        </w:tc>
      </w:tr>
    </w:tbl>
    <w:p w:rsidR="00324483" w:rsidRDefault="00324483" w:rsidP="00324483">
      <w:pPr>
        <w:spacing w:before="0" w:after="0"/>
        <w:ind w:firstLine="709"/>
        <w:rPr>
          <w:rFonts w:ascii="Times New Roman" w:eastAsia="Calibri" w:hAnsi="Times New Roman" w:cs="Times New Roman"/>
          <w:sz w:val="24"/>
          <w:szCs w:val="24"/>
        </w:rPr>
      </w:pPr>
    </w:p>
    <w:p w:rsidR="0058299B" w:rsidRDefault="0058299B" w:rsidP="00324483">
      <w:pPr>
        <w:spacing w:before="0" w:after="0"/>
        <w:ind w:firstLine="709"/>
        <w:rPr>
          <w:rFonts w:ascii="Times New Roman" w:eastAsia="Calibri" w:hAnsi="Times New Roman" w:cs="Times New Roman"/>
          <w:sz w:val="24"/>
          <w:szCs w:val="24"/>
        </w:rPr>
      </w:pPr>
    </w:p>
    <w:p w:rsidR="0058299B" w:rsidRDefault="0058299B" w:rsidP="00324483">
      <w:pPr>
        <w:spacing w:before="0" w:after="0"/>
        <w:ind w:firstLine="709"/>
        <w:rPr>
          <w:rFonts w:ascii="Times New Roman" w:eastAsia="Calibri" w:hAnsi="Times New Roman" w:cs="Times New Roman"/>
          <w:sz w:val="24"/>
          <w:szCs w:val="24"/>
        </w:rPr>
      </w:pPr>
    </w:p>
    <w:p w:rsidR="0058299B" w:rsidRPr="0066263B" w:rsidRDefault="0058299B" w:rsidP="00324483">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jc w:val="center"/>
        <w:rPr>
          <w:rFonts w:ascii="Times New Roman" w:eastAsia="Calibri" w:hAnsi="Times New Roman" w:cs="Times New Roman"/>
          <w:sz w:val="24"/>
          <w:szCs w:val="24"/>
        </w:rPr>
      </w:pPr>
      <w:r w:rsidRPr="0066263B">
        <w:rPr>
          <w:rFonts w:ascii="Times New Roman" w:eastAsia="Calibri" w:hAnsi="Times New Roman" w:cs="Times New Roman"/>
          <w:noProof/>
          <w:sz w:val="24"/>
          <w:szCs w:val="24"/>
          <w:lang w:eastAsia="ru-RU"/>
        </w:rPr>
        <w:drawing>
          <wp:inline distT="0" distB="0" distL="0" distR="0">
            <wp:extent cx="5755963" cy="2256929"/>
            <wp:effectExtent l="0" t="0" r="0" b="0"/>
            <wp:docPr id="1473"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p>
    <w:p w:rsidR="00324483" w:rsidRPr="0066263B" w:rsidRDefault="00324483" w:rsidP="00324483">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5</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Динамика рождаемости и смертности на территории Брянской области</w:t>
      </w:r>
    </w:p>
    <w:p w:rsidR="00513EE8" w:rsidRDefault="00513EE8" w:rsidP="00324483">
      <w:pPr>
        <w:spacing w:before="0" w:after="0"/>
        <w:ind w:firstLine="709"/>
        <w:rPr>
          <w:rFonts w:ascii="Times New Roman" w:eastAsia="Times New Roman" w:hAnsi="Times New Roman" w:cs="Times New Roman"/>
          <w:sz w:val="24"/>
          <w:szCs w:val="24"/>
          <w:lang w:eastAsia="ru-RU"/>
        </w:rPr>
      </w:pPr>
    </w:p>
    <w:p w:rsidR="0058299B" w:rsidRDefault="0058299B" w:rsidP="00324483">
      <w:pPr>
        <w:spacing w:before="0" w:after="0"/>
        <w:ind w:firstLine="709"/>
        <w:rPr>
          <w:rFonts w:ascii="Times New Roman" w:eastAsia="Times New Roman" w:hAnsi="Times New Roman" w:cs="Times New Roman"/>
          <w:sz w:val="24"/>
          <w:szCs w:val="24"/>
          <w:lang w:eastAsia="ru-RU"/>
        </w:rPr>
      </w:pPr>
    </w:p>
    <w:p w:rsidR="005B057C" w:rsidRPr="0066263B" w:rsidRDefault="005B057C" w:rsidP="005B057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12 месяцев 2020 года в области зарегистрировано 9 480 новорождённых, что на 476 детей меньше, чем за предыдущий год (9 956). В 2020 году родился недоношенным 481 ребёнок (5,1%) (2019 – 502 ребёнка или 5,0%); из них с очень низкой и экстремально низкой массой тела – 97 детей (20,2%) (2019 – 81 ребёнок или 16,1%). Общий коэффициент рождаемости за 12 месяцев 2020 года составил 8,0 рождения на 1</w:t>
      </w:r>
      <w:r w:rsidR="0058299B">
        <w:rPr>
          <w:rFonts w:ascii="Times New Roman" w:eastAsia="Times New Roman" w:hAnsi="Times New Roman" w:cs="Times New Roman"/>
          <w:sz w:val="24"/>
          <w:szCs w:val="24"/>
          <w:lang w:eastAsia="ru-RU"/>
        </w:rPr>
        <w:t>000</w:t>
      </w:r>
      <w:r w:rsidRPr="0066263B">
        <w:rPr>
          <w:rFonts w:ascii="Times New Roman" w:eastAsia="Times New Roman" w:hAnsi="Times New Roman" w:cs="Times New Roman"/>
          <w:sz w:val="24"/>
          <w:szCs w:val="24"/>
          <w:lang w:eastAsia="ru-RU"/>
        </w:rPr>
        <w:t xml:space="preserve"> населения, что на 3,6% ниже показателя 2019 года (8,3</w:t>
      </w:r>
      <w:r w:rsidR="0058299B">
        <w:rPr>
          <w:rFonts w:ascii="Times New Roman" w:eastAsia="Times New Roman" w:hAnsi="Times New Roman" w:cs="Times New Roman"/>
          <w:sz w:val="24"/>
          <w:szCs w:val="24"/>
          <w:lang w:eastAsia="ru-RU"/>
        </w:rPr>
        <w:t xml:space="preserve"> </w:t>
      </w:r>
      <w:r w:rsidR="0058299B" w:rsidRPr="0066263B">
        <w:rPr>
          <w:rFonts w:ascii="Times New Roman" w:eastAsia="Times New Roman" w:hAnsi="Times New Roman" w:cs="Times New Roman"/>
          <w:sz w:val="24"/>
          <w:szCs w:val="24"/>
          <w:lang w:eastAsia="ru-RU"/>
        </w:rPr>
        <w:t>на 1</w:t>
      </w:r>
      <w:r w:rsidR="0058299B">
        <w:rPr>
          <w:rFonts w:ascii="Times New Roman" w:eastAsia="Times New Roman" w:hAnsi="Times New Roman" w:cs="Times New Roman"/>
          <w:sz w:val="24"/>
          <w:szCs w:val="24"/>
          <w:lang w:eastAsia="ru-RU"/>
        </w:rPr>
        <w:t>000</w:t>
      </w:r>
      <w:r w:rsidR="0058299B" w:rsidRPr="0066263B">
        <w:rPr>
          <w:rFonts w:ascii="Times New Roman" w:eastAsia="Times New Roman" w:hAnsi="Times New Roman" w:cs="Times New Roman"/>
          <w:sz w:val="24"/>
          <w:szCs w:val="24"/>
          <w:lang w:eastAsia="ru-RU"/>
        </w:rPr>
        <w:t xml:space="preserve"> населения</w:t>
      </w:r>
      <w:r w:rsidRPr="0066263B">
        <w:rPr>
          <w:rFonts w:ascii="Times New Roman" w:eastAsia="Times New Roman" w:hAnsi="Times New Roman" w:cs="Times New Roman"/>
          <w:sz w:val="24"/>
          <w:szCs w:val="24"/>
          <w:lang w:eastAsia="ru-RU"/>
        </w:rPr>
        <w:t>) и на 15,3% ниже показателя по России (2020 – 9,8</w:t>
      </w:r>
      <w:r w:rsidR="0058299B">
        <w:rPr>
          <w:rFonts w:ascii="Times New Roman" w:eastAsia="Times New Roman" w:hAnsi="Times New Roman" w:cs="Times New Roman"/>
          <w:sz w:val="24"/>
          <w:szCs w:val="24"/>
          <w:lang w:eastAsia="ru-RU"/>
        </w:rPr>
        <w:t xml:space="preserve"> </w:t>
      </w:r>
      <w:r w:rsidR="0058299B" w:rsidRPr="0066263B">
        <w:rPr>
          <w:rFonts w:ascii="Times New Roman" w:eastAsia="Times New Roman" w:hAnsi="Times New Roman" w:cs="Times New Roman"/>
          <w:sz w:val="24"/>
          <w:szCs w:val="24"/>
          <w:lang w:eastAsia="ru-RU"/>
        </w:rPr>
        <w:t>на 1</w:t>
      </w:r>
      <w:r w:rsidR="0058299B">
        <w:rPr>
          <w:rFonts w:ascii="Times New Roman" w:eastAsia="Times New Roman" w:hAnsi="Times New Roman" w:cs="Times New Roman"/>
          <w:sz w:val="24"/>
          <w:szCs w:val="24"/>
          <w:lang w:eastAsia="ru-RU"/>
        </w:rPr>
        <w:t>000</w:t>
      </w:r>
      <w:r w:rsidR="0058299B" w:rsidRPr="0066263B">
        <w:rPr>
          <w:rFonts w:ascii="Times New Roman" w:eastAsia="Times New Roman" w:hAnsi="Times New Roman" w:cs="Times New Roman"/>
          <w:sz w:val="24"/>
          <w:szCs w:val="24"/>
          <w:lang w:eastAsia="ru-RU"/>
        </w:rPr>
        <w:t xml:space="preserve"> населения</w:t>
      </w:r>
      <w:r w:rsidRPr="0066263B">
        <w:rPr>
          <w:rFonts w:ascii="Times New Roman" w:eastAsia="Times New Roman" w:hAnsi="Times New Roman" w:cs="Times New Roman"/>
          <w:sz w:val="24"/>
          <w:szCs w:val="24"/>
          <w:lang w:eastAsia="ru-RU"/>
        </w:rPr>
        <w:t>) (рис.</w:t>
      </w:r>
      <w:r w:rsidR="0058299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6).</w:t>
      </w:r>
    </w:p>
    <w:p w:rsidR="00480942" w:rsidRPr="0066263B" w:rsidRDefault="00480942" w:rsidP="005B057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Уровень рождаемости превышает среднеобластной показатель на девяти территориях области.</w:t>
      </w:r>
    </w:p>
    <w:p w:rsidR="0082199B" w:rsidRPr="0066263B" w:rsidRDefault="0082199B" w:rsidP="00324483">
      <w:pPr>
        <w:spacing w:before="0" w:after="0"/>
        <w:ind w:firstLine="709"/>
        <w:rPr>
          <w:rFonts w:ascii="Times New Roman" w:eastAsia="Times New Roman" w:hAnsi="Times New Roman" w:cs="Times New Roman"/>
          <w:sz w:val="24"/>
          <w:szCs w:val="24"/>
          <w:lang w:eastAsia="ru-RU"/>
        </w:rPr>
      </w:pPr>
    </w:p>
    <w:p w:rsidR="0082199B" w:rsidRPr="0066263B" w:rsidRDefault="0082199B" w:rsidP="0082199B">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Наиболее высокий уровень рождаемости (на 1000 населения):</w:t>
      </w:r>
    </w:p>
    <w:p w:rsidR="0082199B" w:rsidRPr="0066263B" w:rsidRDefault="00480942"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Гордеевский район</w:t>
      </w:r>
      <w:r w:rsidR="0082199B"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10,0</w:t>
      </w:r>
      <w:r w:rsidR="0082199B" w:rsidRPr="0066263B">
        <w:rPr>
          <w:rFonts w:ascii="Times New Roman" w:eastAsia="Times New Roman" w:hAnsi="Times New Roman" w:cs="Times New Roman"/>
          <w:sz w:val="24"/>
          <w:szCs w:val="24"/>
          <w:lang w:eastAsia="ru-RU"/>
        </w:rPr>
        <w:t>;</w:t>
      </w:r>
    </w:p>
    <w:p w:rsidR="0082199B" w:rsidRPr="0066263B" w:rsidRDefault="0082199B"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Погарский район – 9,</w:t>
      </w:r>
      <w:r w:rsidR="00480942"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w:t>
      </w:r>
    </w:p>
    <w:p w:rsidR="0082199B" w:rsidRPr="0066263B" w:rsidRDefault="0082199B" w:rsidP="0082199B">
      <w:pPr>
        <w:spacing w:before="0" w:after="0"/>
        <w:ind w:firstLine="709"/>
        <w:rPr>
          <w:rFonts w:ascii="Times New Roman" w:eastAsia="Times New Roman" w:hAnsi="Times New Roman" w:cs="Times New Roman"/>
          <w:sz w:val="24"/>
          <w:szCs w:val="24"/>
          <w:lang w:eastAsia="ru-RU"/>
        </w:rPr>
      </w:pPr>
    </w:p>
    <w:p w:rsidR="0082199B" w:rsidRPr="0066263B" w:rsidRDefault="0082199B" w:rsidP="0082199B">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Наиболее низкая рождаемость</w:t>
      </w:r>
      <w:r w:rsidR="005875CE" w:rsidRPr="0066263B">
        <w:rPr>
          <w:rFonts w:ascii="Times New Roman" w:eastAsia="Times New Roman" w:hAnsi="Times New Roman" w:cs="Times New Roman"/>
          <w:sz w:val="24"/>
          <w:szCs w:val="24"/>
          <w:lang w:eastAsia="ru-RU"/>
        </w:rPr>
        <w:t xml:space="preserve"> (на 1000 населения)</w:t>
      </w:r>
      <w:r w:rsidRPr="0066263B">
        <w:rPr>
          <w:rFonts w:ascii="Times New Roman" w:eastAsia="Times New Roman" w:hAnsi="Times New Roman" w:cs="Times New Roman"/>
          <w:sz w:val="24"/>
          <w:szCs w:val="24"/>
          <w:lang w:eastAsia="ru-RU"/>
        </w:rPr>
        <w:t>:</w:t>
      </w:r>
    </w:p>
    <w:p w:rsidR="00480942" w:rsidRPr="0066263B" w:rsidRDefault="00480942"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 Фокино – 5,7;</w:t>
      </w:r>
    </w:p>
    <w:p w:rsidR="00480942" w:rsidRPr="0066263B" w:rsidRDefault="00480942"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Жирятинский район – 5,8;</w:t>
      </w:r>
    </w:p>
    <w:p w:rsidR="00480942" w:rsidRPr="0066263B" w:rsidRDefault="00480942"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Дубровский район – 5,9;</w:t>
      </w:r>
    </w:p>
    <w:p w:rsidR="00480942" w:rsidRPr="0066263B" w:rsidRDefault="00480942"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Клетнянский</w:t>
      </w:r>
      <w:r w:rsidR="0082199B" w:rsidRPr="0066263B">
        <w:rPr>
          <w:rFonts w:ascii="Times New Roman" w:eastAsia="Times New Roman" w:hAnsi="Times New Roman" w:cs="Times New Roman"/>
          <w:sz w:val="24"/>
          <w:szCs w:val="24"/>
          <w:lang w:eastAsia="ru-RU"/>
        </w:rPr>
        <w:t xml:space="preserve"> район – 5,9</w:t>
      </w:r>
      <w:r w:rsidRPr="0066263B">
        <w:rPr>
          <w:rFonts w:ascii="Times New Roman" w:eastAsia="Times New Roman" w:hAnsi="Times New Roman" w:cs="Times New Roman"/>
          <w:sz w:val="24"/>
          <w:szCs w:val="24"/>
          <w:lang w:eastAsia="ru-RU"/>
        </w:rPr>
        <w:t>.</w:t>
      </w:r>
    </w:p>
    <w:p w:rsidR="00B47DEA" w:rsidRPr="0066263B" w:rsidRDefault="00B47DEA"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5963" cy="2970479"/>
            <wp:effectExtent l="0" t="0" r="0" b="0"/>
            <wp:docPr id="147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4483" w:rsidRPr="0066263B" w:rsidRDefault="00324483"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6</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Показатели рождаемости, на 1000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4950AC" w:rsidRPr="0066263B" w:rsidRDefault="004950AC" w:rsidP="004950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12 месяцев 2020 года в области умерло 20 085 человек (2019 – 17 615). Коэффициент общей смертности по области за 2020 год увеличился на 15,0% по сравнению с предыдущим годом (14,7</w:t>
      </w:r>
      <w:r w:rsidR="0058299B">
        <w:rPr>
          <w:rFonts w:ascii="Times New Roman" w:eastAsia="Times New Roman" w:hAnsi="Times New Roman" w:cs="Times New Roman"/>
          <w:sz w:val="24"/>
          <w:szCs w:val="24"/>
          <w:lang w:eastAsia="ru-RU"/>
        </w:rPr>
        <w:t xml:space="preserve"> </w:t>
      </w:r>
      <w:r w:rsidR="0058299B" w:rsidRPr="0066263B">
        <w:rPr>
          <w:rFonts w:ascii="Times New Roman" w:eastAsia="Times New Roman" w:hAnsi="Times New Roman" w:cs="Times New Roman"/>
          <w:sz w:val="24"/>
          <w:szCs w:val="24"/>
          <w:lang w:eastAsia="ru-RU"/>
        </w:rPr>
        <w:t>на 1</w:t>
      </w:r>
      <w:r w:rsidR="0058299B">
        <w:rPr>
          <w:rFonts w:ascii="Times New Roman" w:eastAsia="Times New Roman" w:hAnsi="Times New Roman" w:cs="Times New Roman"/>
          <w:sz w:val="24"/>
          <w:szCs w:val="24"/>
          <w:lang w:eastAsia="ru-RU"/>
        </w:rPr>
        <w:t>000</w:t>
      </w:r>
      <w:r w:rsidR="0058299B" w:rsidRPr="0066263B">
        <w:rPr>
          <w:rFonts w:ascii="Times New Roman" w:eastAsia="Times New Roman" w:hAnsi="Times New Roman" w:cs="Times New Roman"/>
          <w:sz w:val="24"/>
          <w:szCs w:val="24"/>
          <w:lang w:eastAsia="ru-RU"/>
        </w:rPr>
        <w:t xml:space="preserve"> населения</w:t>
      </w:r>
      <w:r w:rsidRPr="0066263B">
        <w:rPr>
          <w:rFonts w:ascii="Times New Roman" w:eastAsia="Times New Roman" w:hAnsi="Times New Roman" w:cs="Times New Roman"/>
          <w:sz w:val="24"/>
          <w:szCs w:val="24"/>
          <w:lang w:eastAsia="ru-RU"/>
        </w:rPr>
        <w:t>) и составил 16,9 на 1</w:t>
      </w:r>
      <w:r w:rsidR="0058299B">
        <w:rPr>
          <w:rFonts w:ascii="Times New Roman" w:eastAsia="Times New Roman" w:hAnsi="Times New Roman" w:cs="Times New Roman"/>
          <w:sz w:val="24"/>
          <w:szCs w:val="24"/>
          <w:lang w:eastAsia="ru-RU"/>
        </w:rPr>
        <w:t>000</w:t>
      </w:r>
      <w:r w:rsidRPr="0066263B">
        <w:rPr>
          <w:rFonts w:ascii="Times New Roman" w:eastAsia="Times New Roman" w:hAnsi="Times New Roman" w:cs="Times New Roman"/>
          <w:sz w:val="24"/>
          <w:szCs w:val="24"/>
          <w:lang w:eastAsia="ru-RU"/>
        </w:rPr>
        <w:t xml:space="preserve"> населения, что выше показателя по России на 16,6% (2020 – 14,5</w:t>
      </w:r>
      <w:r w:rsidR="0058299B">
        <w:rPr>
          <w:rFonts w:ascii="Times New Roman" w:eastAsia="Times New Roman" w:hAnsi="Times New Roman" w:cs="Times New Roman"/>
          <w:sz w:val="24"/>
          <w:szCs w:val="24"/>
          <w:lang w:eastAsia="ru-RU"/>
        </w:rPr>
        <w:t xml:space="preserve"> </w:t>
      </w:r>
      <w:r w:rsidR="0058299B" w:rsidRPr="0066263B">
        <w:rPr>
          <w:rFonts w:ascii="Times New Roman" w:eastAsia="Times New Roman" w:hAnsi="Times New Roman" w:cs="Times New Roman"/>
          <w:sz w:val="24"/>
          <w:szCs w:val="24"/>
          <w:lang w:eastAsia="ru-RU"/>
        </w:rPr>
        <w:t>на 1</w:t>
      </w:r>
      <w:r w:rsidR="0058299B">
        <w:rPr>
          <w:rFonts w:ascii="Times New Roman" w:eastAsia="Times New Roman" w:hAnsi="Times New Roman" w:cs="Times New Roman"/>
          <w:sz w:val="24"/>
          <w:szCs w:val="24"/>
          <w:lang w:eastAsia="ru-RU"/>
        </w:rPr>
        <w:t>000</w:t>
      </w:r>
      <w:r w:rsidR="0058299B" w:rsidRPr="0066263B">
        <w:rPr>
          <w:rFonts w:ascii="Times New Roman" w:eastAsia="Times New Roman" w:hAnsi="Times New Roman" w:cs="Times New Roman"/>
          <w:sz w:val="24"/>
          <w:szCs w:val="24"/>
          <w:lang w:eastAsia="ru-RU"/>
        </w:rPr>
        <w:t xml:space="preserve"> населения</w:t>
      </w:r>
      <w:r w:rsidRPr="0066263B">
        <w:rPr>
          <w:rFonts w:ascii="Times New Roman" w:eastAsia="Times New Roman" w:hAnsi="Times New Roman" w:cs="Times New Roman"/>
          <w:sz w:val="24"/>
          <w:szCs w:val="24"/>
          <w:lang w:eastAsia="ru-RU"/>
        </w:rPr>
        <w:t>) (рис. 7).</w:t>
      </w:r>
    </w:p>
    <w:p w:rsidR="004950AC" w:rsidRPr="0066263B" w:rsidRDefault="004950AC"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5963" cy="3906021"/>
            <wp:effectExtent l="0" t="0" r="0" b="0"/>
            <wp:docPr id="147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47DEA" w:rsidRPr="0066263B" w:rsidRDefault="00B47DEA"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7</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Показатели общей смертности, на 1000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Наиболее высокие показатели смертности в районах</w:t>
      </w:r>
      <w:r w:rsidR="00D56ECD" w:rsidRPr="0066263B">
        <w:rPr>
          <w:rFonts w:ascii="Times New Roman" w:eastAsia="Times New Roman" w:hAnsi="Times New Roman" w:cs="Times New Roman"/>
          <w:sz w:val="24"/>
          <w:szCs w:val="24"/>
          <w:lang w:eastAsia="ru-RU"/>
        </w:rPr>
        <w:t xml:space="preserve"> (на 1</w:t>
      </w:r>
      <w:r w:rsidR="0058299B">
        <w:rPr>
          <w:rFonts w:ascii="Times New Roman" w:eastAsia="Times New Roman" w:hAnsi="Times New Roman" w:cs="Times New Roman"/>
          <w:sz w:val="24"/>
          <w:szCs w:val="24"/>
          <w:lang w:eastAsia="ru-RU"/>
        </w:rPr>
        <w:t>000</w:t>
      </w:r>
      <w:r w:rsidR="00D56ECD" w:rsidRPr="0066263B">
        <w:rPr>
          <w:rFonts w:ascii="Times New Roman" w:eastAsia="Times New Roman" w:hAnsi="Times New Roman" w:cs="Times New Roman"/>
          <w:sz w:val="24"/>
          <w:szCs w:val="24"/>
          <w:lang w:eastAsia="ru-RU"/>
        </w:rPr>
        <w:t xml:space="preserve"> населения)</w:t>
      </w:r>
      <w:r w:rsidRPr="0066263B">
        <w:rPr>
          <w:rFonts w:ascii="Times New Roman" w:eastAsia="Times New Roman" w:hAnsi="Times New Roman" w:cs="Times New Roman"/>
          <w:sz w:val="24"/>
          <w:szCs w:val="24"/>
          <w:lang w:eastAsia="ru-RU"/>
        </w:rPr>
        <w:t>:</w:t>
      </w:r>
    </w:p>
    <w:p w:rsidR="00324483" w:rsidRPr="0066263B" w:rsidRDefault="00324483"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Погарском – 21,</w:t>
      </w:r>
      <w:r w:rsidR="00E57AF9" w:rsidRPr="0066263B">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w:t>
      </w:r>
    </w:p>
    <w:p w:rsidR="003B72EE" w:rsidRPr="0066263B" w:rsidRDefault="003B72EE"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 Сельцо – 21,0;</w:t>
      </w:r>
    </w:p>
    <w:p w:rsidR="00324483" w:rsidRPr="0066263B" w:rsidRDefault="00E57AF9"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Климовском</w:t>
      </w:r>
      <w:r w:rsidR="00324483" w:rsidRPr="0066263B">
        <w:rPr>
          <w:rFonts w:ascii="Times New Roman" w:eastAsia="Times New Roman" w:hAnsi="Times New Roman" w:cs="Times New Roman"/>
          <w:sz w:val="24"/>
          <w:szCs w:val="24"/>
          <w:lang w:eastAsia="ru-RU"/>
        </w:rPr>
        <w:t xml:space="preserve"> – </w:t>
      </w:r>
      <w:r w:rsidR="003B72EE" w:rsidRPr="0066263B">
        <w:rPr>
          <w:rFonts w:ascii="Times New Roman" w:eastAsia="Times New Roman" w:hAnsi="Times New Roman" w:cs="Times New Roman"/>
          <w:sz w:val="24"/>
          <w:szCs w:val="24"/>
          <w:lang w:eastAsia="ru-RU"/>
        </w:rPr>
        <w:t>20,0.</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Более низкая общая смертность населения </w:t>
      </w:r>
      <w:r w:rsidR="00D56ECD" w:rsidRPr="0066263B">
        <w:rPr>
          <w:rFonts w:ascii="Times New Roman" w:eastAsia="Times New Roman" w:hAnsi="Times New Roman" w:cs="Times New Roman"/>
          <w:sz w:val="24"/>
          <w:szCs w:val="24"/>
          <w:lang w:eastAsia="ru-RU"/>
        </w:rPr>
        <w:t>(на 1</w:t>
      </w:r>
      <w:r w:rsidR="0058299B">
        <w:rPr>
          <w:rFonts w:ascii="Times New Roman" w:eastAsia="Times New Roman" w:hAnsi="Times New Roman" w:cs="Times New Roman"/>
          <w:sz w:val="24"/>
          <w:szCs w:val="24"/>
          <w:lang w:eastAsia="ru-RU"/>
        </w:rPr>
        <w:t>000</w:t>
      </w:r>
      <w:r w:rsidR="00D56ECD" w:rsidRPr="0066263B">
        <w:rPr>
          <w:rFonts w:ascii="Times New Roman" w:eastAsia="Times New Roman" w:hAnsi="Times New Roman" w:cs="Times New Roman"/>
          <w:sz w:val="24"/>
          <w:szCs w:val="24"/>
          <w:lang w:eastAsia="ru-RU"/>
        </w:rPr>
        <w:t xml:space="preserve"> населения)</w:t>
      </w:r>
      <w:r w:rsidRPr="0066263B">
        <w:rPr>
          <w:rFonts w:ascii="Times New Roman" w:eastAsia="Times New Roman" w:hAnsi="Times New Roman" w:cs="Times New Roman"/>
          <w:sz w:val="24"/>
          <w:szCs w:val="24"/>
          <w:lang w:eastAsia="ru-RU"/>
        </w:rPr>
        <w:t>:</w:t>
      </w:r>
    </w:p>
    <w:p w:rsidR="00E57AF9" w:rsidRPr="0066263B" w:rsidRDefault="003B72EE"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Выгоничский район </w:t>
      </w:r>
      <w:r w:rsidR="00E57AF9" w:rsidRPr="0066263B">
        <w:rPr>
          <w:rFonts w:ascii="Times New Roman" w:eastAsia="Times New Roman" w:hAnsi="Times New Roman" w:cs="Times New Roman"/>
          <w:sz w:val="24"/>
          <w:szCs w:val="24"/>
          <w:lang w:eastAsia="ru-RU"/>
        </w:rPr>
        <w:t>– 1</w:t>
      </w:r>
      <w:r w:rsidRPr="0066263B">
        <w:rPr>
          <w:rFonts w:ascii="Times New Roman" w:eastAsia="Times New Roman" w:hAnsi="Times New Roman" w:cs="Times New Roman"/>
          <w:sz w:val="24"/>
          <w:szCs w:val="24"/>
          <w:lang w:eastAsia="ru-RU"/>
        </w:rPr>
        <w:t>5</w:t>
      </w:r>
      <w:r w:rsidR="00E57AF9" w:rsidRPr="0066263B">
        <w:rPr>
          <w:rFonts w:ascii="Times New Roman" w:eastAsia="Times New Roman" w:hAnsi="Times New Roman" w:cs="Times New Roman"/>
          <w:sz w:val="24"/>
          <w:szCs w:val="24"/>
          <w:lang w:eastAsia="ru-RU"/>
        </w:rPr>
        <w:t>,0;</w:t>
      </w:r>
    </w:p>
    <w:p w:rsidR="003B72EE" w:rsidRPr="0066263B" w:rsidRDefault="003B72EE"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Новозыбковский городской округ – 15,3;</w:t>
      </w:r>
    </w:p>
    <w:p w:rsidR="00E57AF9" w:rsidRPr="0066263B" w:rsidRDefault="00E57AF9"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Брянск</w:t>
      </w:r>
      <w:r w:rsidR="00D56ECD" w:rsidRPr="0066263B">
        <w:rPr>
          <w:rFonts w:ascii="Times New Roman" w:eastAsia="Times New Roman" w:hAnsi="Times New Roman" w:cs="Times New Roman"/>
          <w:sz w:val="24"/>
          <w:szCs w:val="24"/>
          <w:lang w:eastAsia="ru-RU"/>
        </w:rPr>
        <w:t>ий район</w:t>
      </w:r>
      <w:r w:rsidRPr="0066263B">
        <w:rPr>
          <w:rFonts w:ascii="Times New Roman" w:eastAsia="Times New Roman" w:hAnsi="Times New Roman" w:cs="Times New Roman"/>
          <w:sz w:val="24"/>
          <w:szCs w:val="24"/>
          <w:lang w:eastAsia="ru-RU"/>
        </w:rPr>
        <w:t xml:space="preserve"> – </w:t>
      </w:r>
      <w:r w:rsidR="003B72EE" w:rsidRPr="0066263B">
        <w:rPr>
          <w:rFonts w:ascii="Times New Roman" w:eastAsia="Times New Roman" w:hAnsi="Times New Roman" w:cs="Times New Roman"/>
          <w:sz w:val="24"/>
          <w:szCs w:val="24"/>
          <w:lang w:eastAsia="ru-RU"/>
        </w:rPr>
        <w:t>15,2</w:t>
      </w:r>
      <w:r w:rsidRPr="0066263B">
        <w:rPr>
          <w:rFonts w:ascii="Times New Roman" w:eastAsia="Times New Roman" w:hAnsi="Times New Roman" w:cs="Times New Roman"/>
          <w:sz w:val="24"/>
          <w:szCs w:val="24"/>
          <w:lang w:eastAsia="ru-RU"/>
        </w:rPr>
        <w:t>;</w:t>
      </w:r>
    </w:p>
    <w:p w:rsidR="00324483" w:rsidRPr="0066263B" w:rsidRDefault="003B72EE"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Комаричский район</w:t>
      </w:r>
      <w:r w:rsidR="00324483"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15,6</w:t>
      </w:r>
      <w:r w:rsidR="00E57AF9" w:rsidRPr="0066263B">
        <w:rPr>
          <w:rFonts w:ascii="Times New Roman" w:eastAsia="Times New Roman" w:hAnsi="Times New Roman" w:cs="Times New Roman"/>
          <w:sz w:val="24"/>
          <w:szCs w:val="24"/>
          <w:lang w:eastAsia="ru-RU"/>
        </w:rPr>
        <w:t>.</w:t>
      </w:r>
    </w:p>
    <w:p w:rsidR="00B47C7B" w:rsidRPr="0066263B" w:rsidRDefault="00B47C7B" w:rsidP="00B47C7B">
      <w:pPr>
        <w:spacing w:before="0" w:after="0"/>
        <w:ind w:firstLine="709"/>
        <w:rPr>
          <w:rFonts w:ascii="Times New Roman" w:eastAsia="Times New Roman" w:hAnsi="Times New Roman" w:cs="Times New Roman"/>
          <w:sz w:val="24"/>
          <w:szCs w:val="24"/>
          <w:lang w:eastAsia="ru-RU"/>
        </w:rPr>
      </w:pPr>
    </w:p>
    <w:p w:rsidR="00B47C7B" w:rsidRPr="0066263B" w:rsidRDefault="00B47C7B" w:rsidP="00B47C7B">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Наиболее значимый показатель в оценке состояния здоровья населения – младенческая смертность. В возрасте до 1 года за 2020 год умерло 42 ребёнка (2019 – 37). За 12 месяцев 2020 года данный показатель составил 4,4 на 1</w:t>
      </w:r>
      <w:r w:rsidR="0058299B">
        <w:rPr>
          <w:rFonts w:ascii="Times New Roman" w:eastAsia="Times New Roman" w:hAnsi="Times New Roman" w:cs="Times New Roman"/>
          <w:sz w:val="24"/>
          <w:szCs w:val="24"/>
          <w:lang w:eastAsia="ru-RU"/>
        </w:rPr>
        <w:t>000</w:t>
      </w:r>
      <w:r w:rsidRPr="0066263B">
        <w:rPr>
          <w:rFonts w:ascii="Times New Roman" w:eastAsia="Times New Roman" w:hAnsi="Times New Roman" w:cs="Times New Roman"/>
          <w:sz w:val="24"/>
          <w:szCs w:val="24"/>
          <w:lang w:eastAsia="ru-RU"/>
        </w:rPr>
        <w:t xml:space="preserve"> родившихся живыми, что выше показателя предыдущего года на 22,2% (2019 – 3,6</w:t>
      </w:r>
      <w:r w:rsidR="0058299B" w:rsidRPr="0058299B">
        <w:rPr>
          <w:rFonts w:ascii="Times New Roman" w:eastAsia="Times New Roman" w:hAnsi="Times New Roman" w:cs="Times New Roman"/>
          <w:sz w:val="24"/>
          <w:szCs w:val="24"/>
          <w:lang w:eastAsia="ru-RU"/>
        </w:rPr>
        <w:t xml:space="preserve"> </w:t>
      </w:r>
      <w:r w:rsidR="0058299B" w:rsidRPr="0066263B">
        <w:rPr>
          <w:rFonts w:ascii="Times New Roman" w:eastAsia="Times New Roman" w:hAnsi="Times New Roman" w:cs="Times New Roman"/>
          <w:sz w:val="24"/>
          <w:szCs w:val="24"/>
          <w:lang w:eastAsia="ru-RU"/>
        </w:rPr>
        <w:t>на 1</w:t>
      </w:r>
      <w:r w:rsidR="0058299B">
        <w:rPr>
          <w:rFonts w:ascii="Times New Roman" w:eastAsia="Times New Roman" w:hAnsi="Times New Roman" w:cs="Times New Roman"/>
          <w:sz w:val="24"/>
          <w:szCs w:val="24"/>
          <w:lang w:eastAsia="ru-RU"/>
        </w:rPr>
        <w:t>000</w:t>
      </w:r>
      <w:r w:rsidR="0058299B" w:rsidRPr="0066263B">
        <w:rPr>
          <w:rFonts w:ascii="Times New Roman" w:eastAsia="Times New Roman" w:hAnsi="Times New Roman" w:cs="Times New Roman"/>
          <w:sz w:val="24"/>
          <w:szCs w:val="24"/>
          <w:lang w:eastAsia="ru-RU"/>
        </w:rPr>
        <w:t xml:space="preserve"> родившихся</w:t>
      </w:r>
      <w:r w:rsidRPr="0066263B">
        <w:rPr>
          <w:rFonts w:ascii="Times New Roman" w:eastAsia="Times New Roman" w:hAnsi="Times New Roman" w:cs="Times New Roman"/>
          <w:sz w:val="24"/>
          <w:szCs w:val="24"/>
          <w:lang w:eastAsia="ru-RU"/>
        </w:rPr>
        <w:t>), но ниже показателя по РФ (2019 – 4,9</w:t>
      </w:r>
      <w:r w:rsidR="0058299B" w:rsidRPr="0058299B">
        <w:rPr>
          <w:rFonts w:ascii="Times New Roman" w:eastAsia="Times New Roman" w:hAnsi="Times New Roman" w:cs="Times New Roman"/>
          <w:sz w:val="24"/>
          <w:szCs w:val="24"/>
          <w:lang w:eastAsia="ru-RU"/>
        </w:rPr>
        <w:t xml:space="preserve"> </w:t>
      </w:r>
      <w:r w:rsidR="0058299B" w:rsidRPr="0066263B">
        <w:rPr>
          <w:rFonts w:ascii="Times New Roman" w:eastAsia="Times New Roman" w:hAnsi="Times New Roman" w:cs="Times New Roman"/>
          <w:sz w:val="24"/>
          <w:szCs w:val="24"/>
          <w:lang w:eastAsia="ru-RU"/>
        </w:rPr>
        <w:t>на 1</w:t>
      </w:r>
      <w:r w:rsidR="0058299B">
        <w:rPr>
          <w:rFonts w:ascii="Times New Roman" w:eastAsia="Times New Roman" w:hAnsi="Times New Roman" w:cs="Times New Roman"/>
          <w:sz w:val="24"/>
          <w:szCs w:val="24"/>
          <w:lang w:eastAsia="ru-RU"/>
        </w:rPr>
        <w:t>000</w:t>
      </w:r>
      <w:r w:rsidR="0058299B" w:rsidRPr="0066263B">
        <w:rPr>
          <w:rFonts w:ascii="Times New Roman" w:eastAsia="Times New Roman" w:hAnsi="Times New Roman" w:cs="Times New Roman"/>
          <w:sz w:val="24"/>
          <w:szCs w:val="24"/>
          <w:lang w:eastAsia="ru-RU"/>
        </w:rPr>
        <w:t xml:space="preserve"> родившихся</w:t>
      </w:r>
      <w:r w:rsidRPr="0066263B">
        <w:rPr>
          <w:rFonts w:ascii="Times New Roman" w:eastAsia="Times New Roman" w:hAnsi="Times New Roman" w:cs="Times New Roman"/>
          <w:sz w:val="24"/>
          <w:szCs w:val="24"/>
          <w:lang w:eastAsia="ru-RU"/>
        </w:rPr>
        <w:t>) на 10,2% (рис. </w:t>
      </w:r>
      <w:r w:rsidR="009F1B1B"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w:t>
      </w:r>
    </w:p>
    <w:p w:rsidR="00B47C7B" w:rsidRPr="0066263B" w:rsidRDefault="00B47C7B" w:rsidP="00B47C7B">
      <w:pPr>
        <w:spacing w:before="0" w:after="0"/>
        <w:ind w:firstLine="709"/>
        <w:rPr>
          <w:rFonts w:ascii="Times New Roman" w:eastAsia="Times New Roman" w:hAnsi="Times New Roman" w:cs="Times New Roman"/>
          <w:sz w:val="24"/>
          <w:szCs w:val="24"/>
          <w:lang w:eastAsia="ru-RU"/>
        </w:rPr>
      </w:pPr>
    </w:p>
    <w:p w:rsidR="00B47C7B" w:rsidRPr="0066263B" w:rsidRDefault="00B47C7B" w:rsidP="00B47C7B">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дому в 2020 году умерло 4 ребёнка до года (2019 – 1). Основная причина смерти у </w:t>
      </w:r>
      <w:proofErr w:type="gramStart"/>
      <w:r w:rsidRPr="0066263B">
        <w:rPr>
          <w:rFonts w:ascii="Times New Roman" w:eastAsia="Times New Roman" w:hAnsi="Times New Roman" w:cs="Times New Roman"/>
          <w:sz w:val="24"/>
          <w:szCs w:val="24"/>
          <w:lang w:eastAsia="ru-RU"/>
        </w:rPr>
        <w:t>умерших</w:t>
      </w:r>
      <w:proofErr w:type="gramEnd"/>
      <w:r w:rsidRPr="0066263B">
        <w:rPr>
          <w:rFonts w:ascii="Times New Roman" w:eastAsia="Times New Roman" w:hAnsi="Times New Roman" w:cs="Times New Roman"/>
          <w:sz w:val="24"/>
          <w:szCs w:val="24"/>
          <w:lang w:eastAsia="ru-RU"/>
        </w:rPr>
        <w:t xml:space="preserve"> на дому – внешние причины смерти.</w:t>
      </w:r>
    </w:p>
    <w:p w:rsidR="00324483" w:rsidRPr="0066263B" w:rsidRDefault="00B47C7B" w:rsidP="00B47C7B">
      <w:pPr>
        <w:spacing w:before="0" w:after="0"/>
        <w:ind w:firstLine="709"/>
        <w:rPr>
          <w:rFonts w:ascii="Times New Roman" w:eastAsia="Times New Roman" w:hAnsi="Times New Roman" w:cs="Times New Roman"/>
          <w:sz w:val="24"/>
          <w:szCs w:val="24"/>
          <w:lang w:eastAsia="ru-RU"/>
        </w:rPr>
      </w:pPr>
      <w:proofErr w:type="spellStart"/>
      <w:r w:rsidRPr="0066263B">
        <w:rPr>
          <w:rFonts w:ascii="Times New Roman" w:eastAsia="Times New Roman" w:hAnsi="Times New Roman" w:cs="Times New Roman"/>
          <w:sz w:val="24"/>
          <w:szCs w:val="24"/>
          <w:lang w:eastAsia="ru-RU"/>
        </w:rPr>
        <w:t>Досуточная</w:t>
      </w:r>
      <w:proofErr w:type="spellEnd"/>
      <w:r w:rsidRPr="0066263B">
        <w:rPr>
          <w:rFonts w:ascii="Times New Roman" w:eastAsia="Times New Roman" w:hAnsi="Times New Roman" w:cs="Times New Roman"/>
          <w:sz w:val="24"/>
          <w:szCs w:val="24"/>
          <w:lang w:eastAsia="ru-RU"/>
        </w:rPr>
        <w:t xml:space="preserve"> летальность детей первого года жизни в 2020 году в области составила 6,3%, что в 2,3 раза выше показателя 2019 года (2,8%).</w:t>
      </w:r>
    </w:p>
    <w:p w:rsidR="00B47DEA" w:rsidRPr="0066263B" w:rsidRDefault="00B47DEA"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5963" cy="3403894"/>
            <wp:effectExtent l="0" t="0" r="0" b="0"/>
            <wp:docPr id="147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4483" w:rsidRPr="0066263B" w:rsidRDefault="00324483" w:rsidP="00324483">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8</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 xml:space="preserve">Показатели младенческой смертности, на 1 000 </w:t>
      </w:r>
      <w:proofErr w:type="gramStart"/>
      <w:r w:rsidRPr="0066263B">
        <w:rPr>
          <w:rFonts w:ascii="Times New Roman" w:eastAsia="TimesNewRomanPS-BoldMT" w:hAnsi="Times New Roman" w:cs="Times New Roman"/>
          <w:bCs/>
          <w:lang w:eastAsia="ru-RU"/>
        </w:rPr>
        <w:t>родившихся</w:t>
      </w:r>
      <w:proofErr w:type="gramEnd"/>
      <w:r w:rsidRPr="0066263B">
        <w:rPr>
          <w:rFonts w:ascii="Times New Roman" w:eastAsia="TimesNewRomanPS-BoldMT" w:hAnsi="Times New Roman" w:cs="Times New Roman"/>
          <w:bCs/>
          <w:lang w:eastAsia="ru-RU"/>
        </w:rPr>
        <w:t xml:space="preserve"> живыми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1F3BB4" w:rsidRPr="0066263B" w:rsidRDefault="001F3BB4" w:rsidP="001F3BB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структуре смертности за 2020 год в области по причинам смерти 1-е место занимают болезни системы кровообращения – 43,5% (2019 – 47,8%; РФ 2019 – 46,8%); 2-е место – новообразования – 15,9% (2019 – 16,8%; РФ 2019 – 16,6%); 3-е место – болезни органов дыхания – 9,4% (2019 – симптомы, признаки и отклонения от нормы – 7,9%) (рис. </w:t>
      </w:r>
      <w:r w:rsidR="00244FFD"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w:t>
      </w:r>
    </w:p>
    <w:p w:rsidR="001F3BB4" w:rsidRPr="0066263B" w:rsidRDefault="001F3BB4" w:rsidP="001F3BB4">
      <w:pPr>
        <w:spacing w:before="0" w:after="0"/>
        <w:ind w:firstLine="709"/>
        <w:rPr>
          <w:rFonts w:ascii="Times New Roman" w:eastAsia="Times New Roman" w:hAnsi="Times New Roman" w:cs="Times New Roman"/>
          <w:sz w:val="24"/>
          <w:szCs w:val="24"/>
          <w:lang w:eastAsia="ru-RU"/>
        </w:rPr>
      </w:pPr>
    </w:p>
    <w:p w:rsidR="001F3BB4" w:rsidRPr="0066263B" w:rsidRDefault="001F3BB4" w:rsidP="001F3BB4">
      <w:pPr>
        <w:spacing w:before="0" w:after="0"/>
        <w:ind w:firstLine="709"/>
        <w:rPr>
          <w:rFonts w:ascii="Times New Roman" w:eastAsia="Times New Roman" w:hAnsi="Times New Roman" w:cs="Times New Roman"/>
          <w:sz w:val="24"/>
          <w:szCs w:val="24"/>
          <w:lang w:eastAsia="ru-RU"/>
        </w:rPr>
      </w:pPr>
    </w:p>
    <w:p w:rsidR="001F3BB4" w:rsidRPr="0066263B" w:rsidRDefault="001F3BB4" w:rsidP="001F3BB4">
      <w:pPr>
        <w:spacing w:before="0" w:after="0"/>
        <w:ind w:firstLine="709"/>
        <w:rPr>
          <w:rFonts w:ascii="Times New Roman" w:eastAsia="TimesNewRomanPS-BoldMT" w:hAnsi="Times New Roman" w:cs="Times New Roman"/>
          <w:bCs/>
          <w:sz w:val="24"/>
          <w:szCs w:val="24"/>
        </w:rPr>
      </w:pPr>
    </w:p>
    <w:p w:rsidR="00411C86" w:rsidRPr="0066263B" w:rsidRDefault="00411C86" w:rsidP="001F3BB4">
      <w:pPr>
        <w:spacing w:before="0" w:after="0"/>
        <w:ind w:firstLine="709"/>
        <w:rPr>
          <w:rFonts w:ascii="Times New Roman" w:eastAsia="TimesNewRomanPS-BoldMT" w:hAnsi="Times New Roman" w:cs="Times New Roman"/>
          <w:bCs/>
          <w:sz w:val="24"/>
          <w:szCs w:val="24"/>
        </w:rPr>
      </w:pPr>
    </w:p>
    <w:p w:rsidR="001F3BB4" w:rsidRPr="0066263B" w:rsidRDefault="001F3BB4" w:rsidP="001F3BB4">
      <w:pPr>
        <w:spacing w:before="0" w:after="0"/>
        <w:jc w:val="center"/>
        <w:rPr>
          <w:rFonts w:ascii="Times New Roman" w:eastAsia="TimesNewRomanPS-BoldMT" w:hAnsi="Times New Roman" w:cs="Times New Roman"/>
          <w:bCs/>
          <w:sz w:val="24"/>
          <w:szCs w:val="24"/>
        </w:rPr>
      </w:pPr>
      <w:r w:rsidRPr="0066263B">
        <w:rPr>
          <w:rFonts w:ascii="Times New Roman" w:eastAsia="TimesNewRomanPS-BoldMT" w:hAnsi="Times New Roman" w:cs="Times New Roman"/>
          <w:bCs/>
          <w:noProof/>
          <w:sz w:val="24"/>
          <w:szCs w:val="24"/>
          <w:lang w:eastAsia="ru-RU"/>
        </w:rPr>
        <w:drawing>
          <wp:inline distT="0" distB="0" distL="0" distR="0">
            <wp:extent cx="5245357" cy="1950368"/>
            <wp:effectExtent l="1905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3BB4" w:rsidRPr="0066263B" w:rsidRDefault="001F3BB4" w:rsidP="001F3BB4">
      <w:pPr>
        <w:spacing w:before="0" w:after="0"/>
        <w:jc w:val="center"/>
        <w:rPr>
          <w:rFonts w:ascii="Times New Roman" w:eastAsia="Calibri" w:hAnsi="Times New Roman" w:cs="Times New Roman"/>
          <w:b/>
          <w:bCs/>
        </w:rPr>
      </w:pPr>
    </w:p>
    <w:p w:rsidR="00222578" w:rsidRPr="0066263B" w:rsidRDefault="00222578" w:rsidP="001F3BB4">
      <w:pPr>
        <w:spacing w:before="0" w:after="0"/>
        <w:jc w:val="center"/>
        <w:rPr>
          <w:rFonts w:ascii="Times New Roman" w:eastAsia="Calibri" w:hAnsi="Times New Roman" w:cs="Times New Roman"/>
          <w:b/>
          <w:bCs/>
        </w:rPr>
      </w:pPr>
    </w:p>
    <w:p w:rsidR="001F3BB4" w:rsidRPr="0066263B" w:rsidRDefault="001F3BB4" w:rsidP="001F3BB4">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9</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Структура смертности по причинам смерти населения Брянской области</w:t>
      </w:r>
    </w:p>
    <w:p w:rsidR="001F3BB4" w:rsidRPr="0066263B" w:rsidRDefault="001F3BB4" w:rsidP="00324483">
      <w:pPr>
        <w:spacing w:before="0" w:after="0"/>
        <w:ind w:firstLine="709"/>
        <w:rPr>
          <w:rFonts w:ascii="Times New Roman" w:eastAsia="Times New Roman" w:hAnsi="Times New Roman" w:cs="Times New Roman"/>
          <w:sz w:val="24"/>
          <w:szCs w:val="24"/>
          <w:lang w:eastAsia="ru-RU"/>
        </w:rPr>
      </w:pPr>
    </w:p>
    <w:p w:rsidR="00222578" w:rsidRPr="0066263B" w:rsidRDefault="00222578" w:rsidP="00324483">
      <w:pPr>
        <w:spacing w:before="0" w:after="0"/>
        <w:ind w:firstLine="709"/>
        <w:rPr>
          <w:rFonts w:ascii="Times New Roman" w:eastAsia="Times New Roman" w:hAnsi="Times New Roman" w:cs="Times New Roman"/>
          <w:sz w:val="24"/>
          <w:szCs w:val="24"/>
          <w:lang w:eastAsia="ru-RU"/>
        </w:rPr>
      </w:pPr>
    </w:p>
    <w:p w:rsidR="00222578" w:rsidRPr="0066263B" w:rsidRDefault="00222578" w:rsidP="00324483">
      <w:pPr>
        <w:spacing w:before="0" w:after="0"/>
        <w:ind w:firstLine="709"/>
        <w:rPr>
          <w:rFonts w:ascii="Times New Roman" w:eastAsia="Times New Roman" w:hAnsi="Times New Roman" w:cs="Times New Roman"/>
          <w:sz w:val="24"/>
          <w:szCs w:val="24"/>
          <w:lang w:eastAsia="ru-RU"/>
        </w:rPr>
      </w:pPr>
    </w:p>
    <w:p w:rsidR="00222578" w:rsidRPr="0066263B" w:rsidRDefault="00222578"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w:t>
      </w:r>
      <w:r w:rsidR="006C34E2" w:rsidRPr="0066263B">
        <w:rPr>
          <w:rFonts w:ascii="Times New Roman" w:eastAsia="Calibri" w:hAnsi="Times New Roman" w:cs="Times New Roman"/>
        </w:rPr>
        <w:fldChar w:fldCharType="end"/>
      </w:r>
    </w:p>
    <w:p w:rsidR="00DA6CBD" w:rsidRPr="0066263B" w:rsidRDefault="00DA6CBD" w:rsidP="00DA6CBD">
      <w:pPr>
        <w:tabs>
          <w:tab w:val="left" w:pos="2685"/>
        </w:tabs>
        <w:spacing w:before="0" w:after="0"/>
        <w:jc w:val="center"/>
        <w:rPr>
          <w:rFonts w:ascii="Times New Roman" w:eastAsia="Calibri" w:hAnsi="Times New Roman" w:cs="Times New Roman"/>
          <w:b/>
        </w:rPr>
      </w:pPr>
      <w:r w:rsidRPr="0066263B">
        <w:rPr>
          <w:rFonts w:ascii="Times New Roman" w:eastAsia="Calibri" w:hAnsi="Times New Roman" w:cs="Times New Roman"/>
          <w:b/>
        </w:rPr>
        <w:t>Смертность по основным классам причин смерти на территории</w:t>
      </w:r>
      <w:r w:rsidRPr="0066263B">
        <w:rPr>
          <w:rFonts w:ascii="Times New Roman" w:eastAsia="Calibri" w:hAnsi="Times New Roman" w:cs="Times New Roman"/>
          <w:b/>
        </w:rPr>
        <w:br/>
        <w:t>Брянской области</w:t>
      </w:r>
    </w:p>
    <w:p w:rsidR="00DA6CBD" w:rsidRPr="0066263B" w:rsidRDefault="00DA6CBD" w:rsidP="00DA6CBD">
      <w:pPr>
        <w:tabs>
          <w:tab w:val="left" w:pos="2685"/>
        </w:tabs>
        <w:spacing w:before="0" w:after="0"/>
        <w:jc w:val="center"/>
        <w:rPr>
          <w:rFonts w:ascii="Times New Roman" w:eastAsia="Calibri" w:hAnsi="Times New Roman" w:cs="Times New Roman"/>
        </w:rPr>
      </w:pP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6"/>
        <w:gridCol w:w="1267"/>
        <w:gridCol w:w="1542"/>
        <w:gridCol w:w="1540"/>
      </w:tblGrid>
      <w:tr w:rsidR="00DA6CBD" w:rsidRPr="0066263B" w:rsidTr="00222578">
        <w:trPr>
          <w:trHeight w:val="109"/>
          <w:jc w:val="center"/>
        </w:trPr>
        <w:tc>
          <w:tcPr>
            <w:tcW w:w="2580" w:type="pct"/>
            <w:vAlign w:val="center"/>
          </w:tcPr>
          <w:p w:rsidR="00DA6CBD" w:rsidRPr="0066263B" w:rsidRDefault="00DA6CBD" w:rsidP="00222578">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Показатель</w:t>
            </w:r>
          </w:p>
        </w:tc>
        <w:tc>
          <w:tcPr>
            <w:tcW w:w="705" w:type="pct"/>
            <w:vAlign w:val="center"/>
          </w:tcPr>
          <w:p w:rsidR="00DA6CBD" w:rsidRPr="0066263B" w:rsidRDefault="00DA6CBD" w:rsidP="00222578">
            <w:pPr>
              <w:spacing w:before="20" w:after="20"/>
              <w:jc w:val="center"/>
              <w:rPr>
                <w:rFonts w:ascii="Times New Roman" w:eastAsia="Times New Roman" w:hAnsi="Times New Roman" w:cs="Times New Roman"/>
                <w:b/>
                <w:i/>
              </w:rPr>
            </w:pPr>
            <w:r w:rsidRPr="0066263B">
              <w:rPr>
                <w:rFonts w:ascii="Times New Roman" w:eastAsia="Times New Roman" w:hAnsi="Times New Roman" w:cs="Times New Roman"/>
                <w:b/>
                <w:i/>
              </w:rPr>
              <w:t>2018</w:t>
            </w:r>
          </w:p>
        </w:tc>
        <w:tc>
          <w:tcPr>
            <w:tcW w:w="858" w:type="pct"/>
            <w:vAlign w:val="center"/>
          </w:tcPr>
          <w:p w:rsidR="00DA6CBD" w:rsidRPr="0066263B" w:rsidRDefault="00DA6CBD" w:rsidP="00222578">
            <w:pPr>
              <w:spacing w:before="20" w:after="20"/>
              <w:jc w:val="center"/>
              <w:rPr>
                <w:rFonts w:ascii="Times New Roman" w:eastAsia="Times New Roman" w:hAnsi="Times New Roman" w:cs="Times New Roman"/>
                <w:b/>
                <w:i/>
              </w:rPr>
            </w:pPr>
            <w:r w:rsidRPr="0066263B">
              <w:rPr>
                <w:rFonts w:ascii="Times New Roman" w:eastAsia="Times New Roman" w:hAnsi="Times New Roman" w:cs="Times New Roman"/>
                <w:b/>
                <w:i/>
              </w:rPr>
              <w:t>2019</w:t>
            </w:r>
          </w:p>
        </w:tc>
        <w:tc>
          <w:tcPr>
            <w:tcW w:w="857" w:type="pct"/>
            <w:vAlign w:val="center"/>
          </w:tcPr>
          <w:p w:rsidR="00DA6CBD" w:rsidRPr="0066263B" w:rsidRDefault="00DA6CBD" w:rsidP="00222578">
            <w:pPr>
              <w:spacing w:before="20" w:after="20"/>
              <w:jc w:val="center"/>
              <w:rPr>
                <w:rFonts w:ascii="Times New Roman" w:eastAsia="Times New Roman" w:hAnsi="Times New Roman" w:cs="Times New Roman"/>
                <w:b/>
                <w:i/>
              </w:rPr>
            </w:pPr>
            <w:r w:rsidRPr="0066263B">
              <w:rPr>
                <w:rFonts w:ascii="Times New Roman" w:eastAsia="Times New Roman" w:hAnsi="Times New Roman" w:cs="Times New Roman"/>
                <w:b/>
                <w:i/>
              </w:rPr>
              <w:t>2020</w:t>
            </w:r>
          </w:p>
        </w:tc>
      </w:tr>
      <w:tr w:rsidR="00DA6CBD" w:rsidRPr="0066263B" w:rsidTr="00222578">
        <w:trPr>
          <w:trHeight w:val="153"/>
          <w:jc w:val="center"/>
        </w:trPr>
        <w:tc>
          <w:tcPr>
            <w:tcW w:w="2580" w:type="pct"/>
            <w:vAlign w:val="center"/>
          </w:tcPr>
          <w:p w:rsidR="00DA6CBD" w:rsidRPr="0066263B" w:rsidRDefault="00DA6CBD" w:rsidP="00222578">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 xml:space="preserve">Всего </w:t>
            </w:r>
            <w:proofErr w:type="gramStart"/>
            <w:r w:rsidRPr="0066263B">
              <w:rPr>
                <w:rFonts w:ascii="Times New Roman" w:eastAsia="Calibri" w:hAnsi="Times New Roman" w:cs="Times New Roman"/>
                <w:lang w:eastAsia="ru-RU"/>
              </w:rPr>
              <w:t>умерших</w:t>
            </w:r>
            <w:proofErr w:type="gramEnd"/>
          </w:p>
        </w:tc>
        <w:tc>
          <w:tcPr>
            <w:tcW w:w="705" w:type="pct"/>
            <w:vAlign w:val="center"/>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18273</w:t>
            </w:r>
          </w:p>
        </w:tc>
        <w:tc>
          <w:tcPr>
            <w:tcW w:w="858" w:type="pct"/>
            <w:vAlign w:val="center"/>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17615</w:t>
            </w:r>
          </w:p>
        </w:tc>
        <w:tc>
          <w:tcPr>
            <w:tcW w:w="857" w:type="pct"/>
          </w:tcPr>
          <w:p w:rsidR="00DA6CBD" w:rsidRPr="0066263B" w:rsidRDefault="00DA6CBD" w:rsidP="00DA6CBD">
            <w:pPr>
              <w:spacing w:before="20" w:after="20"/>
              <w:jc w:val="center"/>
              <w:rPr>
                <w:rFonts w:ascii="Times New Roman" w:eastAsia="Calibri" w:hAnsi="Times New Roman" w:cs="Times New Roman"/>
              </w:rPr>
            </w:pPr>
            <w:r w:rsidRPr="0066263B">
              <w:rPr>
                <w:rFonts w:ascii="Times New Roman" w:eastAsia="Calibri" w:hAnsi="Times New Roman" w:cs="Times New Roman"/>
              </w:rPr>
              <w:t>16966</w:t>
            </w:r>
          </w:p>
        </w:tc>
      </w:tr>
      <w:tr w:rsidR="00DA6CBD" w:rsidRPr="0066263B" w:rsidTr="00222578">
        <w:trPr>
          <w:jc w:val="center"/>
        </w:trPr>
        <w:tc>
          <w:tcPr>
            <w:tcW w:w="2580" w:type="pct"/>
            <w:vAlign w:val="center"/>
          </w:tcPr>
          <w:p w:rsidR="00DA6CBD" w:rsidRPr="0066263B" w:rsidRDefault="00DA6CBD" w:rsidP="00222578">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 xml:space="preserve">в том числе </w:t>
            </w:r>
            <w:proofErr w:type="gramStart"/>
            <w:r w:rsidRPr="0066263B">
              <w:rPr>
                <w:rFonts w:ascii="Times New Roman" w:eastAsia="Calibri" w:hAnsi="Times New Roman" w:cs="Times New Roman"/>
                <w:lang w:eastAsia="ru-RU"/>
              </w:rPr>
              <w:t>от</w:t>
            </w:r>
            <w:proofErr w:type="gramEnd"/>
            <w:r w:rsidRPr="0066263B">
              <w:rPr>
                <w:rFonts w:ascii="Times New Roman" w:eastAsia="Calibri" w:hAnsi="Times New Roman" w:cs="Times New Roman"/>
                <w:lang w:eastAsia="ru-RU"/>
              </w:rPr>
              <w:t>:</w:t>
            </w:r>
          </w:p>
        </w:tc>
        <w:tc>
          <w:tcPr>
            <w:tcW w:w="2420" w:type="pct"/>
            <w:gridSpan w:val="3"/>
            <w:vAlign w:val="center"/>
          </w:tcPr>
          <w:p w:rsidR="00DA6CBD" w:rsidRPr="0066263B" w:rsidRDefault="00DA6CBD" w:rsidP="00222578">
            <w:pPr>
              <w:spacing w:before="20" w:after="20"/>
              <w:jc w:val="center"/>
              <w:rPr>
                <w:rFonts w:ascii="Times New Roman" w:eastAsia="Calibri" w:hAnsi="Times New Roman" w:cs="Times New Roman"/>
              </w:rPr>
            </w:pPr>
          </w:p>
        </w:tc>
      </w:tr>
      <w:tr w:rsidR="00DA6CBD" w:rsidRPr="0066263B" w:rsidTr="00222578">
        <w:trPr>
          <w:trHeight w:val="303"/>
          <w:jc w:val="center"/>
        </w:trPr>
        <w:tc>
          <w:tcPr>
            <w:tcW w:w="2580" w:type="pct"/>
            <w:vAlign w:val="center"/>
          </w:tcPr>
          <w:p w:rsidR="00DA6CBD" w:rsidRPr="0066263B" w:rsidRDefault="00DA6CBD" w:rsidP="00222578">
            <w:pPr>
              <w:numPr>
                <w:ilvl w:val="0"/>
                <w:numId w:val="12"/>
              </w:numPr>
              <w:spacing w:before="20" w:after="20"/>
              <w:ind w:left="284" w:hanging="142"/>
              <w:contextualSpacing/>
              <w:jc w:val="left"/>
              <w:rPr>
                <w:rFonts w:ascii="Times New Roman" w:eastAsia="Calibri" w:hAnsi="Times New Roman" w:cs="Times New Roman"/>
              </w:rPr>
            </w:pPr>
            <w:r w:rsidRPr="0066263B">
              <w:rPr>
                <w:rFonts w:ascii="Times New Roman" w:eastAsia="Calibri" w:hAnsi="Times New Roman" w:cs="Times New Roman"/>
              </w:rPr>
              <w:t>болезней системы кровообращения</w:t>
            </w:r>
          </w:p>
        </w:tc>
        <w:tc>
          <w:tcPr>
            <w:tcW w:w="705" w:type="pct"/>
            <w:vAlign w:val="bottom"/>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8958</w:t>
            </w:r>
          </w:p>
        </w:tc>
        <w:tc>
          <w:tcPr>
            <w:tcW w:w="858" w:type="pct"/>
            <w:vAlign w:val="bottom"/>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8415</w:t>
            </w:r>
          </w:p>
        </w:tc>
        <w:tc>
          <w:tcPr>
            <w:tcW w:w="857"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7257</w:t>
            </w:r>
          </w:p>
        </w:tc>
      </w:tr>
      <w:tr w:rsidR="00DA6CBD" w:rsidRPr="0066263B" w:rsidTr="00222578">
        <w:trPr>
          <w:jc w:val="center"/>
        </w:trPr>
        <w:tc>
          <w:tcPr>
            <w:tcW w:w="2580" w:type="pct"/>
            <w:vAlign w:val="center"/>
          </w:tcPr>
          <w:p w:rsidR="00DA6CBD" w:rsidRPr="0066263B" w:rsidRDefault="00DA6CBD" w:rsidP="00222578">
            <w:pPr>
              <w:numPr>
                <w:ilvl w:val="0"/>
                <w:numId w:val="12"/>
              </w:numPr>
              <w:spacing w:before="20" w:after="20"/>
              <w:ind w:left="284" w:hanging="142"/>
              <w:contextualSpacing/>
              <w:jc w:val="left"/>
              <w:rPr>
                <w:rFonts w:ascii="Times New Roman" w:eastAsia="Calibri" w:hAnsi="Times New Roman" w:cs="Times New Roman"/>
              </w:rPr>
            </w:pPr>
            <w:r w:rsidRPr="0066263B">
              <w:rPr>
                <w:rFonts w:ascii="Times New Roman" w:eastAsia="Calibri" w:hAnsi="Times New Roman" w:cs="Times New Roman"/>
              </w:rPr>
              <w:t>новообразований</w:t>
            </w:r>
          </w:p>
        </w:tc>
        <w:tc>
          <w:tcPr>
            <w:tcW w:w="705"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3033</w:t>
            </w:r>
          </w:p>
        </w:tc>
        <w:tc>
          <w:tcPr>
            <w:tcW w:w="858"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2954</w:t>
            </w:r>
          </w:p>
        </w:tc>
        <w:tc>
          <w:tcPr>
            <w:tcW w:w="857"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2968</w:t>
            </w:r>
          </w:p>
        </w:tc>
      </w:tr>
      <w:tr w:rsidR="00DA6CBD" w:rsidRPr="0066263B" w:rsidTr="00222578">
        <w:trPr>
          <w:jc w:val="center"/>
        </w:trPr>
        <w:tc>
          <w:tcPr>
            <w:tcW w:w="2580" w:type="pct"/>
            <w:vAlign w:val="center"/>
          </w:tcPr>
          <w:p w:rsidR="00DA6CBD" w:rsidRPr="0066263B" w:rsidRDefault="00DA6CBD" w:rsidP="00222578">
            <w:pPr>
              <w:numPr>
                <w:ilvl w:val="0"/>
                <w:numId w:val="12"/>
              </w:numPr>
              <w:spacing w:before="20" w:after="20"/>
              <w:ind w:left="284" w:hanging="142"/>
              <w:contextualSpacing/>
              <w:jc w:val="left"/>
              <w:rPr>
                <w:rFonts w:ascii="Times New Roman" w:eastAsia="Calibri" w:hAnsi="Times New Roman" w:cs="Times New Roman"/>
              </w:rPr>
            </w:pPr>
            <w:r w:rsidRPr="0066263B">
              <w:rPr>
                <w:rFonts w:ascii="Times New Roman" w:eastAsia="Calibri" w:hAnsi="Times New Roman" w:cs="Times New Roman"/>
              </w:rPr>
              <w:t>несчастных случаев, отравлений и травм</w:t>
            </w:r>
          </w:p>
        </w:tc>
        <w:tc>
          <w:tcPr>
            <w:tcW w:w="705" w:type="pct"/>
            <w:vAlign w:val="bottom"/>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1363</w:t>
            </w:r>
          </w:p>
        </w:tc>
        <w:tc>
          <w:tcPr>
            <w:tcW w:w="858" w:type="pct"/>
            <w:vAlign w:val="bottom"/>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1226</w:t>
            </w:r>
          </w:p>
        </w:tc>
        <w:tc>
          <w:tcPr>
            <w:tcW w:w="857"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1107</w:t>
            </w:r>
          </w:p>
        </w:tc>
      </w:tr>
      <w:tr w:rsidR="00DA6CBD" w:rsidRPr="0066263B" w:rsidTr="00222578">
        <w:trPr>
          <w:jc w:val="center"/>
        </w:trPr>
        <w:tc>
          <w:tcPr>
            <w:tcW w:w="2580" w:type="pct"/>
            <w:vAlign w:val="center"/>
          </w:tcPr>
          <w:p w:rsidR="00DA6CBD" w:rsidRPr="0066263B" w:rsidRDefault="00DA6CBD" w:rsidP="00222578">
            <w:pPr>
              <w:spacing w:before="20" w:after="20"/>
              <w:ind w:left="284"/>
              <w:rPr>
                <w:rFonts w:ascii="Times New Roman" w:eastAsia="Times New Roman" w:hAnsi="Times New Roman" w:cs="Times New Roman"/>
              </w:rPr>
            </w:pPr>
            <w:r w:rsidRPr="0066263B">
              <w:rPr>
                <w:rFonts w:ascii="Times New Roman" w:eastAsia="Times New Roman" w:hAnsi="Times New Roman" w:cs="Times New Roman"/>
              </w:rPr>
              <w:t>из них:</w:t>
            </w:r>
          </w:p>
        </w:tc>
        <w:tc>
          <w:tcPr>
            <w:tcW w:w="2420" w:type="pct"/>
            <w:gridSpan w:val="3"/>
            <w:vAlign w:val="center"/>
          </w:tcPr>
          <w:p w:rsidR="00DA6CBD" w:rsidRPr="0066263B" w:rsidRDefault="00DA6CBD" w:rsidP="00222578">
            <w:pPr>
              <w:spacing w:before="20" w:after="20"/>
              <w:jc w:val="center"/>
              <w:rPr>
                <w:rFonts w:ascii="Times New Roman" w:eastAsia="Calibri" w:hAnsi="Times New Roman" w:cs="Times New Roman"/>
              </w:rPr>
            </w:pPr>
          </w:p>
        </w:tc>
      </w:tr>
      <w:tr w:rsidR="00DA6CBD" w:rsidRPr="0066263B" w:rsidTr="00222578">
        <w:trPr>
          <w:jc w:val="center"/>
        </w:trPr>
        <w:tc>
          <w:tcPr>
            <w:tcW w:w="2580" w:type="pct"/>
            <w:vAlign w:val="center"/>
          </w:tcPr>
          <w:p w:rsidR="00DA6CBD" w:rsidRPr="0066263B" w:rsidRDefault="00DA6CBD" w:rsidP="00DA6CBD">
            <w:pPr>
              <w:numPr>
                <w:ilvl w:val="0"/>
                <w:numId w:val="72"/>
              </w:numPr>
              <w:spacing w:before="20" w:after="20"/>
              <w:ind w:left="426" w:hanging="142"/>
              <w:contextualSpacing/>
              <w:jc w:val="left"/>
              <w:rPr>
                <w:rFonts w:ascii="Times New Roman" w:eastAsia="Times New Roman" w:hAnsi="Times New Roman" w:cs="Times New Roman"/>
              </w:rPr>
            </w:pPr>
            <w:r w:rsidRPr="0066263B">
              <w:rPr>
                <w:rFonts w:ascii="Times New Roman" w:eastAsia="Times New Roman" w:hAnsi="Times New Roman" w:cs="Times New Roman"/>
              </w:rPr>
              <w:t>случайных отравлений алкоголем</w:t>
            </w:r>
          </w:p>
        </w:tc>
        <w:tc>
          <w:tcPr>
            <w:tcW w:w="705" w:type="pct"/>
            <w:vAlign w:val="bottom"/>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91</w:t>
            </w:r>
          </w:p>
        </w:tc>
        <w:tc>
          <w:tcPr>
            <w:tcW w:w="858" w:type="pct"/>
            <w:vAlign w:val="bottom"/>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112</w:t>
            </w:r>
          </w:p>
        </w:tc>
        <w:tc>
          <w:tcPr>
            <w:tcW w:w="857"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151</w:t>
            </w:r>
          </w:p>
        </w:tc>
      </w:tr>
      <w:tr w:rsidR="00DA6CBD" w:rsidRPr="0066263B" w:rsidTr="00222578">
        <w:trPr>
          <w:jc w:val="center"/>
        </w:trPr>
        <w:tc>
          <w:tcPr>
            <w:tcW w:w="2580" w:type="pct"/>
            <w:vAlign w:val="center"/>
          </w:tcPr>
          <w:p w:rsidR="00DA6CBD" w:rsidRPr="0066263B" w:rsidRDefault="00DA6CBD" w:rsidP="00DA6CBD">
            <w:pPr>
              <w:numPr>
                <w:ilvl w:val="0"/>
                <w:numId w:val="72"/>
              </w:numPr>
              <w:spacing w:before="20" w:after="20"/>
              <w:ind w:left="426" w:hanging="142"/>
              <w:contextualSpacing/>
              <w:jc w:val="left"/>
              <w:rPr>
                <w:rFonts w:ascii="Times New Roman" w:eastAsia="Times New Roman" w:hAnsi="Times New Roman" w:cs="Times New Roman"/>
              </w:rPr>
            </w:pPr>
            <w:r w:rsidRPr="0066263B">
              <w:rPr>
                <w:rFonts w:ascii="Times New Roman" w:eastAsia="Times New Roman" w:hAnsi="Times New Roman" w:cs="Times New Roman"/>
              </w:rPr>
              <w:t>самоубийств</w:t>
            </w:r>
          </w:p>
        </w:tc>
        <w:tc>
          <w:tcPr>
            <w:tcW w:w="705"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144</w:t>
            </w:r>
          </w:p>
        </w:tc>
        <w:tc>
          <w:tcPr>
            <w:tcW w:w="858"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135</w:t>
            </w:r>
          </w:p>
        </w:tc>
        <w:tc>
          <w:tcPr>
            <w:tcW w:w="857"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155</w:t>
            </w:r>
          </w:p>
        </w:tc>
      </w:tr>
      <w:tr w:rsidR="00DA6CBD" w:rsidRPr="0066263B" w:rsidTr="00222578">
        <w:trPr>
          <w:jc w:val="center"/>
        </w:trPr>
        <w:tc>
          <w:tcPr>
            <w:tcW w:w="2580" w:type="pct"/>
            <w:vAlign w:val="center"/>
          </w:tcPr>
          <w:p w:rsidR="00DA6CBD" w:rsidRPr="0066263B" w:rsidRDefault="00DA6CBD" w:rsidP="00DA6CBD">
            <w:pPr>
              <w:numPr>
                <w:ilvl w:val="0"/>
                <w:numId w:val="72"/>
              </w:numPr>
              <w:spacing w:before="20" w:after="20"/>
              <w:ind w:left="426" w:hanging="142"/>
              <w:contextualSpacing/>
              <w:jc w:val="left"/>
              <w:rPr>
                <w:rFonts w:ascii="Times New Roman" w:eastAsia="Times New Roman" w:hAnsi="Times New Roman" w:cs="Times New Roman"/>
              </w:rPr>
            </w:pPr>
            <w:r w:rsidRPr="0066263B">
              <w:rPr>
                <w:rFonts w:ascii="Times New Roman" w:eastAsia="Times New Roman" w:hAnsi="Times New Roman" w:cs="Times New Roman"/>
              </w:rPr>
              <w:t>убийств</w:t>
            </w:r>
          </w:p>
        </w:tc>
        <w:tc>
          <w:tcPr>
            <w:tcW w:w="705"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50</w:t>
            </w:r>
          </w:p>
        </w:tc>
        <w:tc>
          <w:tcPr>
            <w:tcW w:w="858"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79</w:t>
            </w:r>
          </w:p>
        </w:tc>
        <w:tc>
          <w:tcPr>
            <w:tcW w:w="857" w:type="pct"/>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52</w:t>
            </w:r>
          </w:p>
        </w:tc>
      </w:tr>
      <w:tr w:rsidR="00DA6CBD" w:rsidRPr="0066263B" w:rsidTr="00222578">
        <w:trPr>
          <w:jc w:val="center"/>
        </w:trPr>
        <w:tc>
          <w:tcPr>
            <w:tcW w:w="2580" w:type="pct"/>
            <w:vAlign w:val="center"/>
          </w:tcPr>
          <w:p w:rsidR="00DA6CBD" w:rsidRPr="0066263B" w:rsidRDefault="00DA6CBD" w:rsidP="00222578">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Показатель смертности на 100 тыс. населения</w:t>
            </w:r>
          </w:p>
        </w:tc>
        <w:tc>
          <w:tcPr>
            <w:tcW w:w="705" w:type="pct"/>
            <w:vAlign w:val="center"/>
          </w:tcPr>
          <w:p w:rsidR="00DA6CBD" w:rsidRPr="0066263B" w:rsidRDefault="00DA6CBD" w:rsidP="00222578">
            <w:pPr>
              <w:spacing w:before="20" w:after="20"/>
              <w:jc w:val="center"/>
              <w:rPr>
                <w:rFonts w:ascii="Times New Roman" w:eastAsia="Calibri" w:hAnsi="Times New Roman" w:cs="Times New Roman"/>
                <w:smallCaps/>
              </w:rPr>
            </w:pPr>
            <w:r w:rsidRPr="0066263B">
              <w:rPr>
                <w:rFonts w:ascii="Times New Roman" w:eastAsia="Calibri" w:hAnsi="Times New Roman" w:cs="Times New Roman"/>
                <w:smallCaps/>
              </w:rPr>
              <w:t>15,2</w:t>
            </w:r>
          </w:p>
        </w:tc>
        <w:tc>
          <w:tcPr>
            <w:tcW w:w="858" w:type="pct"/>
            <w:vAlign w:val="center"/>
          </w:tcPr>
          <w:p w:rsidR="00DA6CBD" w:rsidRPr="0066263B" w:rsidRDefault="00DA6CBD" w:rsidP="00222578">
            <w:pPr>
              <w:spacing w:before="20" w:after="20"/>
              <w:jc w:val="center"/>
              <w:rPr>
                <w:rFonts w:ascii="Times New Roman" w:eastAsia="Calibri" w:hAnsi="Times New Roman" w:cs="Times New Roman"/>
                <w:smallCaps/>
              </w:rPr>
            </w:pPr>
            <w:r w:rsidRPr="0066263B">
              <w:rPr>
                <w:rFonts w:ascii="Times New Roman" w:eastAsia="Calibri" w:hAnsi="Times New Roman" w:cs="Times New Roman"/>
                <w:smallCaps/>
              </w:rPr>
              <w:t>14,7</w:t>
            </w:r>
          </w:p>
        </w:tc>
        <w:tc>
          <w:tcPr>
            <w:tcW w:w="857" w:type="pct"/>
            <w:vAlign w:val="center"/>
          </w:tcPr>
          <w:p w:rsidR="00DA6CBD" w:rsidRPr="0066263B" w:rsidRDefault="00DA6CBD"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14,3</w:t>
            </w:r>
          </w:p>
        </w:tc>
      </w:tr>
      <w:tr w:rsidR="00DA6CBD" w:rsidRPr="0066263B" w:rsidTr="00222578">
        <w:trPr>
          <w:jc w:val="center"/>
        </w:trPr>
        <w:tc>
          <w:tcPr>
            <w:tcW w:w="2580" w:type="pct"/>
            <w:vAlign w:val="center"/>
          </w:tcPr>
          <w:p w:rsidR="00DA6CBD" w:rsidRPr="0066263B" w:rsidRDefault="00DA6CBD" w:rsidP="00222578">
            <w:pPr>
              <w:spacing w:before="20" w:after="20"/>
              <w:ind w:left="57"/>
              <w:jc w:val="left"/>
              <w:rPr>
                <w:rFonts w:ascii="Times New Roman" w:eastAsia="Calibri" w:hAnsi="Times New Roman" w:cs="Times New Roman"/>
              </w:rPr>
            </w:pPr>
            <w:r w:rsidRPr="0066263B">
              <w:rPr>
                <w:rFonts w:ascii="Times New Roman" w:eastAsia="Calibri" w:hAnsi="Times New Roman" w:cs="Times New Roman"/>
              </w:rPr>
              <w:t xml:space="preserve">в том числе </w:t>
            </w:r>
            <w:proofErr w:type="gramStart"/>
            <w:r w:rsidRPr="0066263B">
              <w:rPr>
                <w:rFonts w:ascii="Times New Roman" w:eastAsia="Calibri" w:hAnsi="Times New Roman" w:cs="Times New Roman"/>
              </w:rPr>
              <w:t>от</w:t>
            </w:r>
            <w:proofErr w:type="gramEnd"/>
            <w:r w:rsidRPr="0066263B">
              <w:rPr>
                <w:rFonts w:ascii="Times New Roman" w:eastAsia="Calibri" w:hAnsi="Times New Roman" w:cs="Times New Roman"/>
              </w:rPr>
              <w:t>:</w:t>
            </w:r>
          </w:p>
        </w:tc>
        <w:tc>
          <w:tcPr>
            <w:tcW w:w="2420" w:type="pct"/>
            <w:gridSpan w:val="3"/>
            <w:vAlign w:val="center"/>
          </w:tcPr>
          <w:p w:rsidR="00DA6CBD" w:rsidRPr="0066263B" w:rsidRDefault="00DA6CBD" w:rsidP="00222578">
            <w:pPr>
              <w:spacing w:before="20" w:after="20"/>
              <w:jc w:val="center"/>
              <w:rPr>
                <w:rFonts w:ascii="Times New Roman" w:eastAsia="Calibri" w:hAnsi="Times New Roman" w:cs="Times New Roman"/>
                <w:smallCaps/>
              </w:rPr>
            </w:pPr>
          </w:p>
        </w:tc>
      </w:tr>
      <w:tr w:rsidR="00222578" w:rsidRPr="0066263B" w:rsidTr="00222578">
        <w:trPr>
          <w:jc w:val="center"/>
        </w:trPr>
        <w:tc>
          <w:tcPr>
            <w:tcW w:w="2580" w:type="pct"/>
            <w:vAlign w:val="center"/>
          </w:tcPr>
          <w:p w:rsidR="00222578" w:rsidRPr="0066263B" w:rsidRDefault="00222578" w:rsidP="00222578">
            <w:pPr>
              <w:numPr>
                <w:ilvl w:val="0"/>
                <w:numId w:val="12"/>
              </w:numPr>
              <w:spacing w:before="20" w:after="20"/>
              <w:ind w:left="284" w:hanging="142"/>
              <w:contextualSpacing/>
              <w:jc w:val="left"/>
              <w:rPr>
                <w:rFonts w:ascii="Times New Roman" w:eastAsia="Calibri" w:hAnsi="Times New Roman" w:cs="Times New Roman"/>
              </w:rPr>
            </w:pPr>
            <w:r w:rsidRPr="0066263B">
              <w:rPr>
                <w:rFonts w:ascii="Times New Roman" w:eastAsia="Calibri" w:hAnsi="Times New Roman" w:cs="Times New Roman"/>
              </w:rPr>
              <w:t>болезней системы кровообращения</w:t>
            </w:r>
          </w:p>
        </w:tc>
        <w:tc>
          <w:tcPr>
            <w:tcW w:w="705"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7,5</w:t>
            </w:r>
          </w:p>
        </w:tc>
        <w:tc>
          <w:tcPr>
            <w:tcW w:w="858"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7,0</w:t>
            </w:r>
          </w:p>
        </w:tc>
        <w:tc>
          <w:tcPr>
            <w:tcW w:w="857"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6,1</w:t>
            </w:r>
          </w:p>
        </w:tc>
      </w:tr>
      <w:tr w:rsidR="00222578" w:rsidRPr="0066263B" w:rsidTr="00222578">
        <w:trPr>
          <w:jc w:val="center"/>
        </w:trPr>
        <w:tc>
          <w:tcPr>
            <w:tcW w:w="2580" w:type="pct"/>
            <w:vAlign w:val="center"/>
          </w:tcPr>
          <w:p w:rsidR="00222578" w:rsidRPr="0066263B" w:rsidRDefault="00222578" w:rsidP="00222578">
            <w:pPr>
              <w:numPr>
                <w:ilvl w:val="0"/>
                <w:numId w:val="12"/>
              </w:numPr>
              <w:spacing w:before="20" w:after="20"/>
              <w:ind w:left="284" w:hanging="142"/>
              <w:contextualSpacing/>
              <w:jc w:val="left"/>
              <w:rPr>
                <w:rFonts w:ascii="Times New Roman" w:eastAsia="Calibri" w:hAnsi="Times New Roman" w:cs="Times New Roman"/>
              </w:rPr>
            </w:pPr>
            <w:r w:rsidRPr="0066263B">
              <w:rPr>
                <w:rFonts w:ascii="Times New Roman" w:eastAsia="Calibri" w:hAnsi="Times New Roman" w:cs="Times New Roman"/>
              </w:rPr>
              <w:t>новообразований</w:t>
            </w:r>
          </w:p>
        </w:tc>
        <w:tc>
          <w:tcPr>
            <w:tcW w:w="705"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2,4</w:t>
            </w:r>
          </w:p>
        </w:tc>
        <w:tc>
          <w:tcPr>
            <w:tcW w:w="858"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2,4</w:t>
            </w:r>
          </w:p>
        </w:tc>
        <w:tc>
          <w:tcPr>
            <w:tcW w:w="857"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2,5</w:t>
            </w:r>
          </w:p>
        </w:tc>
      </w:tr>
      <w:tr w:rsidR="00222578" w:rsidRPr="0066263B" w:rsidTr="00222578">
        <w:trPr>
          <w:jc w:val="center"/>
        </w:trPr>
        <w:tc>
          <w:tcPr>
            <w:tcW w:w="2580" w:type="pct"/>
            <w:vAlign w:val="center"/>
          </w:tcPr>
          <w:p w:rsidR="00222578" w:rsidRPr="0066263B" w:rsidRDefault="00222578" w:rsidP="00222578">
            <w:pPr>
              <w:numPr>
                <w:ilvl w:val="0"/>
                <w:numId w:val="12"/>
              </w:numPr>
              <w:spacing w:before="20" w:after="20"/>
              <w:ind w:left="284" w:hanging="142"/>
              <w:contextualSpacing/>
              <w:jc w:val="left"/>
              <w:rPr>
                <w:rFonts w:ascii="Times New Roman" w:eastAsia="Calibri" w:hAnsi="Times New Roman" w:cs="Times New Roman"/>
              </w:rPr>
            </w:pPr>
            <w:r w:rsidRPr="0066263B">
              <w:rPr>
                <w:rFonts w:ascii="Times New Roman" w:eastAsia="Calibri" w:hAnsi="Times New Roman" w:cs="Times New Roman"/>
              </w:rPr>
              <w:t>несчастных случаев, отравлений и травм</w:t>
            </w:r>
          </w:p>
        </w:tc>
        <w:tc>
          <w:tcPr>
            <w:tcW w:w="705"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1,1</w:t>
            </w:r>
          </w:p>
        </w:tc>
        <w:tc>
          <w:tcPr>
            <w:tcW w:w="858"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w:t>
            </w:r>
          </w:p>
        </w:tc>
        <w:tc>
          <w:tcPr>
            <w:tcW w:w="857"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1</w:t>
            </w:r>
          </w:p>
        </w:tc>
      </w:tr>
      <w:tr w:rsidR="00222578" w:rsidRPr="0066263B" w:rsidTr="00222578">
        <w:trPr>
          <w:jc w:val="center"/>
        </w:trPr>
        <w:tc>
          <w:tcPr>
            <w:tcW w:w="2580" w:type="pct"/>
            <w:vAlign w:val="center"/>
          </w:tcPr>
          <w:p w:rsidR="00222578" w:rsidRPr="0066263B" w:rsidRDefault="00222578" w:rsidP="00222578">
            <w:pPr>
              <w:spacing w:before="20" w:after="20"/>
              <w:ind w:left="284"/>
              <w:rPr>
                <w:rFonts w:ascii="Times New Roman" w:eastAsia="Times New Roman" w:hAnsi="Times New Roman" w:cs="Times New Roman"/>
              </w:rPr>
            </w:pPr>
            <w:r w:rsidRPr="0066263B">
              <w:rPr>
                <w:rFonts w:ascii="Times New Roman" w:eastAsia="Times New Roman" w:hAnsi="Times New Roman" w:cs="Times New Roman"/>
              </w:rPr>
              <w:t>из них:</w:t>
            </w:r>
          </w:p>
        </w:tc>
        <w:tc>
          <w:tcPr>
            <w:tcW w:w="2420" w:type="pct"/>
            <w:gridSpan w:val="3"/>
            <w:vAlign w:val="center"/>
          </w:tcPr>
          <w:p w:rsidR="00222578" w:rsidRPr="0066263B" w:rsidRDefault="00222578" w:rsidP="00222578">
            <w:pPr>
              <w:spacing w:before="20" w:after="20"/>
              <w:jc w:val="center"/>
              <w:rPr>
                <w:rFonts w:ascii="Times New Roman" w:eastAsia="Times New Roman" w:hAnsi="Times New Roman" w:cs="Times New Roman"/>
                <w:smallCaps/>
              </w:rPr>
            </w:pPr>
          </w:p>
        </w:tc>
      </w:tr>
      <w:tr w:rsidR="00222578" w:rsidRPr="0066263B" w:rsidTr="00222578">
        <w:trPr>
          <w:jc w:val="center"/>
        </w:trPr>
        <w:tc>
          <w:tcPr>
            <w:tcW w:w="2580" w:type="pct"/>
            <w:vAlign w:val="center"/>
          </w:tcPr>
          <w:p w:rsidR="00222578" w:rsidRPr="0066263B" w:rsidRDefault="00222578" w:rsidP="00DA6CBD">
            <w:pPr>
              <w:numPr>
                <w:ilvl w:val="0"/>
                <w:numId w:val="72"/>
              </w:numPr>
              <w:spacing w:before="20" w:after="20"/>
              <w:ind w:left="426" w:hanging="142"/>
              <w:contextualSpacing/>
              <w:jc w:val="left"/>
              <w:rPr>
                <w:rFonts w:ascii="Times New Roman" w:eastAsia="Times New Roman" w:hAnsi="Times New Roman" w:cs="Times New Roman"/>
              </w:rPr>
            </w:pPr>
            <w:r w:rsidRPr="0066263B">
              <w:rPr>
                <w:rFonts w:ascii="Times New Roman" w:eastAsia="Times New Roman" w:hAnsi="Times New Roman" w:cs="Times New Roman"/>
              </w:rPr>
              <w:t>случайных отравлений алкоголем</w:t>
            </w:r>
          </w:p>
        </w:tc>
        <w:tc>
          <w:tcPr>
            <w:tcW w:w="705"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0,8</w:t>
            </w:r>
          </w:p>
        </w:tc>
        <w:tc>
          <w:tcPr>
            <w:tcW w:w="858"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c>
          <w:tcPr>
            <w:tcW w:w="857"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r>
      <w:tr w:rsidR="00222578" w:rsidRPr="0066263B" w:rsidTr="00222578">
        <w:trPr>
          <w:jc w:val="center"/>
        </w:trPr>
        <w:tc>
          <w:tcPr>
            <w:tcW w:w="2580" w:type="pct"/>
            <w:vAlign w:val="center"/>
          </w:tcPr>
          <w:p w:rsidR="00222578" w:rsidRPr="0066263B" w:rsidRDefault="00222578" w:rsidP="00DA6CBD">
            <w:pPr>
              <w:numPr>
                <w:ilvl w:val="0"/>
                <w:numId w:val="72"/>
              </w:numPr>
              <w:spacing w:before="20" w:after="20"/>
              <w:ind w:left="426" w:hanging="142"/>
              <w:contextualSpacing/>
              <w:jc w:val="left"/>
              <w:rPr>
                <w:rFonts w:ascii="Times New Roman" w:eastAsia="Times New Roman" w:hAnsi="Times New Roman" w:cs="Times New Roman"/>
              </w:rPr>
            </w:pPr>
            <w:r w:rsidRPr="0066263B">
              <w:rPr>
                <w:rFonts w:ascii="Times New Roman" w:eastAsia="Times New Roman" w:hAnsi="Times New Roman" w:cs="Times New Roman"/>
              </w:rPr>
              <w:t>самоубийств</w:t>
            </w:r>
          </w:p>
        </w:tc>
        <w:tc>
          <w:tcPr>
            <w:tcW w:w="705"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0</w:t>
            </w:r>
          </w:p>
        </w:tc>
        <w:tc>
          <w:tcPr>
            <w:tcW w:w="858"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c>
          <w:tcPr>
            <w:tcW w:w="857"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r>
      <w:tr w:rsidR="00222578" w:rsidRPr="0066263B" w:rsidTr="00222578">
        <w:trPr>
          <w:jc w:val="center"/>
        </w:trPr>
        <w:tc>
          <w:tcPr>
            <w:tcW w:w="2580" w:type="pct"/>
            <w:vAlign w:val="center"/>
          </w:tcPr>
          <w:p w:rsidR="00222578" w:rsidRPr="0066263B" w:rsidRDefault="00222578" w:rsidP="00DA6CBD">
            <w:pPr>
              <w:numPr>
                <w:ilvl w:val="0"/>
                <w:numId w:val="72"/>
              </w:numPr>
              <w:spacing w:before="20" w:after="20"/>
              <w:ind w:left="426" w:hanging="142"/>
              <w:contextualSpacing/>
              <w:jc w:val="left"/>
              <w:rPr>
                <w:rFonts w:ascii="Times New Roman" w:eastAsia="Times New Roman" w:hAnsi="Times New Roman" w:cs="Times New Roman"/>
              </w:rPr>
            </w:pPr>
            <w:r w:rsidRPr="0066263B">
              <w:rPr>
                <w:rFonts w:ascii="Times New Roman" w:eastAsia="Times New Roman" w:hAnsi="Times New Roman" w:cs="Times New Roman"/>
              </w:rPr>
              <w:t>убийств</w:t>
            </w:r>
          </w:p>
        </w:tc>
        <w:tc>
          <w:tcPr>
            <w:tcW w:w="705"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0,04</w:t>
            </w:r>
          </w:p>
        </w:tc>
        <w:tc>
          <w:tcPr>
            <w:tcW w:w="858"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c>
          <w:tcPr>
            <w:tcW w:w="857" w:type="pct"/>
            <w:vAlign w:val="center"/>
          </w:tcPr>
          <w:p w:rsidR="00222578" w:rsidRPr="0066263B" w:rsidRDefault="00222578" w:rsidP="00222578">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r>
    </w:tbl>
    <w:p w:rsidR="00DA6CBD" w:rsidRPr="0066263B" w:rsidRDefault="00DA6CBD" w:rsidP="00324483">
      <w:pPr>
        <w:spacing w:before="0" w:after="0"/>
        <w:ind w:firstLine="709"/>
        <w:rPr>
          <w:rFonts w:ascii="Times New Roman" w:eastAsia="TimesNewRomanPS-BoldMT" w:hAnsi="Times New Roman" w:cs="Times New Roman"/>
          <w:bCs/>
          <w:sz w:val="24"/>
          <w:szCs w:val="24"/>
        </w:rPr>
      </w:pPr>
    </w:p>
    <w:p w:rsidR="00222578" w:rsidRPr="0066263B" w:rsidRDefault="00222578">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222578" w:rsidRPr="0066263B" w:rsidRDefault="00222578" w:rsidP="00222578">
      <w:pPr>
        <w:spacing w:before="0" w:after="0"/>
        <w:ind w:firstLine="709"/>
        <w:rPr>
          <w:rFonts w:ascii="Times New Roman" w:eastAsia="Times New Roman" w:hAnsi="Times New Roman" w:cs="Times New Roman"/>
          <w:sz w:val="24"/>
          <w:szCs w:val="24"/>
          <w:lang w:eastAsia="ru-RU"/>
        </w:rPr>
      </w:pPr>
    </w:p>
    <w:p w:rsidR="00222578" w:rsidRPr="0066263B" w:rsidRDefault="00222578" w:rsidP="00222578">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8"/>
          <w:szCs w:val="24"/>
          <w:lang w:eastAsia="ru-RU"/>
        </w:rPr>
        <w:drawing>
          <wp:inline distT="0" distB="0" distL="0" distR="0">
            <wp:extent cx="5634395" cy="3134331"/>
            <wp:effectExtent l="0" t="0" r="0" b="0"/>
            <wp:docPr id="19"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2578" w:rsidRPr="0066263B" w:rsidRDefault="00222578" w:rsidP="00222578">
      <w:pPr>
        <w:spacing w:before="0" w:after="0"/>
        <w:jc w:val="center"/>
        <w:rPr>
          <w:rFonts w:ascii="Times New Roman" w:eastAsia="Calibri" w:hAnsi="Times New Roman" w:cs="Times New Roman"/>
          <w:b/>
          <w:bCs/>
        </w:rPr>
      </w:pPr>
    </w:p>
    <w:p w:rsidR="00222578" w:rsidRPr="0066263B" w:rsidRDefault="00222578" w:rsidP="00222578">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10</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Динамика смертности по ведущим причинам смерти на территории</w:t>
      </w:r>
      <w:r w:rsidRPr="0066263B">
        <w:rPr>
          <w:rFonts w:ascii="Times New Roman" w:eastAsia="TimesNewRomanPS-BoldMT" w:hAnsi="Times New Roman" w:cs="Times New Roman"/>
          <w:bCs/>
          <w:lang w:eastAsia="ru-RU"/>
        </w:rPr>
        <w:br/>
        <w:t>Брянской области, на 1000 человек</w:t>
      </w:r>
    </w:p>
    <w:p w:rsidR="00222578" w:rsidRPr="0066263B" w:rsidRDefault="00222578" w:rsidP="00324483">
      <w:pPr>
        <w:spacing w:before="0" w:after="0"/>
        <w:ind w:firstLine="709"/>
        <w:rPr>
          <w:rFonts w:ascii="Times New Roman" w:eastAsia="TimesNewRomanPS-BoldMT" w:hAnsi="Times New Roman" w:cs="Times New Roman"/>
          <w:bCs/>
          <w:sz w:val="24"/>
          <w:szCs w:val="24"/>
        </w:rPr>
      </w:pPr>
    </w:p>
    <w:p w:rsidR="001F3BB4" w:rsidRPr="0066263B" w:rsidRDefault="001F3BB4" w:rsidP="001F3BB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Ожидаемая продолжительность жизни населения Брянской области в 2020 году, по предварительным данным, составила 70,7 года (2019 – 72,31 года). По сравнению с 2019 годом данный показатель уменьшился на 1,61.</w:t>
      </w:r>
    </w:p>
    <w:p w:rsidR="00324483" w:rsidRPr="0066263B" w:rsidRDefault="00324483" w:rsidP="00324483">
      <w:pPr>
        <w:spacing w:before="0" w:after="0"/>
        <w:ind w:firstLine="709"/>
        <w:rPr>
          <w:rFonts w:ascii="Times New Roman" w:eastAsia="TimesNewRomanPS-BoldMT" w:hAnsi="Times New Roman" w:cs="Times New Roman"/>
          <w:bCs/>
          <w:sz w:val="24"/>
          <w:szCs w:val="24"/>
        </w:rPr>
      </w:pPr>
      <w:r w:rsidRPr="0066263B">
        <w:rPr>
          <w:rFonts w:ascii="Times New Roman" w:eastAsia="TimesNewRomanPS-BoldMT" w:hAnsi="Times New Roman" w:cs="Times New Roman"/>
          <w:bCs/>
          <w:sz w:val="24"/>
          <w:szCs w:val="24"/>
        </w:rPr>
        <w:t>Сложившаяся демографическая ситуация требует особого подхода и объединения общих усилий всех структур власти для стабилизации численности населения Брянской области и формирования предпосылок к дальнейшему демографическому росту и подразумевает комплексную реализацию трёх направлений:</w:t>
      </w:r>
    </w:p>
    <w:p w:rsidR="00324483" w:rsidRPr="0066263B" w:rsidRDefault="00324483" w:rsidP="00160BD2">
      <w:pPr>
        <w:numPr>
          <w:ilvl w:val="0"/>
          <w:numId w:val="24"/>
        </w:numPr>
        <w:spacing w:before="0" w:after="0"/>
        <w:ind w:left="1276" w:hanging="142"/>
        <w:contextualSpacing/>
        <w:rPr>
          <w:rFonts w:ascii="Times New Roman" w:eastAsia="TimesNewRomanPS-BoldMT" w:hAnsi="Times New Roman" w:cs="Times New Roman"/>
          <w:bCs/>
          <w:sz w:val="24"/>
          <w:szCs w:val="24"/>
        </w:rPr>
      </w:pPr>
      <w:r w:rsidRPr="0066263B">
        <w:rPr>
          <w:rFonts w:ascii="Times New Roman" w:eastAsia="TimesNewRomanPS-BoldMT" w:hAnsi="Times New Roman" w:cs="Times New Roman"/>
          <w:bCs/>
          <w:sz w:val="24"/>
          <w:szCs w:val="24"/>
        </w:rPr>
        <w:t>укрепление здоровья и снижение смертности населения;</w:t>
      </w:r>
    </w:p>
    <w:p w:rsidR="00324483" w:rsidRPr="0066263B" w:rsidRDefault="00324483" w:rsidP="00160BD2">
      <w:pPr>
        <w:numPr>
          <w:ilvl w:val="0"/>
          <w:numId w:val="24"/>
        </w:numPr>
        <w:spacing w:before="0" w:after="0"/>
        <w:ind w:left="1276" w:hanging="142"/>
        <w:contextualSpacing/>
        <w:rPr>
          <w:rFonts w:ascii="Times New Roman" w:eastAsia="TimesNewRomanPS-BoldMT" w:hAnsi="Times New Roman" w:cs="Times New Roman"/>
          <w:bCs/>
          <w:sz w:val="24"/>
          <w:szCs w:val="24"/>
        </w:rPr>
      </w:pPr>
      <w:r w:rsidRPr="0066263B">
        <w:rPr>
          <w:rFonts w:ascii="Times New Roman" w:eastAsia="TimesNewRomanPS-BoldMT" w:hAnsi="Times New Roman" w:cs="Times New Roman"/>
          <w:bCs/>
          <w:sz w:val="24"/>
          <w:szCs w:val="24"/>
        </w:rPr>
        <w:t>стимулирование рождаемости и укрепление семьи;</w:t>
      </w:r>
    </w:p>
    <w:p w:rsidR="00324483" w:rsidRPr="0066263B" w:rsidRDefault="00324483" w:rsidP="00160BD2">
      <w:pPr>
        <w:numPr>
          <w:ilvl w:val="0"/>
          <w:numId w:val="24"/>
        </w:numPr>
        <w:spacing w:before="0" w:after="0"/>
        <w:ind w:left="1276" w:hanging="142"/>
        <w:contextualSpacing/>
        <w:rPr>
          <w:rFonts w:ascii="Times New Roman" w:eastAsia="TimesNewRomanPS-BoldMT" w:hAnsi="Times New Roman" w:cs="Times New Roman"/>
          <w:bCs/>
          <w:sz w:val="24"/>
          <w:szCs w:val="24"/>
        </w:rPr>
      </w:pPr>
      <w:r w:rsidRPr="0066263B">
        <w:rPr>
          <w:rFonts w:ascii="Times New Roman" w:eastAsia="TimesNewRomanPS-BoldMT" w:hAnsi="Times New Roman" w:cs="Times New Roman"/>
          <w:bCs/>
          <w:sz w:val="24"/>
          <w:szCs w:val="24"/>
        </w:rPr>
        <w:t>повышение эффективности использования миграционных потоков.</w:t>
      </w:r>
    </w:p>
    <w:p w:rsidR="00324483" w:rsidRPr="0066263B" w:rsidRDefault="00A83A85" w:rsidP="00A83A85">
      <w:pPr>
        <w:spacing w:before="0" w:after="0"/>
        <w:ind w:firstLine="709"/>
        <w:jc w:val="left"/>
        <w:rPr>
          <w:rFonts w:ascii="Times New Roman" w:eastAsia="TimesNewRomanPS-BoldMT" w:hAnsi="Times New Roman" w:cs="Times New Roman"/>
          <w:b/>
          <w:bCs/>
          <w:sz w:val="24"/>
          <w:szCs w:val="24"/>
        </w:rPr>
      </w:pPr>
      <w:r w:rsidRPr="0066263B">
        <w:rPr>
          <w:rFonts w:ascii="Times New Roman" w:eastAsia="Times New Roman" w:hAnsi="Times New Roman" w:cs="Times New Roman"/>
          <w:noProof/>
          <w:sz w:val="28"/>
          <w:szCs w:val="28"/>
          <w:lang w:eastAsia="ru-RU"/>
        </w:rPr>
        <w:drawing>
          <wp:inline distT="0" distB="0" distL="0" distR="0">
            <wp:extent cx="5372100" cy="2918460"/>
            <wp:effectExtent l="0" t="0" r="0" b="0"/>
            <wp:docPr id="17"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4483" w:rsidRPr="0066263B" w:rsidRDefault="00324483" w:rsidP="00324483">
      <w:pPr>
        <w:spacing w:before="0" w:after="0"/>
        <w:jc w:val="center"/>
        <w:rPr>
          <w:rFonts w:ascii="Times New Roman" w:eastAsia="Calibri" w:hAnsi="Times New Roman" w:cs="Times New Roman"/>
          <w:iCs/>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11</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Calibri" w:hAnsi="Times New Roman" w:cs="Times New Roman"/>
        </w:rPr>
        <w:t>Коэффициенты естественного движения населения Брянской</w:t>
      </w:r>
      <w:r w:rsidRPr="0066263B">
        <w:rPr>
          <w:rFonts w:ascii="Times New Roman" w:eastAsia="Calibri" w:hAnsi="Times New Roman" w:cs="Times New Roman"/>
        </w:rPr>
        <w:br/>
        <w:t xml:space="preserve">области, </w:t>
      </w:r>
      <w:r w:rsidRPr="0066263B">
        <w:rPr>
          <w:rFonts w:ascii="Times New Roman" w:eastAsia="Calibri" w:hAnsi="Times New Roman" w:cs="Times New Roman"/>
          <w:iCs/>
        </w:rPr>
        <w:t>на 1000 нас</w:t>
      </w:r>
      <w:r w:rsidR="0058299B">
        <w:rPr>
          <w:rFonts w:ascii="Times New Roman" w:eastAsia="Calibri" w:hAnsi="Times New Roman" w:cs="Times New Roman"/>
          <w:iCs/>
        </w:rPr>
        <w:t>еления</w:t>
      </w:r>
    </w:p>
    <w:p w:rsidR="00324483" w:rsidRPr="0066263B" w:rsidRDefault="00324483" w:rsidP="00324483">
      <w:pPr>
        <w:spacing w:before="0" w:after="0"/>
        <w:ind w:firstLine="709"/>
        <w:rPr>
          <w:rFonts w:ascii="Times New Roman" w:eastAsia="Calibri" w:hAnsi="Times New Roman" w:cs="Times New Roman"/>
          <w:iCs/>
          <w:sz w:val="24"/>
          <w:szCs w:val="24"/>
        </w:rPr>
      </w:pPr>
      <w:r w:rsidRPr="0066263B">
        <w:rPr>
          <w:rFonts w:ascii="Times New Roman" w:eastAsia="Calibri" w:hAnsi="Times New Roman" w:cs="Times New Roman"/>
          <w:iCs/>
          <w:sz w:val="24"/>
          <w:szCs w:val="24"/>
        </w:rPr>
        <w:lastRenderedPageBreak/>
        <w:t xml:space="preserve">Показатели социального развития Брянской области представлены в таблице </w:t>
      </w:r>
      <w:r w:rsidR="00222578" w:rsidRPr="0066263B">
        <w:rPr>
          <w:rFonts w:ascii="Times New Roman" w:eastAsia="Calibri" w:hAnsi="Times New Roman" w:cs="Times New Roman"/>
          <w:iCs/>
          <w:sz w:val="24"/>
          <w:szCs w:val="24"/>
        </w:rPr>
        <w:t>4</w:t>
      </w:r>
      <w:r w:rsidRPr="0066263B">
        <w:rPr>
          <w:rFonts w:ascii="Times New Roman" w:eastAsia="Calibri" w:hAnsi="Times New Roman" w:cs="Times New Roman"/>
          <w:iCs/>
          <w:sz w:val="24"/>
          <w:szCs w:val="24"/>
        </w:rPr>
        <w:t>.</w:t>
      </w:r>
    </w:p>
    <w:p w:rsidR="00324483" w:rsidRPr="0066263B" w:rsidRDefault="00324483" w:rsidP="00324483">
      <w:pPr>
        <w:spacing w:before="0" w:after="0"/>
        <w:ind w:firstLine="709"/>
        <w:rPr>
          <w:rFonts w:ascii="Times New Roman" w:eastAsia="Calibri" w:hAnsi="Times New Roman" w:cs="Times New Roman"/>
          <w:iCs/>
          <w:sz w:val="24"/>
          <w:szCs w:val="24"/>
        </w:rPr>
      </w:pPr>
    </w:p>
    <w:p w:rsidR="00324483" w:rsidRPr="0066263B" w:rsidRDefault="00324483" w:rsidP="00324483">
      <w:pPr>
        <w:spacing w:before="0" w:after="0"/>
        <w:jc w:val="left"/>
        <w:rPr>
          <w:rFonts w:ascii="Times New Roman" w:eastAsia="Calibri" w:hAnsi="Times New Roman" w:cs="Times New Roman"/>
        </w:rPr>
      </w:pPr>
    </w:p>
    <w:p w:rsidR="00324483" w:rsidRPr="0066263B" w:rsidRDefault="00324483" w:rsidP="00324483">
      <w:pPr>
        <w:spacing w:before="0" w:after="0"/>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Calibri" w:hAnsi="Times New Roman" w:cs="Times New Roman"/>
          <w:b/>
        </w:rPr>
      </w:pPr>
      <w:r w:rsidRPr="0066263B">
        <w:rPr>
          <w:rFonts w:ascii="Times New Roman" w:eastAsia="Calibri" w:hAnsi="Times New Roman" w:cs="Times New Roman"/>
          <w:b/>
        </w:rPr>
        <w:t>Исходные данные для оценки социальных факторов в Брянской области</w:t>
      </w:r>
    </w:p>
    <w:p w:rsidR="00324483" w:rsidRPr="0066263B" w:rsidRDefault="00324483" w:rsidP="00324483">
      <w:pPr>
        <w:spacing w:before="0" w:after="0"/>
        <w:jc w:val="center"/>
        <w:rPr>
          <w:rFonts w:ascii="Times New Roman" w:eastAsia="Calibri" w:hAnsi="Times New Roman" w:cs="Times New Roman"/>
          <w:b/>
        </w:rPr>
      </w:pPr>
    </w:p>
    <w:tbl>
      <w:tblPr>
        <w:tblW w:w="4918"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44"/>
        <w:gridCol w:w="1417"/>
        <w:gridCol w:w="1091"/>
        <w:gridCol w:w="1091"/>
        <w:gridCol w:w="1091"/>
      </w:tblGrid>
      <w:tr w:rsidR="00113557" w:rsidRPr="0066263B" w:rsidTr="00724628">
        <w:trPr>
          <w:trHeight w:val="596"/>
          <w:jc w:val="center"/>
        </w:trPr>
        <w:tc>
          <w:tcPr>
            <w:tcW w:w="2433" w:type="pct"/>
            <w:vAlign w:val="center"/>
          </w:tcPr>
          <w:p w:rsidR="00113557" w:rsidRPr="0066263B" w:rsidRDefault="00113557" w:rsidP="00324483">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Показатель</w:t>
            </w:r>
          </w:p>
        </w:tc>
        <w:tc>
          <w:tcPr>
            <w:tcW w:w="776" w:type="pct"/>
            <w:vAlign w:val="center"/>
          </w:tcPr>
          <w:p w:rsidR="00113557" w:rsidRPr="0066263B" w:rsidRDefault="00113557" w:rsidP="00324483">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Единица измерения</w:t>
            </w:r>
          </w:p>
        </w:tc>
        <w:tc>
          <w:tcPr>
            <w:tcW w:w="597" w:type="pct"/>
            <w:vAlign w:val="center"/>
          </w:tcPr>
          <w:p w:rsidR="00113557" w:rsidRPr="0066263B" w:rsidRDefault="00113557" w:rsidP="00B22BBF">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2018</w:t>
            </w:r>
          </w:p>
        </w:tc>
        <w:tc>
          <w:tcPr>
            <w:tcW w:w="597" w:type="pct"/>
            <w:vAlign w:val="center"/>
          </w:tcPr>
          <w:p w:rsidR="00113557" w:rsidRPr="0066263B" w:rsidRDefault="00113557" w:rsidP="00B22BBF">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2019</w:t>
            </w:r>
          </w:p>
        </w:tc>
        <w:tc>
          <w:tcPr>
            <w:tcW w:w="597" w:type="pct"/>
            <w:vAlign w:val="center"/>
          </w:tcPr>
          <w:p w:rsidR="00113557" w:rsidRPr="0066263B" w:rsidRDefault="00113557" w:rsidP="00324483">
            <w:pPr>
              <w:spacing w:before="20" w:after="20"/>
              <w:jc w:val="center"/>
              <w:rPr>
                <w:rFonts w:ascii="Times New Roman" w:eastAsia="Calibri" w:hAnsi="Times New Roman" w:cs="Times New Roman"/>
                <w:b/>
                <w:i/>
              </w:rPr>
            </w:pPr>
            <w:r w:rsidRPr="0066263B">
              <w:rPr>
                <w:rFonts w:ascii="Times New Roman" w:eastAsia="Calibri" w:hAnsi="Times New Roman" w:cs="Times New Roman"/>
                <w:b/>
                <w:i/>
              </w:rPr>
              <w:t>2020</w:t>
            </w:r>
          </w:p>
        </w:tc>
      </w:tr>
      <w:tr w:rsidR="00113557" w:rsidRPr="0066263B" w:rsidTr="00724628">
        <w:trPr>
          <w:jc w:val="center"/>
        </w:trPr>
        <w:tc>
          <w:tcPr>
            <w:tcW w:w="2433" w:type="pct"/>
            <w:vAlign w:val="center"/>
          </w:tcPr>
          <w:p w:rsidR="00113557" w:rsidRPr="0066263B" w:rsidRDefault="00113557"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Среднедушевой доход населения</w:t>
            </w:r>
          </w:p>
        </w:tc>
        <w:tc>
          <w:tcPr>
            <w:tcW w:w="776" w:type="pct"/>
            <w:vAlign w:val="center"/>
          </w:tcPr>
          <w:p w:rsidR="00113557" w:rsidRPr="0066263B" w:rsidRDefault="0011355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руб./чел.</w:t>
            </w:r>
          </w:p>
        </w:tc>
        <w:tc>
          <w:tcPr>
            <w:tcW w:w="597" w:type="pct"/>
            <w:vAlign w:val="bottom"/>
          </w:tcPr>
          <w:p w:rsidR="00113557" w:rsidRPr="0066263B" w:rsidRDefault="0011355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26585,4</w:t>
            </w:r>
          </w:p>
        </w:tc>
        <w:tc>
          <w:tcPr>
            <w:tcW w:w="597" w:type="pct"/>
            <w:vAlign w:val="bottom"/>
          </w:tcPr>
          <w:p w:rsidR="00113557" w:rsidRPr="0066263B" w:rsidRDefault="00FE6A7B"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28371,2</w:t>
            </w:r>
          </w:p>
        </w:tc>
        <w:tc>
          <w:tcPr>
            <w:tcW w:w="597" w:type="pct"/>
            <w:vAlign w:val="bottom"/>
          </w:tcPr>
          <w:p w:rsidR="00113557" w:rsidRPr="0066263B" w:rsidRDefault="00FE6A7B" w:rsidP="00DA2E54">
            <w:pPr>
              <w:spacing w:before="20" w:after="20"/>
              <w:jc w:val="center"/>
              <w:rPr>
                <w:rFonts w:ascii="Times New Roman" w:eastAsia="Calibri" w:hAnsi="Times New Roman" w:cs="Times New Roman"/>
              </w:rPr>
            </w:pPr>
            <w:r w:rsidRPr="0066263B">
              <w:rPr>
                <w:rFonts w:ascii="Times New Roman" w:eastAsia="Calibri" w:hAnsi="Times New Roman" w:cs="Times New Roman"/>
              </w:rPr>
              <w:t>28309,9</w:t>
            </w:r>
          </w:p>
        </w:tc>
      </w:tr>
      <w:tr w:rsidR="00113557" w:rsidRPr="0066263B" w:rsidTr="00724628">
        <w:trPr>
          <w:jc w:val="center"/>
        </w:trPr>
        <w:tc>
          <w:tcPr>
            <w:tcW w:w="2433" w:type="pct"/>
            <w:vAlign w:val="center"/>
          </w:tcPr>
          <w:p w:rsidR="00113557" w:rsidRPr="0066263B" w:rsidRDefault="00113557"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Прожиточный минимум</w:t>
            </w:r>
          </w:p>
        </w:tc>
        <w:tc>
          <w:tcPr>
            <w:tcW w:w="776" w:type="pct"/>
            <w:vAlign w:val="center"/>
          </w:tcPr>
          <w:p w:rsidR="00113557" w:rsidRPr="0066263B" w:rsidRDefault="0011355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руб./чел.</w:t>
            </w:r>
          </w:p>
        </w:tc>
        <w:tc>
          <w:tcPr>
            <w:tcW w:w="597" w:type="pct"/>
            <w:vAlign w:val="bottom"/>
          </w:tcPr>
          <w:p w:rsidR="00113557" w:rsidRPr="0066263B" w:rsidRDefault="0011355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9787</w:t>
            </w:r>
          </w:p>
        </w:tc>
        <w:tc>
          <w:tcPr>
            <w:tcW w:w="597" w:type="pct"/>
            <w:vAlign w:val="bottom"/>
          </w:tcPr>
          <w:p w:rsidR="00113557" w:rsidRPr="0066263B" w:rsidRDefault="0011355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10575</w:t>
            </w:r>
          </w:p>
        </w:tc>
        <w:tc>
          <w:tcPr>
            <w:tcW w:w="597" w:type="pct"/>
            <w:vAlign w:val="bottom"/>
          </w:tcPr>
          <w:p w:rsidR="00113557" w:rsidRPr="0066263B" w:rsidRDefault="00113557" w:rsidP="00DA2E54">
            <w:pPr>
              <w:spacing w:before="20" w:after="20"/>
              <w:jc w:val="center"/>
              <w:rPr>
                <w:rFonts w:ascii="Times New Roman" w:eastAsia="Calibri" w:hAnsi="Times New Roman" w:cs="Times New Roman"/>
              </w:rPr>
            </w:pPr>
            <w:r w:rsidRPr="0066263B">
              <w:rPr>
                <w:rFonts w:ascii="Times New Roman" w:eastAsia="Calibri" w:hAnsi="Times New Roman" w:cs="Times New Roman"/>
              </w:rPr>
              <w:t>11027</w:t>
            </w:r>
          </w:p>
        </w:tc>
      </w:tr>
      <w:tr w:rsidR="00113557" w:rsidRPr="0066263B" w:rsidTr="00724628">
        <w:trPr>
          <w:jc w:val="center"/>
        </w:trPr>
        <w:tc>
          <w:tcPr>
            <w:tcW w:w="2433" w:type="pct"/>
            <w:vAlign w:val="center"/>
          </w:tcPr>
          <w:p w:rsidR="00113557" w:rsidRPr="0066263B" w:rsidRDefault="00113557" w:rsidP="00CD3318">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Стоимость минимальной продуктовой корзины</w:t>
            </w:r>
          </w:p>
        </w:tc>
        <w:tc>
          <w:tcPr>
            <w:tcW w:w="776" w:type="pct"/>
            <w:vAlign w:val="center"/>
          </w:tcPr>
          <w:p w:rsidR="00113557" w:rsidRPr="0066263B" w:rsidRDefault="0011355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руб./чел.</w:t>
            </w:r>
          </w:p>
        </w:tc>
        <w:tc>
          <w:tcPr>
            <w:tcW w:w="597" w:type="pct"/>
            <w:vAlign w:val="center"/>
          </w:tcPr>
          <w:p w:rsidR="00113557" w:rsidRPr="0066263B" w:rsidRDefault="0011355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3595,59</w:t>
            </w:r>
          </w:p>
        </w:tc>
        <w:tc>
          <w:tcPr>
            <w:tcW w:w="597" w:type="pct"/>
            <w:vAlign w:val="center"/>
          </w:tcPr>
          <w:p w:rsidR="00113557" w:rsidRPr="0066263B" w:rsidRDefault="0011355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3848,66</w:t>
            </w:r>
          </w:p>
        </w:tc>
        <w:tc>
          <w:tcPr>
            <w:tcW w:w="597" w:type="pct"/>
            <w:vAlign w:val="center"/>
          </w:tcPr>
          <w:p w:rsidR="00113557" w:rsidRPr="0066263B" w:rsidRDefault="00FE17D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4173,57</w:t>
            </w:r>
          </w:p>
        </w:tc>
      </w:tr>
      <w:tr w:rsidR="00FE17D7" w:rsidRPr="0066263B" w:rsidTr="00DA2E54">
        <w:trPr>
          <w:jc w:val="center"/>
        </w:trPr>
        <w:tc>
          <w:tcPr>
            <w:tcW w:w="2433" w:type="pct"/>
            <w:vAlign w:val="center"/>
          </w:tcPr>
          <w:p w:rsidR="00FE17D7" w:rsidRPr="0066263B" w:rsidRDefault="00FE17D7"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Процент лиц с доходами ниже</w:t>
            </w:r>
            <w:r w:rsidRPr="0066263B">
              <w:rPr>
                <w:rFonts w:ascii="Times New Roman" w:eastAsia="Calibri" w:hAnsi="Times New Roman" w:cs="Times New Roman"/>
                <w:lang w:eastAsia="ru-RU"/>
              </w:rPr>
              <w:br/>
              <w:t>прожиточного минимума</w:t>
            </w:r>
          </w:p>
        </w:tc>
        <w:tc>
          <w:tcPr>
            <w:tcW w:w="776" w:type="pct"/>
            <w:vAlign w:val="center"/>
          </w:tcPr>
          <w:p w:rsidR="00FE17D7" w:rsidRPr="0066263B" w:rsidRDefault="00FE17D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c>
          <w:tcPr>
            <w:tcW w:w="597" w:type="pct"/>
            <w:vAlign w:val="center"/>
          </w:tcPr>
          <w:p w:rsidR="00FE17D7" w:rsidRPr="0066263B" w:rsidRDefault="00FE17D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13,6</w:t>
            </w:r>
          </w:p>
        </w:tc>
        <w:tc>
          <w:tcPr>
            <w:tcW w:w="597" w:type="pct"/>
            <w:vAlign w:val="center"/>
          </w:tcPr>
          <w:p w:rsidR="00FE17D7" w:rsidRPr="0066263B" w:rsidRDefault="00FE17D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13,8</w:t>
            </w:r>
          </w:p>
        </w:tc>
        <w:tc>
          <w:tcPr>
            <w:tcW w:w="597" w:type="pct"/>
            <w:vAlign w:val="center"/>
          </w:tcPr>
          <w:p w:rsidR="00FE17D7" w:rsidRPr="0066263B" w:rsidRDefault="00FE17D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13,8</w:t>
            </w:r>
          </w:p>
        </w:tc>
      </w:tr>
      <w:tr w:rsidR="00FE17D7" w:rsidRPr="0066263B" w:rsidTr="00724628">
        <w:trPr>
          <w:jc w:val="center"/>
        </w:trPr>
        <w:tc>
          <w:tcPr>
            <w:tcW w:w="2433" w:type="pct"/>
            <w:vAlign w:val="center"/>
          </w:tcPr>
          <w:p w:rsidR="00FE17D7" w:rsidRPr="0066263B" w:rsidRDefault="00FE17D7"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Площадь жилищ, приходящихся в среднем на одного жителя на конец года</w:t>
            </w:r>
          </w:p>
        </w:tc>
        <w:tc>
          <w:tcPr>
            <w:tcW w:w="776" w:type="pct"/>
            <w:vAlign w:val="center"/>
          </w:tcPr>
          <w:p w:rsidR="00FE17D7" w:rsidRPr="0066263B" w:rsidRDefault="00FE17D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м</w:t>
            </w:r>
            <w:proofErr w:type="gramStart"/>
            <w:r w:rsidRPr="0066263B">
              <w:rPr>
                <w:rFonts w:ascii="Times New Roman" w:eastAsia="Calibri" w:hAnsi="Times New Roman" w:cs="Times New Roman"/>
                <w:vertAlign w:val="superscript"/>
              </w:rPr>
              <w:t>2</w:t>
            </w:r>
            <w:proofErr w:type="gramEnd"/>
            <w:r w:rsidRPr="0066263B">
              <w:rPr>
                <w:rFonts w:ascii="Times New Roman" w:eastAsia="Calibri" w:hAnsi="Times New Roman" w:cs="Times New Roman"/>
              </w:rPr>
              <w:t>/чел.</w:t>
            </w:r>
          </w:p>
        </w:tc>
        <w:tc>
          <w:tcPr>
            <w:tcW w:w="597" w:type="pct"/>
            <w:vAlign w:val="center"/>
          </w:tcPr>
          <w:p w:rsidR="00FE17D7" w:rsidRPr="0066263B" w:rsidRDefault="00FE17D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30,0</w:t>
            </w:r>
          </w:p>
        </w:tc>
        <w:tc>
          <w:tcPr>
            <w:tcW w:w="597" w:type="pct"/>
            <w:vAlign w:val="center"/>
          </w:tcPr>
          <w:p w:rsidR="00FE17D7" w:rsidRPr="0066263B" w:rsidRDefault="00FE17D7"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30,5</w:t>
            </w:r>
          </w:p>
        </w:tc>
        <w:tc>
          <w:tcPr>
            <w:tcW w:w="597" w:type="pct"/>
            <w:vAlign w:val="center"/>
          </w:tcPr>
          <w:p w:rsidR="00FE17D7" w:rsidRPr="0066263B" w:rsidRDefault="00FE17D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31,1</w:t>
            </w:r>
          </w:p>
        </w:tc>
      </w:tr>
      <w:tr w:rsidR="00FE17D7" w:rsidRPr="0066263B" w:rsidTr="006D1A43">
        <w:trPr>
          <w:jc w:val="center"/>
        </w:trPr>
        <w:tc>
          <w:tcPr>
            <w:tcW w:w="5000" w:type="pct"/>
            <w:gridSpan w:val="5"/>
            <w:vAlign w:val="center"/>
          </w:tcPr>
          <w:p w:rsidR="00FE17D7" w:rsidRPr="0066263B" w:rsidRDefault="00FE17D7" w:rsidP="00404A0E">
            <w:pPr>
              <w:spacing w:before="20" w:after="20"/>
              <w:jc w:val="left"/>
              <w:rPr>
                <w:rFonts w:ascii="Times New Roman" w:eastAsia="Calibri" w:hAnsi="Times New Roman" w:cs="Times New Roman"/>
              </w:rPr>
            </w:pPr>
            <w:r w:rsidRPr="0066263B">
              <w:rPr>
                <w:rFonts w:ascii="Times New Roman" w:eastAsia="Calibri" w:hAnsi="Times New Roman" w:cs="Times New Roman"/>
                <w:lang w:eastAsia="ru-RU"/>
              </w:rPr>
              <w:t>Удельный вес общей площади, оборудованной:</w:t>
            </w:r>
          </w:p>
        </w:tc>
      </w:tr>
      <w:tr w:rsidR="00FE17D7" w:rsidRPr="0066263B" w:rsidTr="00724628">
        <w:trPr>
          <w:jc w:val="center"/>
        </w:trPr>
        <w:tc>
          <w:tcPr>
            <w:tcW w:w="2433" w:type="pct"/>
            <w:vAlign w:val="center"/>
          </w:tcPr>
          <w:p w:rsidR="00FE17D7" w:rsidRPr="0066263B" w:rsidRDefault="00FE17D7" w:rsidP="00BE7104">
            <w:pPr>
              <w:pStyle w:val="aff9"/>
              <w:numPr>
                <w:ilvl w:val="0"/>
                <w:numId w:val="58"/>
              </w:numPr>
              <w:autoSpaceDE w:val="0"/>
              <w:autoSpaceDN w:val="0"/>
              <w:adjustRightInd w:val="0"/>
              <w:spacing w:before="20" w:after="20"/>
              <w:ind w:left="491" w:hanging="141"/>
              <w:rPr>
                <w:rFonts w:eastAsia="Calibri"/>
                <w:sz w:val="22"/>
                <w:szCs w:val="22"/>
              </w:rPr>
            </w:pPr>
            <w:r w:rsidRPr="0066263B">
              <w:rPr>
                <w:rFonts w:eastAsia="Calibri"/>
                <w:sz w:val="22"/>
                <w:szCs w:val="22"/>
              </w:rPr>
              <w:t>водопроводом</w:t>
            </w:r>
          </w:p>
        </w:tc>
        <w:tc>
          <w:tcPr>
            <w:tcW w:w="776" w:type="pct"/>
            <w:vAlign w:val="center"/>
          </w:tcPr>
          <w:p w:rsidR="00FE17D7" w:rsidRPr="0066263B" w:rsidRDefault="00FE17D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c>
          <w:tcPr>
            <w:tcW w:w="597" w:type="pct"/>
            <w:vAlign w:val="center"/>
          </w:tcPr>
          <w:p w:rsidR="00FE17D7" w:rsidRPr="0066263B" w:rsidRDefault="00630329"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80,9</w:t>
            </w:r>
          </w:p>
        </w:tc>
        <w:tc>
          <w:tcPr>
            <w:tcW w:w="597" w:type="pct"/>
            <w:vAlign w:val="center"/>
          </w:tcPr>
          <w:p w:rsidR="00FE17D7" w:rsidRPr="0066263B" w:rsidRDefault="00630329"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81,6</w:t>
            </w:r>
          </w:p>
        </w:tc>
        <w:tc>
          <w:tcPr>
            <w:tcW w:w="597" w:type="pct"/>
            <w:vAlign w:val="center"/>
          </w:tcPr>
          <w:p w:rsidR="00FE17D7" w:rsidRPr="0066263B" w:rsidRDefault="00110864"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82,1</w:t>
            </w:r>
          </w:p>
        </w:tc>
      </w:tr>
      <w:tr w:rsidR="00FE17D7" w:rsidRPr="0066263B" w:rsidTr="00724628">
        <w:trPr>
          <w:jc w:val="center"/>
        </w:trPr>
        <w:tc>
          <w:tcPr>
            <w:tcW w:w="2433" w:type="pct"/>
            <w:vAlign w:val="center"/>
          </w:tcPr>
          <w:p w:rsidR="00110864" w:rsidRPr="0066263B" w:rsidRDefault="00630329" w:rsidP="00BE7104">
            <w:pPr>
              <w:pStyle w:val="aff9"/>
              <w:numPr>
                <w:ilvl w:val="0"/>
                <w:numId w:val="58"/>
              </w:numPr>
              <w:autoSpaceDE w:val="0"/>
              <w:autoSpaceDN w:val="0"/>
              <w:adjustRightInd w:val="0"/>
              <w:spacing w:before="20" w:after="20"/>
              <w:ind w:left="491" w:hanging="141"/>
              <w:rPr>
                <w:rFonts w:eastAsia="Calibri"/>
                <w:sz w:val="22"/>
                <w:szCs w:val="22"/>
              </w:rPr>
            </w:pPr>
            <w:r w:rsidRPr="0066263B">
              <w:rPr>
                <w:rFonts w:eastAsia="Calibri"/>
                <w:sz w:val="22"/>
                <w:szCs w:val="22"/>
              </w:rPr>
              <w:t>водоотведением</w:t>
            </w:r>
          </w:p>
        </w:tc>
        <w:tc>
          <w:tcPr>
            <w:tcW w:w="776" w:type="pct"/>
            <w:vAlign w:val="center"/>
          </w:tcPr>
          <w:p w:rsidR="00FE17D7" w:rsidRPr="0066263B" w:rsidRDefault="00FE17D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c>
          <w:tcPr>
            <w:tcW w:w="597" w:type="pct"/>
            <w:vAlign w:val="center"/>
          </w:tcPr>
          <w:p w:rsidR="00FE17D7" w:rsidRPr="0066263B" w:rsidRDefault="00630329"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75,3</w:t>
            </w:r>
          </w:p>
        </w:tc>
        <w:tc>
          <w:tcPr>
            <w:tcW w:w="597" w:type="pct"/>
            <w:vAlign w:val="center"/>
          </w:tcPr>
          <w:p w:rsidR="00FE17D7" w:rsidRPr="0066263B" w:rsidRDefault="00630329"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76,1</w:t>
            </w:r>
          </w:p>
        </w:tc>
        <w:tc>
          <w:tcPr>
            <w:tcW w:w="597" w:type="pct"/>
            <w:vAlign w:val="center"/>
          </w:tcPr>
          <w:p w:rsidR="00FE17D7" w:rsidRPr="0066263B" w:rsidRDefault="00110864"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77,2</w:t>
            </w:r>
          </w:p>
        </w:tc>
      </w:tr>
      <w:tr w:rsidR="00FE17D7" w:rsidRPr="0066263B" w:rsidTr="00724628">
        <w:trPr>
          <w:jc w:val="center"/>
        </w:trPr>
        <w:tc>
          <w:tcPr>
            <w:tcW w:w="2433" w:type="pct"/>
            <w:vAlign w:val="center"/>
          </w:tcPr>
          <w:p w:rsidR="00FE17D7" w:rsidRPr="0066263B" w:rsidRDefault="00FE17D7" w:rsidP="00BE7104">
            <w:pPr>
              <w:pStyle w:val="aff9"/>
              <w:numPr>
                <w:ilvl w:val="0"/>
                <w:numId w:val="58"/>
              </w:numPr>
              <w:autoSpaceDE w:val="0"/>
              <w:autoSpaceDN w:val="0"/>
              <w:adjustRightInd w:val="0"/>
              <w:spacing w:before="20" w:after="20"/>
              <w:ind w:left="491" w:hanging="141"/>
              <w:rPr>
                <w:rFonts w:eastAsia="Calibri"/>
                <w:sz w:val="22"/>
                <w:szCs w:val="22"/>
              </w:rPr>
            </w:pPr>
            <w:r w:rsidRPr="0066263B">
              <w:rPr>
                <w:rFonts w:eastAsia="Calibri"/>
                <w:sz w:val="22"/>
                <w:szCs w:val="22"/>
              </w:rPr>
              <w:t>отоплением</w:t>
            </w:r>
          </w:p>
        </w:tc>
        <w:tc>
          <w:tcPr>
            <w:tcW w:w="776" w:type="pct"/>
            <w:vAlign w:val="center"/>
          </w:tcPr>
          <w:p w:rsidR="00FE17D7" w:rsidRPr="0066263B" w:rsidRDefault="00FE17D7"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w:t>
            </w:r>
          </w:p>
        </w:tc>
        <w:tc>
          <w:tcPr>
            <w:tcW w:w="597" w:type="pct"/>
            <w:vAlign w:val="center"/>
          </w:tcPr>
          <w:p w:rsidR="00FE17D7" w:rsidRPr="0066263B" w:rsidRDefault="00630329"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92,0</w:t>
            </w:r>
          </w:p>
        </w:tc>
        <w:tc>
          <w:tcPr>
            <w:tcW w:w="597" w:type="pct"/>
            <w:vAlign w:val="center"/>
          </w:tcPr>
          <w:p w:rsidR="00FE17D7" w:rsidRPr="0066263B" w:rsidRDefault="00630329" w:rsidP="00B22BBF">
            <w:pPr>
              <w:spacing w:before="20" w:after="20"/>
              <w:jc w:val="center"/>
              <w:rPr>
                <w:rFonts w:ascii="Times New Roman" w:eastAsia="Calibri" w:hAnsi="Times New Roman" w:cs="Times New Roman"/>
              </w:rPr>
            </w:pPr>
            <w:r w:rsidRPr="0066263B">
              <w:rPr>
                <w:rFonts w:ascii="Times New Roman" w:eastAsia="Calibri" w:hAnsi="Times New Roman" w:cs="Times New Roman"/>
              </w:rPr>
              <w:t>92,1</w:t>
            </w:r>
          </w:p>
        </w:tc>
        <w:tc>
          <w:tcPr>
            <w:tcW w:w="597" w:type="pct"/>
            <w:vAlign w:val="center"/>
          </w:tcPr>
          <w:p w:rsidR="00FE17D7" w:rsidRPr="0066263B" w:rsidRDefault="00110864" w:rsidP="00324483">
            <w:pPr>
              <w:spacing w:before="20" w:after="20"/>
              <w:jc w:val="center"/>
              <w:rPr>
                <w:rFonts w:ascii="Times New Roman" w:eastAsia="Calibri" w:hAnsi="Times New Roman" w:cs="Times New Roman"/>
              </w:rPr>
            </w:pPr>
            <w:r w:rsidRPr="0066263B">
              <w:rPr>
                <w:rFonts w:ascii="Times New Roman" w:eastAsia="Calibri" w:hAnsi="Times New Roman" w:cs="Times New Roman"/>
              </w:rPr>
              <w:t>92,4</w:t>
            </w:r>
          </w:p>
        </w:tc>
      </w:tr>
    </w:tbl>
    <w:p w:rsidR="00110864" w:rsidRPr="0066263B" w:rsidRDefault="00110864" w:rsidP="00324483">
      <w:pPr>
        <w:spacing w:before="0" w:after="0"/>
        <w:ind w:firstLine="709"/>
        <w:rPr>
          <w:rFonts w:ascii="Times New Roman" w:eastAsia="Calibri" w:hAnsi="Times New Roman" w:cs="Times New Roman"/>
          <w:iCs/>
          <w:sz w:val="24"/>
          <w:szCs w:val="24"/>
        </w:rPr>
      </w:pPr>
    </w:p>
    <w:p w:rsidR="00411C86" w:rsidRPr="0066263B" w:rsidRDefault="00411C86" w:rsidP="00324483">
      <w:pPr>
        <w:spacing w:before="0" w:after="0"/>
        <w:ind w:firstLine="709"/>
        <w:rPr>
          <w:rFonts w:ascii="Times New Roman" w:eastAsia="Calibri" w:hAnsi="Times New Roman" w:cs="Times New Roman"/>
          <w:iCs/>
          <w:sz w:val="24"/>
          <w:szCs w:val="24"/>
        </w:rPr>
      </w:pPr>
    </w:p>
    <w:p w:rsidR="00222578" w:rsidRPr="0066263B" w:rsidRDefault="00222578" w:rsidP="00324483">
      <w:pPr>
        <w:spacing w:before="0" w:after="0"/>
        <w:ind w:firstLine="709"/>
        <w:rPr>
          <w:rFonts w:ascii="Times New Roman" w:eastAsia="Calibri" w:hAnsi="Times New Roman" w:cs="Times New Roman"/>
          <w:iCs/>
          <w:sz w:val="24"/>
          <w:szCs w:val="24"/>
        </w:rPr>
      </w:pPr>
    </w:p>
    <w:p w:rsidR="00324483" w:rsidRPr="0066263B" w:rsidRDefault="00324483" w:rsidP="00324483">
      <w:pPr>
        <w:spacing w:before="0" w:after="0"/>
        <w:ind w:firstLine="709"/>
        <w:rPr>
          <w:rFonts w:ascii="Times New Roman" w:eastAsia="Calibri" w:hAnsi="Times New Roman" w:cs="Times New Roman"/>
          <w:iCs/>
          <w:sz w:val="24"/>
          <w:szCs w:val="24"/>
        </w:rPr>
      </w:pPr>
      <w:r w:rsidRPr="0066263B">
        <w:rPr>
          <w:rFonts w:ascii="Times New Roman" w:eastAsia="Calibri" w:hAnsi="Times New Roman" w:cs="Times New Roman"/>
          <w:iCs/>
          <w:sz w:val="24"/>
          <w:szCs w:val="24"/>
        </w:rPr>
        <w:t>При анализе данных о социальном развитии Брянской области на протяжении последних 3 лет очевидной становится тенденция к улучшению социального благополучия населения.</w:t>
      </w:r>
    </w:p>
    <w:p w:rsidR="00324483" w:rsidRPr="0066263B" w:rsidRDefault="00324483" w:rsidP="00324483">
      <w:pPr>
        <w:spacing w:before="0" w:after="0"/>
        <w:ind w:firstLine="709"/>
        <w:rPr>
          <w:rFonts w:ascii="Times New Roman" w:eastAsia="TimesNewRomanPS-BoldMT" w:hAnsi="Times New Roman" w:cs="Times New Roman"/>
          <w:bCs/>
          <w:sz w:val="24"/>
          <w:szCs w:val="24"/>
        </w:rPr>
      </w:pPr>
    </w:p>
    <w:p w:rsidR="00411C86" w:rsidRPr="0066263B" w:rsidRDefault="00411C86" w:rsidP="00324483">
      <w:pPr>
        <w:spacing w:before="0" w:after="0"/>
        <w:ind w:firstLine="709"/>
        <w:rPr>
          <w:rFonts w:ascii="Times New Roman" w:eastAsia="TimesNewRomanPS-BoldMT" w:hAnsi="Times New Roman" w:cs="Times New Roman"/>
          <w:bCs/>
          <w:sz w:val="24"/>
          <w:szCs w:val="24"/>
        </w:rPr>
      </w:pPr>
    </w:p>
    <w:p w:rsidR="00222578" w:rsidRPr="0066263B" w:rsidRDefault="00222578" w:rsidP="00324483">
      <w:pPr>
        <w:spacing w:before="0" w:after="0"/>
        <w:ind w:firstLine="709"/>
        <w:rPr>
          <w:rFonts w:ascii="Times New Roman" w:eastAsia="TimesNewRomanPS-BoldMT" w:hAnsi="Times New Roman" w:cs="Times New Roman"/>
          <w:bCs/>
          <w:sz w:val="24"/>
          <w:szCs w:val="24"/>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8"/>
          <w:szCs w:val="24"/>
          <w:lang w:eastAsia="ru-RU"/>
        </w:rPr>
        <w:drawing>
          <wp:inline distT="0" distB="0" distL="0" distR="0">
            <wp:extent cx="5676900" cy="2057400"/>
            <wp:effectExtent l="0" t="0" r="0" b="0"/>
            <wp:docPr id="1480" name="Объект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4483" w:rsidRPr="0066263B" w:rsidRDefault="00324483" w:rsidP="00324483">
      <w:pPr>
        <w:spacing w:before="0" w:after="0"/>
        <w:jc w:val="center"/>
        <w:rPr>
          <w:rFonts w:ascii="Times New Roman" w:eastAsia="TimesNewRomanPS-BoldMT"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12</w:t>
      </w:r>
      <w:r w:rsidR="006C34E2" w:rsidRPr="0066263B">
        <w:rPr>
          <w:rFonts w:ascii="Times New Roman" w:eastAsia="Times New Roman" w:hAnsi="Times New Roman" w:cs="Times New Roman"/>
          <w:b/>
          <w:lang w:eastAsia="ru-RU"/>
        </w:rPr>
        <w:fldChar w:fldCharType="end"/>
      </w:r>
      <w:r w:rsidRPr="0066263B">
        <w:rPr>
          <w:rFonts w:ascii="Times New Roman" w:eastAsia="TimesNewRomanPSMT" w:hAnsi="Times New Roman" w:cs="Times New Roman"/>
          <w:b/>
          <w:lang w:eastAsia="ru-RU"/>
        </w:rPr>
        <w:t>.</w:t>
      </w:r>
      <w:r w:rsidRPr="0066263B">
        <w:rPr>
          <w:rFonts w:ascii="Times New Roman" w:eastAsia="TimesNewRomanPS-BoldMT" w:hAnsi="Times New Roman" w:cs="Times New Roman"/>
          <w:b/>
          <w:lang w:eastAsia="ru-RU"/>
        </w:rPr>
        <w:t xml:space="preserve"> </w:t>
      </w:r>
      <w:r w:rsidRPr="0066263B">
        <w:rPr>
          <w:rFonts w:ascii="Times New Roman" w:eastAsia="TimesNewRomanPS-BoldMT" w:hAnsi="Times New Roman" w:cs="Times New Roman"/>
          <w:lang w:eastAsia="ru-RU"/>
        </w:rPr>
        <w:t>Среднедушевой доход населения Брянской области, руб./чел.</w:t>
      </w:r>
    </w:p>
    <w:p w:rsidR="00C838C3" w:rsidRPr="0066263B" w:rsidRDefault="00C838C3" w:rsidP="00324483">
      <w:pPr>
        <w:spacing w:before="0" w:after="0"/>
        <w:ind w:firstLine="709"/>
        <w:rPr>
          <w:rFonts w:ascii="Times New Roman" w:eastAsia="Calibri" w:hAnsi="Times New Roman" w:cs="Times New Roman"/>
          <w:iCs/>
          <w:sz w:val="24"/>
          <w:szCs w:val="24"/>
        </w:rPr>
      </w:pPr>
    </w:p>
    <w:p w:rsidR="00222578" w:rsidRPr="0066263B" w:rsidRDefault="00222578">
      <w:pPr>
        <w:rPr>
          <w:rFonts w:ascii="Times New Roman" w:eastAsia="Calibri" w:hAnsi="Times New Roman" w:cs="Times New Roman"/>
          <w:iCs/>
          <w:sz w:val="24"/>
          <w:szCs w:val="24"/>
        </w:rPr>
      </w:pPr>
      <w:r w:rsidRPr="0066263B">
        <w:rPr>
          <w:rFonts w:ascii="Times New Roman" w:eastAsia="Calibri" w:hAnsi="Times New Roman" w:cs="Times New Roman"/>
          <w:iCs/>
          <w:sz w:val="24"/>
          <w:szCs w:val="24"/>
        </w:rPr>
        <w:br w:type="page"/>
      </w:r>
    </w:p>
    <w:p w:rsidR="00411C86" w:rsidRPr="0066263B" w:rsidRDefault="00411C86" w:rsidP="00324483">
      <w:pPr>
        <w:spacing w:before="0" w:after="0"/>
        <w:ind w:firstLine="709"/>
        <w:rPr>
          <w:rFonts w:ascii="Times New Roman" w:eastAsia="Calibri" w:hAnsi="Times New Roman" w:cs="Times New Roman"/>
          <w:iCs/>
          <w:sz w:val="24"/>
          <w:szCs w:val="24"/>
        </w:rPr>
      </w:pPr>
    </w:p>
    <w:p w:rsidR="00757709" w:rsidRPr="0066263B" w:rsidRDefault="00757709" w:rsidP="00757709">
      <w:pPr>
        <w:spacing w:before="0" w:after="0"/>
        <w:jc w:val="center"/>
        <w:rPr>
          <w:rFonts w:ascii="Times New Roman" w:eastAsia="TimesNewRomanPS-BoldMT" w:hAnsi="Times New Roman" w:cs="Times New Roman"/>
          <w:b/>
          <w:lang w:eastAsia="ru-RU"/>
        </w:rPr>
      </w:pPr>
      <w:r w:rsidRPr="0066263B">
        <w:rPr>
          <w:rFonts w:ascii="Times New Roman" w:eastAsia="Times New Roman" w:hAnsi="Times New Roman" w:cs="Times New Roman"/>
          <w:noProof/>
          <w:sz w:val="28"/>
          <w:szCs w:val="24"/>
          <w:lang w:eastAsia="ru-RU"/>
        </w:rPr>
        <w:drawing>
          <wp:inline distT="0" distB="0" distL="0" distR="0">
            <wp:extent cx="5581540" cy="2093077"/>
            <wp:effectExtent l="0" t="0" r="0" b="0"/>
            <wp:docPr id="228" name="Объект 1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3A85" w:rsidRPr="0066263B" w:rsidRDefault="00A83A85" w:rsidP="00757709">
      <w:pPr>
        <w:spacing w:before="0" w:after="0"/>
        <w:jc w:val="center"/>
        <w:rPr>
          <w:rFonts w:ascii="Times New Roman" w:eastAsia="Times New Roman" w:hAnsi="Times New Roman" w:cs="Times New Roman"/>
          <w:b/>
          <w:lang w:eastAsia="ru-RU"/>
        </w:rPr>
      </w:pPr>
    </w:p>
    <w:p w:rsidR="00222578" w:rsidRPr="0066263B" w:rsidRDefault="00222578" w:rsidP="00757709">
      <w:pPr>
        <w:spacing w:before="0" w:after="0"/>
        <w:jc w:val="center"/>
        <w:rPr>
          <w:rFonts w:ascii="Times New Roman" w:eastAsia="Times New Roman" w:hAnsi="Times New Roman" w:cs="Times New Roman"/>
          <w:b/>
          <w:lang w:eastAsia="ru-RU"/>
        </w:rPr>
      </w:pPr>
    </w:p>
    <w:p w:rsidR="00757709" w:rsidRPr="0066263B" w:rsidRDefault="00757709" w:rsidP="00757709">
      <w:pPr>
        <w:spacing w:before="0" w:after="0"/>
        <w:jc w:val="center"/>
        <w:rPr>
          <w:rFonts w:ascii="Times New Roman" w:eastAsia="TimesNewRomanPS-BoldMT"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13</w:t>
      </w:r>
      <w:r w:rsidR="006C34E2" w:rsidRPr="0066263B">
        <w:rPr>
          <w:rFonts w:ascii="Times New Roman" w:eastAsia="Times New Roman" w:hAnsi="Times New Roman" w:cs="Times New Roman"/>
          <w:b/>
          <w:lang w:eastAsia="ru-RU"/>
        </w:rPr>
        <w:fldChar w:fldCharType="end"/>
      </w:r>
      <w:r w:rsidRPr="0066263B">
        <w:rPr>
          <w:rFonts w:ascii="Times New Roman" w:eastAsia="TimesNewRomanPSMT" w:hAnsi="Times New Roman" w:cs="Times New Roman"/>
          <w:b/>
          <w:lang w:eastAsia="ru-RU"/>
        </w:rPr>
        <w:t>.</w:t>
      </w:r>
      <w:r w:rsidRPr="0066263B">
        <w:rPr>
          <w:rFonts w:ascii="Times New Roman" w:eastAsia="TimesNewRomanPS-BoldMT" w:hAnsi="Times New Roman" w:cs="Times New Roman"/>
          <w:b/>
          <w:lang w:eastAsia="ru-RU"/>
        </w:rPr>
        <w:t xml:space="preserve"> </w:t>
      </w:r>
      <w:r w:rsidRPr="0066263B">
        <w:rPr>
          <w:rFonts w:ascii="Times New Roman" w:eastAsia="TimesNewRomanPS-BoldMT" w:hAnsi="Times New Roman" w:cs="Times New Roman"/>
          <w:lang w:eastAsia="ru-RU"/>
        </w:rPr>
        <w:t>Площадь жилых помещений, приходящихся в среднем на одного жителя</w:t>
      </w:r>
      <w:r w:rsidRPr="0066263B">
        <w:rPr>
          <w:rFonts w:ascii="Times New Roman" w:eastAsia="TimesNewRomanPS-BoldMT" w:hAnsi="Times New Roman" w:cs="Times New Roman"/>
          <w:lang w:eastAsia="ru-RU"/>
        </w:rPr>
        <w:br/>
        <w:t>Брянской области, м</w:t>
      </w:r>
      <w:proofErr w:type="gramStart"/>
      <w:r w:rsidRPr="0066263B">
        <w:rPr>
          <w:rFonts w:ascii="Times New Roman" w:eastAsia="TimesNewRomanPS-BoldMT" w:hAnsi="Times New Roman" w:cs="Times New Roman"/>
          <w:vertAlign w:val="superscript"/>
          <w:lang w:eastAsia="ru-RU"/>
        </w:rPr>
        <w:t>2</w:t>
      </w:r>
      <w:proofErr w:type="gramEnd"/>
      <w:r w:rsidRPr="0066263B">
        <w:rPr>
          <w:rFonts w:ascii="Times New Roman" w:eastAsia="TimesNewRomanPS-BoldMT" w:hAnsi="Times New Roman" w:cs="Times New Roman"/>
          <w:lang w:eastAsia="ru-RU"/>
        </w:rPr>
        <w:t>/чел.</w:t>
      </w:r>
    </w:p>
    <w:p w:rsidR="00757709" w:rsidRPr="0066263B" w:rsidRDefault="00757709" w:rsidP="00324483">
      <w:pPr>
        <w:spacing w:before="0" w:after="0"/>
        <w:ind w:firstLine="709"/>
        <w:rPr>
          <w:rFonts w:ascii="Times New Roman" w:eastAsia="Calibri" w:hAnsi="Times New Roman" w:cs="Times New Roman"/>
          <w:iCs/>
          <w:sz w:val="24"/>
          <w:szCs w:val="24"/>
        </w:rPr>
      </w:pPr>
    </w:p>
    <w:p w:rsidR="00222578" w:rsidRPr="0066263B" w:rsidRDefault="00222578" w:rsidP="00324483">
      <w:pPr>
        <w:spacing w:before="0" w:after="0"/>
        <w:ind w:firstLine="709"/>
        <w:rPr>
          <w:rFonts w:ascii="Times New Roman" w:eastAsia="Calibri" w:hAnsi="Times New Roman" w:cs="Times New Roman"/>
          <w:iCs/>
          <w:sz w:val="24"/>
          <w:szCs w:val="24"/>
        </w:rPr>
      </w:pPr>
    </w:p>
    <w:p w:rsidR="00222578" w:rsidRPr="0066263B" w:rsidRDefault="00222578" w:rsidP="00324483">
      <w:pPr>
        <w:spacing w:before="0" w:after="0"/>
        <w:ind w:firstLine="709"/>
        <w:rPr>
          <w:rFonts w:ascii="Times New Roman" w:eastAsia="Calibri" w:hAnsi="Times New Roman" w:cs="Times New Roman"/>
          <w:iCs/>
          <w:sz w:val="24"/>
          <w:szCs w:val="24"/>
        </w:rPr>
      </w:pPr>
    </w:p>
    <w:p w:rsidR="00757709" w:rsidRPr="0066263B" w:rsidRDefault="00757709" w:rsidP="00324483">
      <w:pPr>
        <w:spacing w:before="0" w:after="0"/>
        <w:ind w:firstLine="709"/>
        <w:rPr>
          <w:rFonts w:ascii="Times New Roman" w:eastAsia="Calibri" w:hAnsi="Times New Roman" w:cs="Times New Roman"/>
          <w:iCs/>
          <w:sz w:val="24"/>
          <w:szCs w:val="24"/>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8"/>
          <w:szCs w:val="24"/>
          <w:lang w:eastAsia="ru-RU"/>
        </w:rPr>
        <w:drawing>
          <wp:inline distT="0" distB="0" distL="0" distR="0">
            <wp:extent cx="5807319" cy="2690446"/>
            <wp:effectExtent l="0" t="0" r="0" b="0"/>
            <wp:docPr id="1481" name="Объект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22578" w:rsidRPr="0066263B" w:rsidRDefault="00222578" w:rsidP="00324483">
      <w:pPr>
        <w:spacing w:before="0" w:after="0"/>
        <w:jc w:val="center"/>
        <w:rPr>
          <w:rFonts w:ascii="Times New Roman" w:eastAsia="Times New Roman" w:hAnsi="Times New Roman" w:cs="Times New Roman"/>
          <w:b/>
          <w:lang w:eastAsia="ru-RU"/>
        </w:rPr>
      </w:pPr>
    </w:p>
    <w:p w:rsidR="00222578" w:rsidRPr="0066263B" w:rsidRDefault="00222578" w:rsidP="00324483">
      <w:pPr>
        <w:spacing w:before="0" w:after="0"/>
        <w:jc w:val="center"/>
        <w:rPr>
          <w:rFonts w:ascii="Times New Roman" w:eastAsia="Times New Roman" w:hAnsi="Times New Roman" w:cs="Times New Roman"/>
          <w:b/>
          <w:lang w:eastAsia="ru-RU"/>
        </w:rPr>
      </w:pPr>
    </w:p>
    <w:p w:rsidR="00324483" w:rsidRPr="0066263B" w:rsidRDefault="00324483" w:rsidP="00324483">
      <w:pPr>
        <w:spacing w:before="0" w:after="0"/>
        <w:jc w:val="center"/>
        <w:rPr>
          <w:rFonts w:ascii="Times New Roman" w:eastAsia="TimesNewRomanPS-BoldMT"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14</w:t>
      </w:r>
      <w:r w:rsidR="006C34E2" w:rsidRPr="0066263B">
        <w:rPr>
          <w:rFonts w:ascii="Times New Roman" w:eastAsia="Times New Roman" w:hAnsi="Times New Roman" w:cs="Times New Roman"/>
          <w:b/>
          <w:lang w:eastAsia="ru-RU"/>
        </w:rPr>
        <w:fldChar w:fldCharType="end"/>
      </w:r>
      <w:r w:rsidRPr="0066263B">
        <w:rPr>
          <w:rFonts w:ascii="Times New Roman" w:eastAsia="TimesNewRomanPSMT" w:hAnsi="Times New Roman" w:cs="Times New Roman"/>
          <w:b/>
          <w:lang w:eastAsia="ru-RU"/>
        </w:rPr>
        <w:t>.</w:t>
      </w:r>
      <w:r w:rsidRPr="0066263B">
        <w:rPr>
          <w:rFonts w:ascii="Times New Roman" w:eastAsia="TimesNewRomanPS-BoldMT" w:hAnsi="Times New Roman" w:cs="Times New Roman"/>
          <w:b/>
          <w:lang w:eastAsia="ru-RU"/>
        </w:rPr>
        <w:t xml:space="preserve"> </w:t>
      </w:r>
      <w:r w:rsidRPr="0066263B">
        <w:rPr>
          <w:rFonts w:ascii="Times New Roman" w:eastAsia="TimesNewRomanPS-BoldMT" w:hAnsi="Times New Roman" w:cs="Times New Roman"/>
          <w:lang w:eastAsia="ru-RU"/>
        </w:rPr>
        <w:t xml:space="preserve">Удельный вес жилой площади, оборудованной </w:t>
      </w:r>
      <w:r w:rsidR="00E43D4B" w:rsidRPr="0066263B">
        <w:rPr>
          <w:rFonts w:ascii="Times New Roman" w:eastAsia="TimesNewRomanPS-BoldMT" w:hAnsi="Times New Roman" w:cs="Times New Roman"/>
          <w:lang w:eastAsia="ru-RU"/>
        </w:rPr>
        <w:t xml:space="preserve">водопроводом, водоотведением, </w:t>
      </w:r>
      <w:r w:rsidRPr="0066263B">
        <w:rPr>
          <w:rFonts w:ascii="Times New Roman" w:eastAsia="TimesNewRomanPS-BoldMT" w:hAnsi="Times New Roman" w:cs="Times New Roman"/>
          <w:lang w:eastAsia="ru-RU"/>
        </w:rPr>
        <w:t>отоплением</w:t>
      </w:r>
      <w:r w:rsidR="00E43D4B" w:rsidRPr="0066263B">
        <w:rPr>
          <w:rFonts w:ascii="Times New Roman" w:eastAsia="TimesNewRomanPS-BoldMT" w:hAnsi="Times New Roman" w:cs="Times New Roman"/>
          <w:lang w:eastAsia="ru-RU"/>
        </w:rPr>
        <w:t xml:space="preserve"> </w:t>
      </w:r>
      <w:r w:rsidRPr="0066263B">
        <w:rPr>
          <w:rFonts w:ascii="Times New Roman" w:eastAsia="TimesNewRomanPS-BoldMT" w:hAnsi="Times New Roman" w:cs="Times New Roman"/>
          <w:lang w:eastAsia="ru-RU"/>
        </w:rPr>
        <w:t>в Брянской области, %</w:t>
      </w:r>
    </w:p>
    <w:p w:rsidR="00222578" w:rsidRPr="0066263B" w:rsidRDefault="00222578">
      <w:pP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br w:type="page"/>
      </w: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lastRenderedPageBreak/>
        <w:t>Состояние питьевого водоснабжения</w:t>
      </w:r>
    </w:p>
    <w:p w:rsidR="00C838C3" w:rsidRPr="0066263B" w:rsidRDefault="00C838C3" w:rsidP="004D4EDD">
      <w:pPr>
        <w:spacing w:before="0" w:after="0"/>
        <w:ind w:firstLine="709"/>
        <w:rPr>
          <w:rFonts w:ascii="Times New Roman" w:eastAsia="Times New Roman" w:hAnsi="Times New Roman" w:cs="Times New Roman"/>
          <w:iCs/>
          <w:sz w:val="24"/>
          <w:szCs w:val="24"/>
          <w:lang w:eastAsia="ru-RU"/>
        </w:rPr>
      </w:pPr>
    </w:p>
    <w:p w:rsidR="004D4EDD" w:rsidRPr="0066263B" w:rsidRDefault="004D4EDD" w:rsidP="004D4EDD">
      <w:pPr>
        <w:spacing w:before="0" w:after="0"/>
        <w:ind w:firstLine="709"/>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iCs/>
          <w:sz w:val="24"/>
          <w:szCs w:val="24"/>
          <w:lang w:eastAsia="ru-RU"/>
        </w:rPr>
        <w:t xml:space="preserve">Ситуация как с подземными источниками централизованного водоснабжения, так и с поверхностными источниками централизованного водоснабжения за последние три года существенно не изменилась. </w:t>
      </w:r>
      <w:proofErr w:type="gramStart"/>
      <w:r w:rsidRPr="0066263B">
        <w:rPr>
          <w:rFonts w:ascii="Times New Roman" w:eastAsia="Times New Roman" w:hAnsi="Times New Roman" w:cs="Times New Roman"/>
          <w:iCs/>
          <w:sz w:val="24"/>
          <w:szCs w:val="24"/>
          <w:lang w:eastAsia="ru-RU"/>
        </w:rPr>
        <w:t>В 202</w:t>
      </w:r>
      <w:r w:rsidR="00643D76" w:rsidRPr="0066263B">
        <w:rPr>
          <w:rFonts w:ascii="Times New Roman" w:eastAsia="Times New Roman" w:hAnsi="Times New Roman" w:cs="Times New Roman"/>
          <w:iCs/>
          <w:sz w:val="24"/>
          <w:szCs w:val="24"/>
          <w:lang w:eastAsia="ru-RU"/>
        </w:rPr>
        <w:t>1</w:t>
      </w:r>
      <w:r w:rsidRPr="0066263B">
        <w:rPr>
          <w:rFonts w:ascii="Times New Roman" w:eastAsia="Times New Roman" w:hAnsi="Times New Roman" w:cs="Times New Roman"/>
          <w:iCs/>
          <w:sz w:val="24"/>
          <w:szCs w:val="24"/>
          <w:lang w:eastAsia="ru-RU"/>
        </w:rPr>
        <w:t xml:space="preserve"> году число источников питьевого централизованного водоснабжения составило – 1 865 (</w:t>
      </w:r>
      <w:r w:rsidR="00643D76" w:rsidRPr="0066263B">
        <w:rPr>
          <w:rFonts w:ascii="Times New Roman" w:eastAsia="Times New Roman" w:hAnsi="Times New Roman" w:cs="Times New Roman"/>
          <w:iCs/>
          <w:sz w:val="24"/>
          <w:szCs w:val="24"/>
          <w:lang w:eastAsia="ru-RU"/>
        </w:rPr>
        <w:t xml:space="preserve">2020 – 1 865; </w:t>
      </w:r>
      <w:r w:rsidRPr="0066263B">
        <w:rPr>
          <w:rFonts w:ascii="Times New Roman" w:eastAsia="Times New Roman" w:hAnsi="Times New Roman" w:cs="Times New Roman"/>
          <w:iCs/>
          <w:sz w:val="24"/>
          <w:szCs w:val="24"/>
          <w:lang w:eastAsia="ru-RU"/>
        </w:rPr>
        <w:t xml:space="preserve">2019 – 1 857; </w:t>
      </w:r>
      <w:r w:rsidRPr="0066263B">
        <w:rPr>
          <w:rFonts w:ascii="Times New Roman" w:eastAsia="Times New Roman" w:hAnsi="Times New Roman" w:cs="Times New Roman"/>
          <w:sz w:val="24"/>
          <w:szCs w:val="24"/>
          <w:lang w:eastAsia="ru-RU"/>
        </w:rPr>
        <w:t>2018 – 2 048)</w:t>
      </w:r>
      <w:r w:rsidRPr="0066263B">
        <w:rPr>
          <w:rFonts w:ascii="Times New Roman" w:eastAsia="Times New Roman" w:hAnsi="Times New Roman" w:cs="Times New Roman"/>
          <w:iCs/>
          <w:sz w:val="24"/>
          <w:szCs w:val="24"/>
          <w:lang w:eastAsia="ru-RU"/>
        </w:rPr>
        <w:t xml:space="preserve">, из них не отвечало санитарным правилам и нормативам – </w:t>
      </w:r>
      <w:r w:rsidR="00C9082D" w:rsidRPr="0066263B">
        <w:rPr>
          <w:rFonts w:ascii="Times New Roman" w:eastAsia="Times New Roman" w:hAnsi="Times New Roman" w:cs="Times New Roman"/>
          <w:iCs/>
          <w:sz w:val="24"/>
          <w:szCs w:val="24"/>
          <w:lang w:eastAsia="ru-RU"/>
        </w:rPr>
        <w:t>84</w:t>
      </w:r>
      <w:r w:rsidRPr="0066263B">
        <w:rPr>
          <w:rFonts w:ascii="Times New Roman" w:eastAsia="Times New Roman" w:hAnsi="Times New Roman" w:cs="Times New Roman"/>
          <w:iCs/>
          <w:sz w:val="24"/>
          <w:szCs w:val="24"/>
          <w:lang w:eastAsia="ru-RU"/>
        </w:rPr>
        <w:t xml:space="preserve"> или </w:t>
      </w:r>
      <w:r w:rsidR="00C9082D" w:rsidRPr="0066263B">
        <w:rPr>
          <w:rFonts w:ascii="Times New Roman" w:eastAsia="Times New Roman" w:hAnsi="Times New Roman" w:cs="Times New Roman"/>
          <w:iCs/>
          <w:sz w:val="24"/>
          <w:szCs w:val="24"/>
          <w:lang w:eastAsia="ru-RU"/>
        </w:rPr>
        <w:t>4,5</w:t>
      </w:r>
      <w:r w:rsidRPr="0066263B">
        <w:rPr>
          <w:rFonts w:ascii="Times New Roman" w:eastAsia="Times New Roman" w:hAnsi="Times New Roman" w:cs="Times New Roman"/>
          <w:iCs/>
          <w:sz w:val="24"/>
          <w:szCs w:val="24"/>
          <w:lang w:eastAsia="ru-RU"/>
        </w:rPr>
        <w:t>% (</w:t>
      </w:r>
      <w:r w:rsidR="00643D76" w:rsidRPr="0066263B">
        <w:rPr>
          <w:rFonts w:ascii="Times New Roman" w:eastAsia="Times New Roman" w:hAnsi="Times New Roman" w:cs="Times New Roman"/>
          <w:iCs/>
          <w:sz w:val="24"/>
          <w:szCs w:val="24"/>
          <w:lang w:eastAsia="ru-RU"/>
        </w:rPr>
        <w:t xml:space="preserve">2020 – 5,0%; </w:t>
      </w:r>
      <w:r w:rsidRPr="0066263B">
        <w:rPr>
          <w:rFonts w:ascii="Times New Roman" w:eastAsia="Times New Roman" w:hAnsi="Times New Roman" w:cs="Times New Roman"/>
          <w:iCs/>
          <w:sz w:val="24"/>
          <w:szCs w:val="24"/>
          <w:lang w:eastAsia="ru-RU"/>
        </w:rPr>
        <w:t xml:space="preserve">2019 – 5,0%; </w:t>
      </w:r>
      <w:r w:rsidRPr="0066263B">
        <w:rPr>
          <w:rFonts w:ascii="Times New Roman" w:eastAsia="Times New Roman" w:hAnsi="Times New Roman" w:cs="Times New Roman"/>
          <w:sz w:val="24"/>
          <w:szCs w:val="24"/>
          <w:lang w:eastAsia="ru-RU"/>
        </w:rPr>
        <w:t>2018 – 12,9%</w:t>
      </w:r>
      <w:r w:rsidR="00643D76" w:rsidRPr="0066263B">
        <w:rPr>
          <w:rFonts w:ascii="Times New Roman" w:eastAsia="Times New Roman" w:hAnsi="Times New Roman" w:cs="Times New Roman"/>
          <w:sz w:val="24"/>
          <w:szCs w:val="24"/>
          <w:lang w:eastAsia="ru-RU"/>
        </w:rPr>
        <w:t>; РФ 2020 – 14,46%</w:t>
      </w:r>
      <w:r w:rsidR="00643D76" w:rsidRPr="0066263B">
        <w:rPr>
          <w:rFonts w:ascii="Times New Roman" w:eastAsia="Times New Roman" w:hAnsi="Times New Roman" w:cs="Times New Roman"/>
          <w:iCs/>
          <w:sz w:val="24"/>
          <w:szCs w:val="24"/>
          <w:lang w:eastAsia="ru-RU"/>
        </w:rPr>
        <w:t>)</w:t>
      </w:r>
      <w:r w:rsidRPr="0066263B">
        <w:rPr>
          <w:rFonts w:ascii="Times New Roman" w:eastAsia="Times New Roman" w:hAnsi="Times New Roman" w:cs="Times New Roman"/>
          <w:iCs/>
          <w:sz w:val="24"/>
          <w:szCs w:val="24"/>
          <w:lang w:eastAsia="ru-RU"/>
        </w:rPr>
        <w:t xml:space="preserve">, в том числе из-за отсутствия зон санитарной охраны – </w:t>
      </w:r>
      <w:r w:rsidR="00C9082D" w:rsidRPr="0066263B">
        <w:rPr>
          <w:rFonts w:ascii="Times New Roman" w:eastAsia="Times New Roman" w:hAnsi="Times New Roman" w:cs="Times New Roman"/>
          <w:iCs/>
          <w:sz w:val="24"/>
          <w:szCs w:val="24"/>
          <w:lang w:eastAsia="ru-RU"/>
        </w:rPr>
        <w:t xml:space="preserve">84 или 4,5% </w:t>
      </w:r>
      <w:r w:rsidRPr="0066263B">
        <w:rPr>
          <w:rFonts w:ascii="Times New Roman" w:eastAsia="Times New Roman" w:hAnsi="Times New Roman" w:cs="Times New Roman"/>
          <w:iCs/>
          <w:sz w:val="24"/>
          <w:szCs w:val="24"/>
          <w:lang w:eastAsia="ru-RU"/>
        </w:rPr>
        <w:t>(</w:t>
      </w:r>
      <w:r w:rsidR="00643D76" w:rsidRPr="0066263B">
        <w:rPr>
          <w:rFonts w:ascii="Times New Roman" w:eastAsia="Times New Roman" w:hAnsi="Times New Roman" w:cs="Times New Roman"/>
          <w:iCs/>
          <w:sz w:val="24"/>
          <w:szCs w:val="24"/>
          <w:lang w:eastAsia="ru-RU"/>
        </w:rPr>
        <w:t>2020 – 5,0%;</w:t>
      </w:r>
      <w:proofErr w:type="gramEnd"/>
      <w:r w:rsidR="00643D76" w:rsidRPr="0066263B">
        <w:rPr>
          <w:rFonts w:ascii="Times New Roman" w:eastAsia="Times New Roman" w:hAnsi="Times New Roman" w:cs="Times New Roman"/>
          <w:iCs/>
          <w:sz w:val="24"/>
          <w:szCs w:val="24"/>
          <w:lang w:eastAsia="ru-RU"/>
        </w:rPr>
        <w:t xml:space="preserve"> </w:t>
      </w:r>
      <w:proofErr w:type="gramStart"/>
      <w:r w:rsidRPr="0066263B">
        <w:rPr>
          <w:rFonts w:ascii="Times New Roman" w:eastAsia="Times New Roman" w:hAnsi="Times New Roman" w:cs="Times New Roman"/>
          <w:iCs/>
          <w:sz w:val="24"/>
          <w:szCs w:val="24"/>
          <w:lang w:eastAsia="ru-RU"/>
        </w:rPr>
        <w:t xml:space="preserve">2019 – 5,0%; </w:t>
      </w:r>
      <w:r w:rsidRPr="0066263B">
        <w:rPr>
          <w:rFonts w:ascii="Times New Roman" w:eastAsia="Times New Roman" w:hAnsi="Times New Roman" w:cs="Times New Roman"/>
          <w:sz w:val="24"/>
          <w:szCs w:val="24"/>
          <w:lang w:eastAsia="ru-RU"/>
        </w:rPr>
        <w:t>2018 – 11,6%</w:t>
      </w:r>
      <w:r w:rsidR="00643D76" w:rsidRPr="0066263B">
        <w:rPr>
          <w:rFonts w:ascii="Times New Roman" w:eastAsia="Times New Roman" w:hAnsi="Times New Roman" w:cs="Times New Roman"/>
          <w:sz w:val="24"/>
          <w:szCs w:val="24"/>
          <w:lang w:eastAsia="ru-RU"/>
        </w:rPr>
        <w:t>; РФ 2020 – 10,29%</w:t>
      </w:r>
      <w:r w:rsidRPr="0066263B">
        <w:rPr>
          <w:rFonts w:ascii="Times New Roman" w:eastAsia="Times New Roman" w:hAnsi="Times New Roman" w:cs="Times New Roman"/>
          <w:iCs/>
          <w:sz w:val="24"/>
          <w:szCs w:val="24"/>
          <w:lang w:eastAsia="ru-RU"/>
        </w:rPr>
        <w:t>).</w:t>
      </w:r>
      <w:proofErr w:type="gramEnd"/>
    </w:p>
    <w:p w:rsidR="004D4EDD" w:rsidRPr="0066263B" w:rsidRDefault="004D4EDD" w:rsidP="004D4EDD">
      <w:pPr>
        <w:spacing w:before="0" w:after="0"/>
        <w:ind w:firstLine="709"/>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iCs/>
          <w:sz w:val="24"/>
          <w:szCs w:val="24"/>
          <w:lang w:eastAsia="ru-RU"/>
        </w:rPr>
        <w:t>Число источников водоснабжения уточнено в ходе инвентаризации в рамках реализации федерального проекта «Чистая вода» на территории Брянской области.</w:t>
      </w:r>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Гигиеническая характеристика качества питьевой воды в источниках</w:t>
      </w:r>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централизованного водоснабжения</w:t>
      </w:r>
    </w:p>
    <w:p w:rsidR="00324483" w:rsidRPr="0066263B" w:rsidRDefault="00324483" w:rsidP="00324483">
      <w:pPr>
        <w:spacing w:before="0" w:after="0"/>
        <w:ind w:firstLine="709"/>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Для оценки влияния качества питьевой воды на здоровье населения в 20</w:t>
      </w:r>
      <w:r w:rsidR="004D4EDD" w:rsidRPr="0066263B">
        <w:rPr>
          <w:rFonts w:ascii="Times New Roman" w:eastAsia="TimesNewRomanPSMT" w:hAnsi="Times New Roman" w:cs="Times New Roman"/>
          <w:sz w:val="24"/>
          <w:szCs w:val="24"/>
        </w:rPr>
        <w:t>2</w:t>
      </w:r>
      <w:r w:rsidR="0040523B" w:rsidRPr="0066263B">
        <w:rPr>
          <w:rFonts w:ascii="Times New Roman" w:eastAsia="TimesNewRomanPSMT" w:hAnsi="Times New Roman" w:cs="Times New Roman"/>
          <w:sz w:val="24"/>
          <w:szCs w:val="24"/>
        </w:rPr>
        <w:t>1</w:t>
      </w:r>
      <w:r w:rsidRPr="0066263B">
        <w:rPr>
          <w:rFonts w:ascii="Times New Roman" w:eastAsia="TimesNewRomanPSMT" w:hAnsi="Times New Roman" w:cs="Times New Roman"/>
          <w:sz w:val="24"/>
          <w:szCs w:val="24"/>
        </w:rPr>
        <w:t xml:space="preserve"> году исследования проводились на 190 мониторинговых точках.</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Состояние источников централизованного питьевого водоснабжения</w:t>
      </w:r>
    </w:p>
    <w:p w:rsidR="00324483" w:rsidRPr="0066263B" w:rsidRDefault="00324483" w:rsidP="00324483">
      <w:pPr>
        <w:spacing w:before="0" w:after="0"/>
        <w:jc w:val="center"/>
        <w:rPr>
          <w:rFonts w:ascii="Times New Roman" w:eastAsia="TimesNewRomanPS-BoldMT" w:hAnsi="Times New Roman" w:cs="Times New Roman"/>
          <w:b/>
          <w:bC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41"/>
        <w:gridCol w:w="823"/>
        <w:gridCol w:w="825"/>
        <w:gridCol w:w="826"/>
        <w:gridCol w:w="825"/>
        <w:gridCol w:w="825"/>
        <w:gridCol w:w="821"/>
      </w:tblGrid>
      <w:tr w:rsidR="004D4EDD" w:rsidRPr="0066263B" w:rsidTr="00C9082D">
        <w:tc>
          <w:tcPr>
            <w:tcW w:w="2337" w:type="pct"/>
            <w:vMerge w:val="restart"/>
            <w:vAlign w:val="center"/>
          </w:tcPr>
          <w:p w:rsidR="004D4EDD" w:rsidRPr="0066263B" w:rsidRDefault="004D4EDD" w:rsidP="004D4EDD">
            <w:pPr>
              <w:widowControl w:val="0"/>
              <w:autoSpaceDE w:val="0"/>
              <w:autoSpaceDN w:val="0"/>
              <w:adjustRightInd w:val="0"/>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Показатели</w:t>
            </w:r>
          </w:p>
        </w:tc>
        <w:tc>
          <w:tcPr>
            <w:tcW w:w="1332" w:type="pct"/>
            <w:gridSpan w:val="3"/>
            <w:vAlign w:val="center"/>
          </w:tcPr>
          <w:p w:rsidR="004D4EDD" w:rsidRPr="0066263B" w:rsidRDefault="004D4EDD" w:rsidP="004D4EDD">
            <w:pPr>
              <w:widowControl w:val="0"/>
              <w:autoSpaceDE w:val="0"/>
              <w:autoSpaceDN w:val="0"/>
              <w:adjustRightInd w:val="0"/>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Подземные</w:t>
            </w:r>
            <w:r w:rsidRPr="0066263B">
              <w:rPr>
                <w:rFonts w:ascii="Times New Roman" w:eastAsia="Times New Roman" w:hAnsi="Times New Roman" w:cs="Times New Roman"/>
                <w:b/>
                <w:bCs/>
                <w:i/>
                <w:iCs/>
                <w:lang w:eastAsia="ru-RU"/>
              </w:rPr>
              <w:br/>
              <w:t>источники</w:t>
            </w:r>
          </w:p>
        </w:tc>
        <w:tc>
          <w:tcPr>
            <w:tcW w:w="1330" w:type="pct"/>
            <w:gridSpan w:val="3"/>
            <w:vAlign w:val="center"/>
          </w:tcPr>
          <w:p w:rsidR="004D4EDD" w:rsidRPr="0066263B" w:rsidRDefault="004D4EDD" w:rsidP="004D4EDD">
            <w:pPr>
              <w:widowControl w:val="0"/>
              <w:autoSpaceDE w:val="0"/>
              <w:autoSpaceDN w:val="0"/>
              <w:adjustRightInd w:val="0"/>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Поверхностные</w:t>
            </w:r>
            <w:r w:rsidRPr="0066263B">
              <w:rPr>
                <w:rFonts w:ascii="Times New Roman" w:eastAsia="Times New Roman" w:hAnsi="Times New Roman" w:cs="Times New Roman"/>
                <w:b/>
                <w:bCs/>
                <w:i/>
                <w:iCs/>
                <w:lang w:eastAsia="ru-RU"/>
              </w:rPr>
              <w:br/>
              <w:t>источники</w:t>
            </w:r>
          </w:p>
        </w:tc>
      </w:tr>
      <w:tr w:rsidR="00D119EA" w:rsidRPr="0066263B" w:rsidTr="00C9082D">
        <w:tc>
          <w:tcPr>
            <w:tcW w:w="2337" w:type="pct"/>
            <w:vMerge/>
          </w:tcPr>
          <w:p w:rsidR="00D119EA" w:rsidRPr="0066263B" w:rsidRDefault="00D119EA" w:rsidP="004D4EDD">
            <w:pPr>
              <w:widowControl w:val="0"/>
              <w:autoSpaceDE w:val="0"/>
              <w:autoSpaceDN w:val="0"/>
              <w:adjustRightInd w:val="0"/>
              <w:spacing w:before="20" w:after="20"/>
              <w:ind w:left="57"/>
              <w:jc w:val="left"/>
              <w:rPr>
                <w:rFonts w:ascii="Times New Roman" w:eastAsia="Times New Roman" w:hAnsi="Times New Roman" w:cs="Times New Roman"/>
                <w:b/>
                <w:bCs/>
                <w:i/>
                <w:iCs/>
                <w:lang w:eastAsia="ru-RU"/>
              </w:rPr>
            </w:pPr>
          </w:p>
        </w:tc>
        <w:tc>
          <w:tcPr>
            <w:tcW w:w="443" w:type="pct"/>
            <w:vAlign w:val="center"/>
          </w:tcPr>
          <w:p w:rsidR="00D119EA" w:rsidRPr="0066263B" w:rsidRDefault="00D119EA" w:rsidP="003563FA">
            <w:pPr>
              <w:widowControl w:val="0"/>
              <w:autoSpaceDE w:val="0"/>
              <w:autoSpaceDN w:val="0"/>
              <w:adjustRightInd w:val="0"/>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444" w:type="pct"/>
            <w:vAlign w:val="center"/>
          </w:tcPr>
          <w:p w:rsidR="00D119EA" w:rsidRPr="0066263B" w:rsidRDefault="00D119EA" w:rsidP="003563FA">
            <w:pPr>
              <w:widowControl w:val="0"/>
              <w:autoSpaceDE w:val="0"/>
              <w:autoSpaceDN w:val="0"/>
              <w:adjustRightInd w:val="0"/>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445" w:type="pct"/>
            <w:vAlign w:val="center"/>
          </w:tcPr>
          <w:p w:rsidR="00D119EA" w:rsidRPr="0066263B" w:rsidRDefault="00D119EA" w:rsidP="004D4EDD">
            <w:pPr>
              <w:widowControl w:val="0"/>
              <w:autoSpaceDE w:val="0"/>
              <w:autoSpaceDN w:val="0"/>
              <w:adjustRightInd w:val="0"/>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c>
          <w:tcPr>
            <w:tcW w:w="444" w:type="pct"/>
            <w:vAlign w:val="center"/>
          </w:tcPr>
          <w:p w:rsidR="00D119EA" w:rsidRPr="0066263B" w:rsidRDefault="00D119EA" w:rsidP="003563FA">
            <w:pPr>
              <w:widowControl w:val="0"/>
              <w:autoSpaceDE w:val="0"/>
              <w:autoSpaceDN w:val="0"/>
              <w:adjustRightInd w:val="0"/>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444" w:type="pct"/>
            <w:vAlign w:val="center"/>
          </w:tcPr>
          <w:p w:rsidR="00D119EA" w:rsidRPr="0066263B" w:rsidRDefault="00D119EA" w:rsidP="003563FA">
            <w:pPr>
              <w:widowControl w:val="0"/>
              <w:autoSpaceDE w:val="0"/>
              <w:autoSpaceDN w:val="0"/>
              <w:adjustRightInd w:val="0"/>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442" w:type="pct"/>
            <w:vAlign w:val="center"/>
          </w:tcPr>
          <w:p w:rsidR="00D119EA" w:rsidRPr="0066263B" w:rsidRDefault="00D119EA" w:rsidP="004D4EDD">
            <w:pPr>
              <w:widowControl w:val="0"/>
              <w:autoSpaceDE w:val="0"/>
              <w:autoSpaceDN w:val="0"/>
              <w:adjustRightInd w:val="0"/>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C9082D" w:rsidRPr="0066263B" w:rsidTr="00C9082D">
        <w:tc>
          <w:tcPr>
            <w:tcW w:w="2337" w:type="pct"/>
          </w:tcPr>
          <w:p w:rsidR="00C9082D" w:rsidRPr="0066263B" w:rsidRDefault="00C9082D" w:rsidP="004D4EDD">
            <w:pPr>
              <w:widowControl w:val="0"/>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Количество источников</w:t>
            </w:r>
          </w:p>
        </w:tc>
        <w:tc>
          <w:tcPr>
            <w:tcW w:w="443"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1857</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1865</w:t>
            </w:r>
          </w:p>
        </w:tc>
        <w:tc>
          <w:tcPr>
            <w:tcW w:w="445" w:type="pct"/>
            <w:vAlign w:val="center"/>
          </w:tcPr>
          <w:p w:rsidR="00C9082D" w:rsidRPr="0066263B" w:rsidRDefault="00C9082D" w:rsidP="00C9082D">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1865</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442" w:type="pct"/>
            <w:shd w:val="clear" w:color="auto" w:fill="auto"/>
            <w:vAlign w:val="center"/>
          </w:tcPr>
          <w:p w:rsidR="00C9082D" w:rsidRPr="0066263B" w:rsidRDefault="00C9082D" w:rsidP="004D4EDD">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r>
      <w:tr w:rsidR="00C9082D" w:rsidRPr="0066263B" w:rsidTr="00C9082D">
        <w:tc>
          <w:tcPr>
            <w:tcW w:w="2337" w:type="pct"/>
          </w:tcPr>
          <w:p w:rsidR="00C9082D" w:rsidRPr="0066263B" w:rsidRDefault="00C9082D" w:rsidP="00C838C3">
            <w:pPr>
              <w:widowControl w:val="0"/>
              <w:autoSpaceDE w:val="0"/>
              <w:autoSpaceDN w:val="0"/>
              <w:adjustRightInd w:val="0"/>
              <w:spacing w:before="20" w:after="20"/>
              <w:ind w:left="282"/>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из них не соответствуют гигиеническим</w:t>
            </w:r>
            <w:r w:rsidRPr="0066263B">
              <w:rPr>
                <w:rFonts w:ascii="Times New Roman" w:eastAsia="Times New Roman" w:hAnsi="Times New Roman" w:cs="Times New Roman"/>
                <w:lang w:eastAsia="ru-RU"/>
              </w:rPr>
              <w:br/>
              <w:t>нормативам, %</w:t>
            </w:r>
          </w:p>
        </w:tc>
        <w:tc>
          <w:tcPr>
            <w:tcW w:w="443"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445" w:type="pct"/>
            <w:vAlign w:val="center"/>
          </w:tcPr>
          <w:p w:rsidR="00C9082D" w:rsidRPr="0066263B" w:rsidRDefault="00C9082D" w:rsidP="004D4EDD">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42" w:type="pct"/>
            <w:shd w:val="clear" w:color="auto" w:fill="auto"/>
            <w:vAlign w:val="center"/>
          </w:tcPr>
          <w:p w:rsidR="00C9082D" w:rsidRPr="0066263B" w:rsidRDefault="00C9082D" w:rsidP="004D4EDD">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C9082D" w:rsidRPr="0066263B" w:rsidTr="00C9082D">
        <w:tc>
          <w:tcPr>
            <w:tcW w:w="2337" w:type="pct"/>
          </w:tcPr>
          <w:p w:rsidR="00C9082D" w:rsidRPr="0066263B" w:rsidRDefault="00C9082D" w:rsidP="00160BD2">
            <w:pPr>
              <w:widowControl w:val="0"/>
              <w:numPr>
                <w:ilvl w:val="0"/>
                <w:numId w:val="27"/>
              </w:numPr>
              <w:tabs>
                <w:tab w:val="num" w:pos="-3263"/>
              </w:tabs>
              <w:autoSpaceDE w:val="0"/>
              <w:autoSpaceDN w:val="0"/>
              <w:adjustRightInd w:val="0"/>
              <w:spacing w:before="20" w:after="20"/>
              <w:ind w:left="707" w:hanging="142"/>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т.ч. из-за отсутствия зоны санитарной охраны, %</w:t>
            </w:r>
          </w:p>
        </w:tc>
        <w:tc>
          <w:tcPr>
            <w:tcW w:w="443"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445" w:type="pct"/>
            <w:vAlign w:val="center"/>
          </w:tcPr>
          <w:p w:rsidR="00C9082D" w:rsidRPr="0066263B" w:rsidRDefault="00C9082D" w:rsidP="004D4EDD">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42" w:type="pct"/>
            <w:shd w:val="clear" w:color="auto" w:fill="auto"/>
            <w:vAlign w:val="center"/>
          </w:tcPr>
          <w:p w:rsidR="00C9082D" w:rsidRPr="0066263B" w:rsidRDefault="00C9082D" w:rsidP="004D4EDD">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C9082D" w:rsidRPr="0066263B" w:rsidTr="00C9082D">
        <w:tc>
          <w:tcPr>
            <w:tcW w:w="2337" w:type="pct"/>
          </w:tcPr>
          <w:p w:rsidR="00C9082D" w:rsidRPr="0066263B" w:rsidRDefault="00C9082D" w:rsidP="004D4EDD">
            <w:pPr>
              <w:widowControl w:val="0"/>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Доля проб, не соответствующих</w:t>
            </w:r>
            <w:r w:rsidRPr="0066263B">
              <w:rPr>
                <w:rFonts w:ascii="Times New Roman" w:eastAsia="Times New Roman" w:hAnsi="Times New Roman" w:cs="Times New Roman"/>
                <w:lang w:eastAsia="ru-RU"/>
              </w:rPr>
              <w:br/>
              <w:t>гигиеническим нормативам по санитарно-химическим показателям, %</w:t>
            </w:r>
          </w:p>
        </w:tc>
        <w:tc>
          <w:tcPr>
            <w:tcW w:w="443"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18,9</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w:t>
            </w:r>
          </w:p>
        </w:tc>
        <w:tc>
          <w:tcPr>
            <w:tcW w:w="445" w:type="pct"/>
            <w:vAlign w:val="center"/>
          </w:tcPr>
          <w:p w:rsidR="00C9082D" w:rsidRPr="0066263B" w:rsidRDefault="00C9082D" w:rsidP="0040523B">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16,8</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42" w:type="pct"/>
            <w:shd w:val="clear" w:color="auto" w:fill="auto"/>
            <w:vAlign w:val="center"/>
          </w:tcPr>
          <w:p w:rsidR="00C9082D" w:rsidRPr="0066263B" w:rsidRDefault="00C9082D" w:rsidP="004D4EDD">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r>
      <w:tr w:rsidR="00C9082D" w:rsidRPr="0066263B" w:rsidTr="00C9082D">
        <w:tc>
          <w:tcPr>
            <w:tcW w:w="2337" w:type="pct"/>
          </w:tcPr>
          <w:p w:rsidR="00C9082D" w:rsidRPr="0066263B" w:rsidRDefault="00C9082D" w:rsidP="004D4EDD">
            <w:pPr>
              <w:widowControl w:val="0"/>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Доля проб, не соответствующих</w:t>
            </w:r>
            <w:r w:rsidRPr="0066263B">
              <w:rPr>
                <w:rFonts w:ascii="Times New Roman" w:eastAsia="Times New Roman" w:hAnsi="Times New Roman" w:cs="Times New Roman"/>
                <w:lang w:eastAsia="ru-RU"/>
              </w:rPr>
              <w:br/>
              <w:t>гигиеническим нормативам по</w:t>
            </w:r>
            <w:r w:rsidRPr="0066263B">
              <w:rPr>
                <w:rFonts w:ascii="Times New Roman" w:eastAsia="Times New Roman" w:hAnsi="Times New Roman" w:cs="Times New Roman"/>
                <w:lang w:eastAsia="ru-RU"/>
              </w:rPr>
              <w:br/>
              <w:t>микробиологическим показателям, %</w:t>
            </w:r>
          </w:p>
        </w:tc>
        <w:tc>
          <w:tcPr>
            <w:tcW w:w="443"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1,85</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445" w:type="pct"/>
            <w:vAlign w:val="center"/>
          </w:tcPr>
          <w:p w:rsidR="00C9082D" w:rsidRPr="0066263B" w:rsidRDefault="00C9082D" w:rsidP="0040523B">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20,0</w:t>
            </w:r>
          </w:p>
        </w:tc>
        <w:tc>
          <w:tcPr>
            <w:tcW w:w="444" w:type="pct"/>
            <w:vAlign w:val="center"/>
          </w:tcPr>
          <w:p w:rsidR="00C9082D" w:rsidRPr="0066263B" w:rsidRDefault="00C9082D" w:rsidP="003563FA">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42" w:type="pct"/>
            <w:shd w:val="clear" w:color="auto" w:fill="auto"/>
            <w:vAlign w:val="center"/>
          </w:tcPr>
          <w:p w:rsidR="00C9082D" w:rsidRPr="0066263B" w:rsidRDefault="00C9082D" w:rsidP="004D4EDD">
            <w:pPr>
              <w:widowControl w:val="0"/>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w:t>
            </w:r>
          </w:p>
        </w:tc>
      </w:tr>
    </w:tbl>
    <w:p w:rsidR="00433579" w:rsidRPr="0066263B" w:rsidRDefault="00433579" w:rsidP="00324483">
      <w:pPr>
        <w:spacing w:before="0" w:after="0"/>
        <w:ind w:firstLine="709"/>
        <w:rPr>
          <w:rFonts w:ascii="Times New Roman" w:eastAsia="Times New Roman" w:hAnsi="Times New Roman" w:cs="Times New Roman"/>
          <w:sz w:val="24"/>
          <w:szCs w:val="24"/>
          <w:lang w:eastAsia="ru-RU"/>
        </w:rPr>
      </w:pPr>
    </w:p>
    <w:p w:rsidR="00C838C3" w:rsidRPr="0066263B" w:rsidRDefault="00C838C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Всего из источников централизованного водоснабжения </w:t>
      </w:r>
      <w:r w:rsidRPr="0066263B">
        <w:rPr>
          <w:rFonts w:ascii="Times New Roman" w:eastAsia="TimesNewRomanPSMT" w:hAnsi="Times New Roman" w:cs="Times New Roman"/>
          <w:sz w:val="24"/>
          <w:szCs w:val="24"/>
        </w:rPr>
        <w:t>в 20</w:t>
      </w:r>
      <w:r w:rsidR="00433579" w:rsidRPr="0066263B">
        <w:rPr>
          <w:rFonts w:ascii="Times New Roman" w:eastAsia="TimesNewRomanPSMT" w:hAnsi="Times New Roman" w:cs="Times New Roman"/>
          <w:sz w:val="24"/>
          <w:szCs w:val="24"/>
        </w:rPr>
        <w:t>2</w:t>
      </w:r>
      <w:r w:rsidR="00EB18F4" w:rsidRPr="0066263B">
        <w:rPr>
          <w:rFonts w:ascii="Times New Roman" w:eastAsia="TimesNewRomanPSMT" w:hAnsi="Times New Roman" w:cs="Times New Roman"/>
          <w:sz w:val="24"/>
          <w:szCs w:val="24"/>
        </w:rPr>
        <w:t>1</w:t>
      </w:r>
      <w:r w:rsidRPr="0066263B">
        <w:rPr>
          <w:rFonts w:ascii="Times New Roman" w:eastAsia="TimesNewRomanPSMT" w:hAnsi="Times New Roman" w:cs="Times New Roman"/>
          <w:sz w:val="24"/>
          <w:szCs w:val="24"/>
        </w:rPr>
        <w:t xml:space="preserve"> </w:t>
      </w:r>
      <w:r w:rsidRPr="0066263B">
        <w:rPr>
          <w:rFonts w:ascii="Times New Roman" w:eastAsia="Times New Roman" w:hAnsi="Times New Roman" w:cs="Times New Roman"/>
          <w:sz w:val="24"/>
          <w:szCs w:val="24"/>
          <w:lang w:eastAsia="ru-RU"/>
        </w:rPr>
        <w:t>году отобрано и проанализировано</w:t>
      </w:r>
      <w:r w:rsidR="0040523B" w:rsidRPr="0066263B">
        <w:rPr>
          <w:rFonts w:ascii="Times New Roman" w:eastAsia="Times New Roman" w:hAnsi="Times New Roman" w:cs="Times New Roman"/>
          <w:sz w:val="24"/>
          <w:szCs w:val="24"/>
          <w:lang w:eastAsia="ru-RU"/>
        </w:rPr>
        <w:t xml:space="preserve"> 6 720 проб</w:t>
      </w:r>
      <w:r w:rsidR="000274B7" w:rsidRPr="0066263B">
        <w:rPr>
          <w:rFonts w:ascii="Times New Roman" w:eastAsia="Times New Roman" w:hAnsi="Times New Roman" w:cs="Times New Roman"/>
          <w:sz w:val="24"/>
          <w:szCs w:val="24"/>
          <w:lang w:eastAsia="ru-RU"/>
        </w:rPr>
        <w:t xml:space="preserve"> воды из источников питьевого централизованного водоснабжения</w:t>
      </w:r>
      <w:r w:rsidR="0040523B" w:rsidRPr="0066263B">
        <w:rPr>
          <w:rFonts w:ascii="Times New Roman" w:eastAsia="Times New Roman" w:hAnsi="Times New Roman" w:cs="Times New Roman"/>
          <w:sz w:val="24"/>
          <w:szCs w:val="24"/>
          <w:lang w:eastAsia="ru-RU"/>
        </w:rPr>
        <w:t>, из которых:</w:t>
      </w:r>
    </w:p>
    <w:p w:rsidR="00324483" w:rsidRPr="0066263B" w:rsidRDefault="00433579"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iCs/>
          <w:sz w:val="24"/>
          <w:szCs w:val="24"/>
          <w:lang w:eastAsia="ru-RU"/>
        </w:rPr>
        <w:t>2 </w:t>
      </w:r>
      <w:r w:rsidR="00765A82" w:rsidRPr="0066263B">
        <w:rPr>
          <w:rFonts w:ascii="Times New Roman" w:eastAsia="Times New Roman" w:hAnsi="Times New Roman" w:cs="Times New Roman"/>
          <w:iCs/>
          <w:sz w:val="24"/>
          <w:szCs w:val="24"/>
          <w:lang w:eastAsia="ru-RU"/>
        </w:rPr>
        <w:t>528</w:t>
      </w:r>
      <w:r w:rsidRPr="0066263B">
        <w:rPr>
          <w:rFonts w:ascii="Times New Roman" w:eastAsia="Times New Roman" w:hAnsi="Times New Roman" w:cs="Times New Roman"/>
          <w:iCs/>
          <w:sz w:val="24"/>
          <w:szCs w:val="24"/>
          <w:lang w:eastAsia="ru-RU"/>
        </w:rPr>
        <w:t xml:space="preserve"> </w:t>
      </w:r>
      <w:r w:rsidRPr="0066263B">
        <w:rPr>
          <w:rFonts w:ascii="Times New Roman" w:eastAsia="Times New Roman" w:hAnsi="Times New Roman" w:cs="Times New Roman"/>
          <w:sz w:val="24"/>
          <w:szCs w:val="24"/>
          <w:lang w:eastAsia="ru-RU"/>
        </w:rPr>
        <w:t xml:space="preserve">проб воды по санитарно-химическим показателям, из них </w:t>
      </w:r>
      <w:r w:rsidR="00D119EA" w:rsidRPr="0066263B">
        <w:rPr>
          <w:rFonts w:ascii="Times New Roman" w:eastAsia="Times New Roman" w:hAnsi="Times New Roman" w:cs="Times New Roman"/>
          <w:sz w:val="24"/>
          <w:szCs w:val="24"/>
          <w:lang w:eastAsia="ru-RU"/>
        </w:rPr>
        <w:t>429</w:t>
      </w:r>
      <w:r w:rsidRPr="0066263B">
        <w:rPr>
          <w:rFonts w:ascii="Times New Roman" w:eastAsia="Times New Roman" w:hAnsi="Times New Roman" w:cs="Times New Roman"/>
          <w:sz w:val="24"/>
          <w:szCs w:val="24"/>
          <w:lang w:eastAsia="ru-RU"/>
        </w:rPr>
        <w:t xml:space="preserve"> проб не соответствовали </w:t>
      </w:r>
      <w:r w:rsidR="00D119EA" w:rsidRPr="0066263B">
        <w:rPr>
          <w:rFonts w:ascii="Times New Roman" w:eastAsia="Times New Roman" w:hAnsi="Times New Roman" w:cs="Times New Roman"/>
          <w:sz w:val="24"/>
          <w:szCs w:val="24"/>
          <w:lang w:eastAsia="ru-RU"/>
        </w:rPr>
        <w:t>нормативным</w:t>
      </w:r>
      <w:r w:rsidRPr="0066263B">
        <w:rPr>
          <w:rFonts w:ascii="Times New Roman" w:eastAsia="Times New Roman" w:hAnsi="Times New Roman" w:cs="Times New Roman"/>
          <w:sz w:val="24"/>
          <w:szCs w:val="24"/>
          <w:lang w:eastAsia="ru-RU"/>
        </w:rPr>
        <w:t xml:space="preserve"> требованиям, что составило </w:t>
      </w:r>
      <w:r w:rsidR="00765A82" w:rsidRPr="0066263B">
        <w:rPr>
          <w:rFonts w:ascii="Times New Roman" w:eastAsia="Times New Roman" w:hAnsi="Times New Roman" w:cs="Times New Roman"/>
          <w:sz w:val="24"/>
          <w:szCs w:val="24"/>
          <w:lang w:eastAsia="ru-RU"/>
        </w:rPr>
        <w:t>1</w:t>
      </w:r>
      <w:r w:rsidR="00D119EA" w:rsidRPr="0066263B">
        <w:rPr>
          <w:rFonts w:ascii="Times New Roman" w:eastAsia="Times New Roman" w:hAnsi="Times New Roman" w:cs="Times New Roman"/>
          <w:sz w:val="24"/>
          <w:szCs w:val="24"/>
          <w:lang w:eastAsia="ru-RU"/>
        </w:rPr>
        <w:t>6</w:t>
      </w:r>
      <w:r w:rsidR="00765A82"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 (</w:t>
      </w:r>
      <w:r w:rsidR="00765A82" w:rsidRPr="0066263B">
        <w:rPr>
          <w:rFonts w:ascii="Times New Roman" w:eastAsia="Times New Roman" w:hAnsi="Times New Roman" w:cs="Times New Roman"/>
          <w:sz w:val="24"/>
          <w:szCs w:val="24"/>
          <w:lang w:eastAsia="ru-RU"/>
        </w:rPr>
        <w:t xml:space="preserve">2020 – 14,0%; </w:t>
      </w:r>
      <w:r w:rsidRPr="0066263B">
        <w:rPr>
          <w:rFonts w:ascii="Times New Roman" w:eastAsia="Times New Roman" w:hAnsi="Times New Roman" w:cs="Times New Roman"/>
          <w:sz w:val="24"/>
          <w:szCs w:val="24"/>
          <w:lang w:eastAsia="ru-RU"/>
        </w:rPr>
        <w:t xml:space="preserve">2019 – </w:t>
      </w:r>
      <w:r w:rsidR="00457B61" w:rsidRPr="0066263B">
        <w:rPr>
          <w:rFonts w:ascii="Times New Roman" w:eastAsia="Times New Roman" w:hAnsi="Times New Roman" w:cs="Times New Roman"/>
          <w:sz w:val="24"/>
          <w:szCs w:val="24"/>
          <w:lang w:eastAsia="ru-RU"/>
        </w:rPr>
        <w:t>18,9</w:t>
      </w:r>
      <w:r w:rsidR="00324483"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w:t>
      </w:r>
      <w:r w:rsidR="00324483" w:rsidRPr="0066263B">
        <w:rPr>
          <w:rFonts w:ascii="Times New Roman" w:eastAsia="Times New Roman" w:hAnsi="Times New Roman" w:cs="Times New Roman"/>
          <w:sz w:val="24"/>
          <w:szCs w:val="24"/>
          <w:lang w:eastAsia="ru-RU"/>
        </w:rPr>
        <w:t xml:space="preserve"> 2018 – 19,2%</w:t>
      </w:r>
      <w:r w:rsidR="007C12CD" w:rsidRPr="0066263B">
        <w:rPr>
          <w:rFonts w:ascii="Times New Roman" w:eastAsia="Times New Roman" w:hAnsi="Times New Roman" w:cs="Times New Roman"/>
          <w:sz w:val="24"/>
          <w:szCs w:val="24"/>
          <w:lang w:eastAsia="ru-RU"/>
        </w:rPr>
        <w:t>; РФ 2020 – 26,06%</w:t>
      </w:r>
      <w:r w:rsidR="00324483" w:rsidRPr="0066263B">
        <w:rPr>
          <w:rFonts w:ascii="Times New Roman" w:eastAsia="Times New Roman" w:hAnsi="Times New Roman" w:cs="Times New Roman"/>
          <w:sz w:val="24"/>
          <w:szCs w:val="24"/>
          <w:lang w:eastAsia="ru-RU"/>
        </w:rPr>
        <w:t>);</w:t>
      </w:r>
    </w:p>
    <w:p w:rsidR="00324483" w:rsidRPr="0066263B" w:rsidRDefault="00433579"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iCs/>
          <w:sz w:val="24"/>
          <w:szCs w:val="24"/>
          <w:lang w:eastAsia="ru-RU"/>
        </w:rPr>
        <w:t>2 </w:t>
      </w:r>
      <w:r w:rsidR="00765A82" w:rsidRPr="0066263B">
        <w:rPr>
          <w:rFonts w:ascii="Times New Roman" w:eastAsia="Times New Roman" w:hAnsi="Times New Roman" w:cs="Times New Roman"/>
          <w:iCs/>
          <w:sz w:val="24"/>
          <w:szCs w:val="24"/>
          <w:lang w:eastAsia="ru-RU"/>
        </w:rPr>
        <w:t>357</w:t>
      </w:r>
      <w:r w:rsidRPr="0066263B">
        <w:rPr>
          <w:rFonts w:ascii="Times New Roman" w:eastAsia="Times New Roman" w:hAnsi="Times New Roman" w:cs="Times New Roman"/>
          <w:iCs/>
          <w:sz w:val="24"/>
          <w:szCs w:val="24"/>
          <w:lang w:eastAsia="ru-RU"/>
        </w:rPr>
        <w:t xml:space="preserve"> проб по микробиологическим показателям, из них </w:t>
      </w:r>
      <w:r w:rsidR="00765A82" w:rsidRPr="0066263B">
        <w:rPr>
          <w:rFonts w:ascii="Times New Roman" w:eastAsia="Times New Roman" w:hAnsi="Times New Roman" w:cs="Times New Roman"/>
          <w:iCs/>
          <w:sz w:val="24"/>
          <w:szCs w:val="24"/>
          <w:lang w:eastAsia="ru-RU"/>
        </w:rPr>
        <w:t>44</w:t>
      </w:r>
      <w:r w:rsidRPr="0066263B">
        <w:rPr>
          <w:rFonts w:ascii="Times New Roman" w:eastAsia="Times New Roman" w:hAnsi="Times New Roman" w:cs="Times New Roman"/>
          <w:iCs/>
          <w:sz w:val="24"/>
          <w:szCs w:val="24"/>
          <w:lang w:eastAsia="ru-RU"/>
        </w:rPr>
        <w:t xml:space="preserve"> проб</w:t>
      </w:r>
      <w:r w:rsidR="00765A82" w:rsidRPr="0066263B">
        <w:rPr>
          <w:rFonts w:ascii="Times New Roman" w:eastAsia="Times New Roman" w:hAnsi="Times New Roman" w:cs="Times New Roman"/>
          <w:iCs/>
          <w:sz w:val="24"/>
          <w:szCs w:val="24"/>
          <w:lang w:eastAsia="ru-RU"/>
        </w:rPr>
        <w:t>ы</w:t>
      </w:r>
      <w:r w:rsidRPr="0066263B">
        <w:rPr>
          <w:rFonts w:ascii="Times New Roman" w:eastAsia="Times New Roman" w:hAnsi="Times New Roman" w:cs="Times New Roman"/>
          <w:iCs/>
          <w:sz w:val="24"/>
          <w:szCs w:val="24"/>
          <w:lang w:eastAsia="ru-RU"/>
        </w:rPr>
        <w:t xml:space="preserve"> не соответствовали нормативным требованиям или 1,</w:t>
      </w:r>
      <w:r w:rsidR="00765A82" w:rsidRPr="0066263B">
        <w:rPr>
          <w:rFonts w:ascii="Times New Roman" w:eastAsia="Times New Roman" w:hAnsi="Times New Roman" w:cs="Times New Roman"/>
          <w:iCs/>
          <w:sz w:val="24"/>
          <w:szCs w:val="24"/>
          <w:lang w:eastAsia="ru-RU"/>
        </w:rPr>
        <w:t>9</w:t>
      </w:r>
      <w:r w:rsidRPr="0066263B">
        <w:rPr>
          <w:rFonts w:ascii="Times New Roman" w:eastAsia="Times New Roman" w:hAnsi="Times New Roman" w:cs="Times New Roman"/>
          <w:iCs/>
          <w:sz w:val="24"/>
          <w:szCs w:val="24"/>
          <w:lang w:eastAsia="ru-RU"/>
        </w:rPr>
        <w:t>%</w:t>
      </w:r>
      <w:r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w:t>
      </w:r>
      <w:r w:rsidR="00765A82" w:rsidRPr="0066263B">
        <w:rPr>
          <w:rFonts w:ascii="Times New Roman" w:eastAsia="Times New Roman" w:hAnsi="Times New Roman" w:cs="Times New Roman"/>
          <w:sz w:val="24"/>
          <w:szCs w:val="24"/>
          <w:lang w:eastAsia="ru-RU"/>
        </w:rPr>
        <w:t xml:space="preserve">2020 – </w:t>
      </w:r>
      <w:r w:rsidR="00765A82" w:rsidRPr="0066263B">
        <w:rPr>
          <w:rFonts w:ascii="Times New Roman" w:eastAsia="Times New Roman" w:hAnsi="Times New Roman" w:cs="Times New Roman"/>
          <w:iCs/>
          <w:sz w:val="24"/>
          <w:szCs w:val="24"/>
          <w:lang w:eastAsia="ru-RU"/>
        </w:rPr>
        <w:t>1,3%</w:t>
      </w:r>
      <w:r w:rsidR="00765A82"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2019 – 1,8%; </w:t>
      </w:r>
      <w:r w:rsidR="00324483" w:rsidRPr="0066263B">
        <w:rPr>
          <w:rFonts w:ascii="Times New Roman" w:eastAsia="Times New Roman" w:hAnsi="Times New Roman" w:cs="Times New Roman"/>
          <w:sz w:val="24"/>
          <w:szCs w:val="24"/>
          <w:lang w:eastAsia="ru-RU"/>
        </w:rPr>
        <w:t>2018 – 2,2%</w:t>
      </w:r>
      <w:r w:rsidR="007C12CD" w:rsidRPr="0066263B">
        <w:rPr>
          <w:rFonts w:ascii="Times New Roman" w:eastAsia="Times New Roman" w:hAnsi="Times New Roman" w:cs="Times New Roman"/>
          <w:sz w:val="24"/>
          <w:szCs w:val="24"/>
          <w:lang w:eastAsia="ru-RU"/>
        </w:rPr>
        <w:t>; РФ 2020 – 3,86%</w:t>
      </w:r>
      <w:r w:rsidR="00324483" w:rsidRPr="0066263B">
        <w:rPr>
          <w:rFonts w:ascii="Times New Roman" w:eastAsia="Times New Roman" w:hAnsi="Times New Roman" w:cs="Times New Roman"/>
          <w:sz w:val="24"/>
          <w:szCs w:val="24"/>
          <w:lang w:eastAsia="ru-RU"/>
        </w:rPr>
        <w:t>);</w:t>
      </w:r>
    </w:p>
    <w:p w:rsidR="00324483" w:rsidRPr="0066263B" w:rsidRDefault="00765A82"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44 пробы по</w:t>
      </w:r>
      <w:r w:rsidR="00324483" w:rsidRPr="0066263B">
        <w:rPr>
          <w:rFonts w:ascii="Times New Roman" w:eastAsia="Times New Roman" w:hAnsi="Times New Roman" w:cs="Times New Roman"/>
          <w:sz w:val="24"/>
          <w:szCs w:val="24"/>
          <w:lang w:eastAsia="ru-RU"/>
        </w:rPr>
        <w:t xml:space="preserve"> паразитологически</w:t>
      </w:r>
      <w:r w:rsidRPr="0066263B">
        <w:rPr>
          <w:rFonts w:ascii="Times New Roman" w:eastAsia="Times New Roman" w:hAnsi="Times New Roman" w:cs="Times New Roman"/>
          <w:sz w:val="24"/>
          <w:szCs w:val="24"/>
          <w:lang w:eastAsia="ru-RU"/>
        </w:rPr>
        <w:t>м</w:t>
      </w:r>
      <w:r w:rsidR="00324483" w:rsidRPr="0066263B">
        <w:rPr>
          <w:rFonts w:ascii="Times New Roman" w:eastAsia="Times New Roman" w:hAnsi="Times New Roman" w:cs="Times New Roman"/>
          <w:sz w:val="24"/>
          <w:szCs w:val="24"/>
          <w:lang w:eastAsia="ru-RU"/>
        </w:rPr>
        <w:t xml:space="preserve"> показател</w:t>
      </w:r>
      <w:r w:rsidRPr="0066263B">
        <w:rPr>
          <w:rFonts w:ascii="Times New Roman" w:eastAsia="Times New Roman" w:hAnsi="Times New Roman" w:cs="Times New Roman"/>
          <w:sz w:val="24"/>
          <w:szCs w:val="24"/>
          <w:lang w:eastAsia="ru-RU"/>
        </w:rPr>
        <w:t>ям</w:t>
      </w:r>
      <w:r w:rsidR="00EB18F4" w:rsidRPr="0066263B">
        <w:rPr>
          <w:rFonts w:ascii="Times New Roman" w:eastAsia="Times New Roman" w:hAnsi="Times New Roman" w:cs="Times New Roman"/>
          <w:sz w:val="24"/>
          <w:szCs w:val="24"/>
          <w:lang w:eastAsia="ru-RU"/>
        </w:rPr>
        <w:t>, несоответствий не выявлено</w:t>
      </w:r>
      <w:r w:rsidR="00433579"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w:t>
      </w:r>
      <w:r w:rsidR="00433579" w:rsidRPr="0066263B">
        <w:rPr>
          <w:rFonts w:ascii="Times New Roman" w:eastAsia="Times New Roman" w:hAnsi="Times New Roman" w:cs="Times New Roman"/>
          <w:sz w:val="24"/>
          <w:szCs w:val="24"/>
          <w:lang w:eastAsia="ru-RU"/>
        </w:rPr>
        <w:t>2018</w:t>
      </w:r>
      <w:r w:rsidR="00EB18F4" w:rsidRPr="0066263B">
        <w:rPr>
          <w:rFonts w:ascii="Times New Roman" w:eastAsia="Times New Roman" w:hAnsi="Times New Roman" w:cs="Times New Roman"/>
          <w:sz w:val="24"/>
          <w:szCs w:val="24"/>
          <w:lang w:eastAsia="ru-RU"/>
        </w:rPr>
        <w:t>-2020</w:t>
      </w:r>
      <w:r w:rsidR="00D119EA" w:rsidRPr="0066263B">
        <w:rPr>
          <w:rFonts w:ascii="Times New Roman" w:eastAsia="Times New Roman" w:hAnsi="Times New Roman" w:cs="Times New Roman"/>
          <w:sz w:val="24"/>
          <w:szCs w:val="24"/>
          <w:lang w:eastAsia="ru-RU"/>
        </w:rPr>
        <w:t> г.г.</w:t>
      </w:r>
      <w:r w:rsidR="00324483" w:rsidRPr="0066263B">
        <w:rPr>
          <w:rFonts w:ascii="Times New Roman" w:eastAsia="Times New Roman" w:hAnsi="Times New Roman" w:cs="Times New Roman"/>
          <w:sz w:val="24"/>
          <w:szCs w:val="24"/>
          <w:lang w:eastAsia="ru-RU"/>
        </w:rPr>
        <w:t xml:space="preserve"> </w:t>
      </w:r>
      <w:r w:rsidR="00433579"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несоответствий не выявлено) (рис. 15).</w:t>
      </w:r>
    </w:p>
    <w:p w:rsidR="00C838C3" w:rsidRPr="0066263B" w:rsidRDefault="00C838C3">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C838C3" w:rsidRPr="0066263B" w:rsidRDefault="00C838C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520906" cy="2984739"/>
            <wp:effectExtent l="0" t="0" r="0" b="0"/>
            <wp:docPr id="148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4483" w:rsidRPr="0066263B" w:rsidRDefault="00324483"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15</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Доля проб воды из источников централизованного водоснабжения</w:t>
      </w:r>
      <w:r w:rsidRPr="0066263B">
        <w:rPr>
          <w:rFonts w:ascii="Times New Roman" w:eastAsia="Times New Roman" w:hAnsi="Times New Roman" w:cs="Times New Roman"/>
          <w:lang w:eastAsia="ru-RU"/>
        </w:rPr>
        <w:br/>
        <w:t>не соответствующих санитарным требованиям, %</w:t>
      </w:r>
    </w:p>
    <w:p w:rsidR="00324483" w:rsidRPr="0066263B" w:rsidRDefault="00324483" w:rsidP="00324483">
      <w:pPr>
        <w:spacing w:before="0" w:after="0"/>
        <w:ind w:firstLine="709"/>
        <w:rPr>
          <w:rFonts w:ascii="Times New Roman" w:eastAsia="Times New Roman" w:hAnsi="Times New Roman" w:cs="Times New Roman"/>
          <w:iCs/>
          <w:sz w:val="24"/>
          <w:szCs w:val="24"/>
          <w:lang w:eastAsia="ru-RU"/>
        </w:rPr>
      </w:pPr>
    </w:p>
    <w:p w:rsidR="00C838C3" w:rsidRPr="0066263B" w:rsidRDefault="00C838C3" w:rsidP="00324483">
      <w:pPr>
        <w:spacing w:before="0" w:after="0"/>
        <w:ind w:firstLine="709"/>
        <w:rPr>
          <w:rFonts w:ascii="Times New Roman" w:eastAsia="Times New Roman" w:hAnsi="Times New Roman" w:cs="Times New Roman"/>
          <w:iCs/>
          <w:sz w:val="24"/>
          <w:szCs w:val="24"/>
          <w:lang w:eastAsia="ru-RU"/>
        </w:rPr>
      </w:pPr>
    </w:p>
    <w:p w:rsidR="003702B6" w:rsidRPr="0066263B" w:rsidRDefault="003702B6" w:rsidP="00324483">
      <w:pPr>
        <w:spacing w:before="0" w:after="0"/>
        <w:ind w:firstLine="709"/>
        <w:rPr>
          <w:rFonts w:ascii="Times New Roman" w:eastAsia="Times New Roman" w:hAnsi="Times New Roman" w:cs="Times New Roman"/>
          <w:iCs/>
          <w:sz w:val="24"/>
          <w:szCs w:val="24"/>
          <w:lang w:eastAsia="ru-RU"/>
        </w:rPr>
      </w:pPr>
    </w:p>
    <w:p w:rsidR="003702B6" w:rsidRPr="0066263B" w:rsidRDefault="003702B6" w:rsidP="00324483">
      <w:pPr>
        <w:spacing w:before="0" w:after="0"/>
        <w:ind w:firstLine="709"/>
        <w:rPr>
          <w:rFonts w:ascii="Times New Roman" w:eastAsia="Times New Roman" w:hAnsi="Times New Roman" w:cs="Times New Roman"/>
          <w:iCs/>
          <w:sz w:val="24"/>
          <w:szCs w:val="24"/>
          <w:lang w:eastAsia="ru-RU"/>
        </w:rPr>
      </w:pPr>
    </w:p>
    <w:p w:rsidR="003702B6" w:rsidRPr="0066263B" w:rsidRDefault="003702B6" w:rsidP="003702B6">
      <w:pPr>
        <w:spacing w:before="0" w:after="0"/>
        <w:jc w:val="center"/>
        <w:rPr>
          <w:rFonts w:ascii="Times New Roman" w:eastAsia="Times New Roman" w:hAnsi="Times New Roman" w:cs="Times New Roman"/>
          <w:iCs/>
          <w:sz w:val="24"/>
          <w:szCs w:val="24"/>
          <w:lang w:eastAsia="ru-RU"/>
        </w:rPr>
      </w:pPr>
      <w:r w:rsidRPr="0066263B">
        <w:rPr>
          <w:noProof/>
          <w:sz w:val="24"/>
          <w:szCs w:val="24"/>
          <w:lang w:eastAsia="ru-RU"/>
        </w:rPr>
        <w:drawing>
          <wp:inline distT="0" distB="0" distL="0" distR="0">
            <wp:extent cx="4507230" cy="3757295"/>
            <wp:effectExtent l="19050" t="0" r="7620" b="0"/>
            <wp:docPr id="2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srcRect/>
                    <a:stretch>
                      <a:fillRect/>
                    </a:stretch>
                  </pic:blipFill>
                  <pic:spPr bwMode="auto">
                    <a:xfrm>
                      <a:off x="0" y="0"/>
                      <a:ext cx="4507230" cy="3757295"/>
                    </a:xfrm>
                    <a:prstGeom prst="rect">
                      <a:avLst/>
                    </a:prstGeom>
                    <a:noFill/>
                    <a:ln w="9525">
                      <a:noFill/>
                      <a:miter lim="800000"/>
                      <a:headEnd/>
                      <a:tailEnd/>
                    </a:ln>
                  </pic:spPr>
                </pic:pic>
              </a:graphicData>
            </a:graphic>
          </wp:inline>
        </w:drawing>
      </w:r>
    </w:p>
    <w:p w:rsidR="00B47DEA" w:rsidRPr="0066263B" w:rsidRDefault="00B47DEA" w:rsidP="00324483">
      <w:pPr>
        <w:spacing w:before="0" w:after="0"/>
        <w:jc w:val="center"/>
        <w:rPr>
          <w:rFonts w:ascii="Times New Roman" w:eastAsia="Times New Roman" w:hAnsi="Times New Roman" w:cs="Times New Roman"/>
          <w:noProof/>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16</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источников централизованного водоснабжения с превышением гигиенических нормативов</w:t>
      </w:r>
      <w:r w:rsidRPr="0066263B">
        <w:rPr>
          <w:rFonts w:ascii="Times New Roman" w:eastAsia="Times New Roman" w:hAnsi="Times New Roman" w:cs="Times New Roman"/>
          <w:lang w:eastAsia="ru-RU"/>
        </w:rPr>
        <w:br/>
        <w:t>по санитарно-химическим показателям</w:t>
      </w:r>
    </w:p>
    <w:p w:rsidR="00324483" w:rsidRPr="0066263B" w:rsidRDefault="00324483" w:rsidP="00324483">
      <w:pPr>
        <w:spacing w:before="0" w:after="0"/>
        <w:jc w:val="center"/>
        <w:rPr>
          <w:rFonts w:ascii="Times New Roman" w:eastAsia="Times New Roman" w:hAnsi="Times New Roman" w:cs="Times New Roman"/>
          <w:lang w:eastAsia="ru-RU"/>
        </w:rPr>
      </w:pPr>
    </w:p>
    <w:p w:rsidR="00FD7B48" w:rsidRPr="0066263B" w:rsidRDefault="00FD7B48" w:rsidP="00324483">
      <w:pPr>
        <w:spacing w:before="0" w:after="0"/>
        <w:jc w:val="center"/>
        <w:rPr>
          <w:rFonts w:ascii="Times New Roman" w:eastAsia="Times New Roman" w:hAnsi="Times New Roman" w:cs="Times New Roman"/>
          <w:lang w:eastAsia="ru-RU"/>
        </w:rPr>
      </w:pPr>
    </w:p>
    <w:p w:rsidR="00B47DEA" w:rsidRPr="0066263B" w:rsidRDefault="00B47DEA" w:rsidP="00324483">
      <w:pPr>
        <w:spacing w:before="0" w:after="0"/>
        <w:jc w:val="center"/>
        <w:rPr>
          <w:rFonts w:ascii="Times New Roman" w:eastAsia="Times New Roman" w:hAnsi="Times New Roman" w:cs="Times New Roman"/>
          <w:lang w:eastAsia="ru-RU"/>
        </w:rPr>
      </w:pPr>
    </w:p>
    <w:p w:rsidR="00324483" w:rsidRPr="0066263B" w:rsidRDefault="003702B6" w:rsidP="00324483">
      <w:pPr>
        <w:spacing w:before="0" w:after="0"/>
        <w:jc w:val="center"/>
        <w:rPr>
          <w:rFonts w:ascii="Times New Roman" w:eastAsia="Times New Roman" w:hAnsi="Times New Roman" w:cs="Times New Roman"/>
          <w:lang w:eastAsia="ru-RU"/>
        </w:rPr>
      </w:pPr>
      <w:r w:rsidRPr="0066263B">
        <w:rPr>
          <w:noProof/>
          <w:lang w:eastAsia="ru-RU"/>
        </w:rPr>
        <w:drawing>
          <wp:inline distT="0" distB="0" distL="0" distR="0">
            <wp:extent cx="4441580" cy="3841204"/>
            <wp:effectExtent l="19050" t="0" r="0" b="0"/>
            <wp:docPr id="2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4" cstate="print"/>
                    <a:srcRect/>
                    <a:stretch>
                      <a:fillRect/>
                    </a:stretch>
                  </pic:blipFill>
                  <pic:spPr bwMode="auto">
                    <a:xfrm>
                      <a:off x="0" y="0"/>
                      <a:ext cx="4439846" cy="3839704"/>
                    </a:xfrm>
                    <a:prstGeom prst="rect">
                      <a:avLst/>
                    </a:prstGeom>
                    <a:noFill/>
                    <a:ln w="9525">
                      <a:noFill/>
                      <a:miter lim="800000"/>
                      <a:headEnd/>
                      <a:tailEnd/>
                    </a:ln>
                  </pic:spPr>
                </pic:pic>
              </a:graphicData>
            </a:graphic>
          </wp:inline>
        </w:drawing>
      </w:r>
    </w:p>
    <w:p w:rsidR="00B47DEA" w:rsidRPr="0066263B" w:rsidRDefault="00B47DEA" w:rsidP="00324483">
      <w:pPr>
        <w:spacing w:before="0" w:after="0"/>
        <w:jc w:val="center"/>
        <w:rPr>
          <w:rFonts w:ascii="Times New Roman" w:eastAsia="Times New Roman" w:hAnsi="Times New Roman" w:cs="Times New Roman"/>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17</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источников централизованного водоснабжения с превышением гигиенических нормативов</w:t>
      </w:r>
      <w:r w:rsidRPr="0066263B">
        <w:rPr>
          <w:rFonts w:ascii="Times New Roman" w:eastAsia="Times New Roman" w:hAnsi="Times New Roman" w:cs="Times New Roman"/>
          <w:lang w:eastAsia="ru-RU"/>
        </w:rPr>
        <w:br/>
        <w:t>по микробиологическим показателям</w:t>
      </w:r>
    </w:p>
    <w:p w:rsidR="00C838C3" w:rsidRPr="0066263B" w:rsidRDefault="00C838C3" w:rsidP="00C838C3">
      <w:pPr>
        <w:spacing w:before="0" w:after="0"/>
        <w:ind w:firstLine="709"/>
        <w:rPr>
          <w:rFonts w:ascii="Times New Roman" w:eastAsia="Times New Roman" w:hAnsi="Times New Roman" w:cs="Times New Roman"/>
          <w:iCs/>
          <w:sz w:val="24"/>
          <w:szCs w:val="24"/>
          <w:lang w:eastAsia="ru-RU"/>
        </w:rPr>
      </w:pPr>
    </w:p>
    <w:p w:rsidR="00C838C3" w:rsidRPr="0066263B" w:rsidRDefault="00C838C3" w:rsidP="00C838C3">
      <w:pPr>
        <w:spacing w:before="0" w:after="0"/>
        <w:ind w:firstLine="709"/>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iCs/>
          <w:sz w:val="24"/>
          <w:szCs w:val="24"/>
          <w:lang w:eastAsia="ru-RU"/>
        </w:rPr>
        <w:t>В 202</w:t>
      </w:r>
      <w:r w:rsidR="00D119EA" w:rsidRPr="0066263B">
        <w:rPr>
          <w:rFonts w:ascii="Times New Roman" w:eastAsia="Times New Roman" w:hAnsi="Times New Roman" w:cs="Times New Roman"/>
          <w:iCs/>
          <w:sz w:val="24"/>
          <w:szCs w:val="24"/>
          <w:lang w:eastAsia="ru-RU"/>
        </w:rPr>
        <w:t>1</w:t>
      </w:r>
      <w:r w:rsidRPr="0066263B">
        <w:rPr>
          <w:rFonts w:ascii="Times New Roman" w:eastAsia="Times New Roman" w:hAnsi="Times New Roman" w:cs="Times New Roman"/>
          <w:iCs/>
          <w:sz w:val="24"/>
          <w:szCs w:val="24"/>
          <w:lang w:eastAsia="ru-RU"/>
        </w:rPr>
        <w:t xml:space="preserve"> году наблюдается </w:t>
      </w:r>
      <w:r w:rsidR="00D119EA" w:rsidRPr="0066263B">
        <w:rPr>
          <w:rFonts w:ascii="Times New Roman" w:eastAsia="Times New Roman" w:hAnsi="Times New Roman" w:cs="Times New Roman"/>
          <w:iCs/>
          <w:sz w:val="24"/>
          <w:szCs w:val="24"/>
          <w:lang w:eastAsia="ru-RU"/>
        </w:rPr>
        <w:t>некоторое</w:t>
      </w:r>
      <w:r w:rsidRPr="0066263B">
        <w:rPr>
          <w:rFonts w:ascii="Times New Roman" w:eastAsia="Times New Roman" w:hAnsi="Times New Roman" w:cs="Times New Roman"/>
          <w:iCs/>
          <w:sz w:val="24"/>
          <w:szCs w:val="24"/>
          <w:lang w:eastAsia="ru-RU"/>
        </w:rPr>
        <w:t xml:space="preserve"> </w:t>
      </w:r>
      <w:r w:rsidR="00D119EA" w:rsidRPr="0066263B">
        <w:rPr>
          <w:rFonts w:ascii="Times New Roman" w:eastAsia="Times New Roman" w:hAnsi="Times New Roman" w:cs="Times New Roman"/>
          <w:iCs/>
          <w:sz w:val="24"/>
          <w:szCs w:val="24"/>
          <w:lang w:eastAsia="ru-RU"/>
        </w:rPr>
        <w:t>ухудшение</w:t>
      </w:r>
      <w:r w:rsidRPr="0066263B">
        <w:rPr>
          <w:rFonts w:ascii="Times New Roman" w:eastAsia="Times New Roman" w:hAnsi="Times New Roman" w:cs="Times New Roman"/>
          <w:iCs/>
          <w:sz w:val="24"/>
          <w:szCs w:val="24"/>
          <w:lang w:eastAsia="ru-RU"/>
        </w:rPr>
        <w:t xml:space="preserve"> </w:t>
      </w:r>
      <w:r w:rsidR="00D119EA" w:rsidRPr="0066263B">
        <w:rPr>
          <w:rFonts w:ascii="Times New Roman" w:eastAsia="Times New Roman" w:hAnsi="Times New Roman" w:cs="Times New Roman"/>
          <w:iCs/>
          <w:sz w:val="24"/>
          <w:szCs w:val="24"/>
          <w:lang w:eastAsia="ru-RU"/>
        </w:rPr>
        <w:t>качества</w:t>
      </w:r>
      <w:r w:rsidRPr="0066263B">
        <w:rPr>
          <w:rFonts w:ascii="Times New Roman" w:eastAsia="Times New Roman" w:hAnsi="Times New Roman" w:cs="Times New Roman"/>
          <w:iCs/>
          <w:sz w:val="24"/>
          <w:szCs w:val="24"/>
          <w:lang w:eastAsia="ru-RU"/>
        </w:rPr>
        <w:t xml:space="preserve"> воды </w:t>
      </w:r>
      <w:r w:rsidR="00D119EA" w:rsidRPr="0066263B">
        <w:rPr>
          <w:rFonts w:ascii="Times New Roman" w:eastAsia="Times New Roman" w:hAnsi="Times New Roman" w:cs="Times New Roman"/>
          <w:iCs/>
          <w:sz w:val="24"/>
          <w:szCs w:val="24"/>
          <w:lang w:eastAsia="ru-RU"/>
        </w:rPr>
        <w:t>из</w:t>
      </w:r>
      <w:r w:rsidRPr="0066263B">
        <w:rPr>
          <w:rFonts w:ascii="Times New Roman" w:eastAsia="Times New Roman" w:hAnsi="Times New Roman" w:cs="Times New Roman"/>
          <w:iCs/>
          <w:sz w:val="24"/>
          <w:szCs w:val="24"/>
          <w:lang w:eastAsia="ru-RU"/>
        </w:rPr>
        <w:t xml:space="preserve"> источник</w:t>
      </w:r>
      <w:r w:rsidR="00D119EA" w:rsidRPr="0066263B">
        <w:rPr>
          <w:rFonts w:ascii="Times New Roman" w:eastAsia="Times New Roman" w:hAnsi="Times New Roman" w:cs="Times New Roman"/>
          <w:iCs/>
          <w:sz w:val="24"/>
          <w:szCs w:val="24"/>
          <w:lang w:eastAsia="ru-RU"/>
        </w:rPr>
        <w:t>ов</w:t>
      </w:r>
      <w:r w:rsidRPr="0066263B">
        <w:rPr>
          <w:rFonts w:ascii="Times New Roman" w:eastAsia="Times New Roman" w:hAnsi="Times New Roman" w:cs="Times New Roman"/>
          <w:iCs/>
          <w:sz w:val="24"/>
          <w:szCs w:val="24"/>
          <w:lang w:eastAsia="ru-RU"/>
        </w:rPr>
        <w:t xml:space="preserve"> централизованного водоснабжения, </w:t>
      </w:r>
      <w:r w:rsidR="00D119EA" w:rsidRPr="0066263B">
        <w:rPr>
          <w:rFonts w:ascii="Times New Roman" w:eastAsia="Times New Roman" w:hAnsi="Times New Roman" w:cs="Times New Roman"/>
          <w:iCs/>
          <w:sz w:val="24"/>
          <w:szCs w:val="24"/>
          <w:lang w:eastAsia="ru-RU"/>
        </w:rPr>
        <w:t>как</w:t>
      </w:r>
      <w:r w:rsidRPr="0066263B">
        <w:rPr>
          <w:rFonts w:ascii="Times New Roman" w:eastAsia="Times New Roman" w:hAnsi="Times New Roman" w:cs="Times New Roman"/>
          <w:iCs/>
          <w:sz w:val="24"/>
          <w:szCs w:val="24"/>
          <w:lang w:eastAsia="ru-RU"/>
        </w:rPr>
        <w:t xml:space="preserve"> по санитарно-химическим</w:t>
      </w:r>
      <w:r w:rsidR="000F49CF" w:rsidRPr="0066263B">
        <w:rPr>
          <w:rFonts w:ascii="Times New Roman" w:eastAsia="Times New Roman" w:hAnsi="Times New Roman" w:cs="Times New Roman"/>
          <w:iCs/>
          <w:sz w:val="24"/>
          <w:szCs w:val="24"/>
          <w:lang w:eastAsia="ru-RU"/>
        </w:rPr>
        <w:t>,</w:t>
      </w:r>
      <w:r w:rsidRPr="0066263B">
        <w:rPr>
          <w:rFonts w:ascii="Times New Roman" w:eastAsia="Times New Roman" w:hAnsi="Times New Roman" w:cs="Times New Roman"/>
          <w:iCs/>
          <w:sz w:val="24"/>
          <w:szCs w:val="24"/>
          <w:lang w:eastAsia="ru-RU"/>
        </w:rPr>
        <w:t xml:space="preserve"> </w:t>
      </w:r>
      <w:r w:rsidR="00D119EA" w:rsidRPr="0066263B">
        <w:rPr>
          <w:rFonts w:ascii="Times New Roman" w:eastAsia="Times New Roman" w:hAnsi="Times New Roman" w:cs="Times New Roman"/>
          <w:iCs/>
          <w:sz w:val="24"/>
          <w:szCs w:val="24"/>
          <w:lang w:eastAsia="ru-RU"/>
        </w:rPr>
        <w:t xml:space="preserve">так </w:t>
      </w:r>
      <w:r w:rsidRPr="0066263B">
        <w:rPr>
          <w:rFonts w:ascii="Times New Roman" w:eastAsia="Times New Roman" w:hAnsi="Times New Roman" w:cs="Times New Roman"/>
          <w:iCs/>
          <w:sz w:val="24"/>
          <w:szCs w:val="24"/>
          <w:lang w:eastAsia="ru-RU"/>
        </w:rPr>
        <w:t xml:space="preserve">и </w:t>
      </w:r>
      <w:r w:rsidR="00D119EA" w:rsidRPr="0066263B">
        <w:rPr>
          <w:rFonts w:ascii="Times New Roman" w:eastAsia="Times New Roman" w:hAnsi="Times New Roman" w:cs="Times New Roman"/>
          <w:iCs/>
          <w:sz w:val="24"/>
          <w:szCs w:val="24"/>
          <w:lang w:eastAsia="ru-RU"/>
        </w:rPr>
        <w:t xml:space="preserve">по </w:t>
      </w:r>
      <w:r w:rsidRPr="0066263B">
        <w:rPr>
          <w:rFonts w:ascii="Times New Roman" w:eastAsia="Times New Roman" w:hAnsi="Times New Roman" w:cs="Times New Roman"/>
          <w:iCs/>
          <w:sz w:val="24"/>
          <w:szCs w:val="24"/>
          <w:lang w:eastAsia="ru-RU"/>
        </w:rPr>
        <w:t>микробиологическим показателям.</w:t>
      </w:r>
    </w:p>
    <w:p w:rsidR="00C838C3" w:rsidRPr="0066263B" w:rsidRDefault="00C838C3" w:rsidP="00C838C3">
      <w:pPr>
        <w:spacing w:before="0" w:after="0"/>
        <w:ind w:firstLine="709"/>
        <w:rPr>
          <w:rFonts w:ascii="Times New Roman" w:eastAsia="Times New Roman" w:hAnsi="Times New Roman" w:cs="Times New Roman"/>
          <w:iCs/>
          <w:sz w:val="24"/>
          <w:szCs w:val="24"/>
          <w:lang w:eastAsia="ru-RU"/>
        </w:rPr>
      </w:pPr>
    </w:p>
    <w:p w:rsidR="00C838C3" w:rsidRPr="0066263B" w:rsidRDefault="00C838C3" w:rsidP="00C838C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w:t>
      </w:r>
      <w:r w:rsidR="006C34E2" w:rsidRPr="0066263B">
        <w:rPr>
          <w:rFonts w:ascii="Times New Roman" w:eastAsia="Calibri" w:hAnsi="Times New Roman" w:cs="Times New Roman"/>
        </w:rPr>
        <w:fldChar w:fldCharType="end"/>
      </w:r>
    </w:p>
    <w:p w:rsidR="00C838C3" w:rsidRPr="0066263B" w:rsidRDefault="00C838C3" w:rsidP="00C838C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 xml:space="preserve">Доля проб воды </w:t>
      </w:r>
      <w:r w:rsidR="007C12CD" w:rsidRPr="0066263B">
        <w:rPr>
          <w:rFonts w:ascii="Times New Roman" w:eastAsia="TimesNewRomanPS-BoldMT" w:hAnsi="Times New Roman" w:cs="Times New Roman"/>
          <w:b/>
          <w:bCs/>
        </w:rPr>
        <w:t>из источников</w:t>
      </w:r>
      <w:r w:rsidRPr="0066263B">
        <w:rPr>
          <w:rFonts w:ascii="Times New Roman" w:eastAsia="TimesNewRomanPS-BoldMT" w:hAnsi="Times New Roman" w:cs="Times New Roman"/>
          <w:b/>
          <w:bCs/>
        </w:rPr>
        <w:t xml:space="preserve"> централизованного водоснабжения,</w:t>
      </w:r>
      <w:r w:rsidR="007C12CD" w:rsidRPr="0066263B">
        <w:rPr>
          <w:rFonts w:ascii="Times New Roman" w:eastAsia="TimesNewRomanPS-BoldMT" w:hAnsi="Times New Roman" w:cs="Times New Roman"/>
          <w:b/>
          <w:bCs/>
        </w:rPr>
        <w:br/>
      </w:r>
      <w:r w:rsidRPr="0066263B">
        <w:rPr>
          <w:rFonts w:ascii="Times New Roman" w:eastAsia="TimesNewRomanPS-BoldMT" w:hAnsi="Times New Roman" w:cs="Times New Roman"/>
          <w:b/>
          <w:bCs/>
        </w:rPr>
        <w:t>не отвечающих гигиеническим нормативам, %</w:t>
      </w:r>
    </w:p>
    <w:p w:rsidR="00C838C3" w:rsidRPr="0066263B" w:rsidRDefault="00C838C3" w:rsidP="00C838C3">
      <w:pPr>
        <w:spacing w:before="0" w:after="0"/>
        <w:jc w:val="center"/>
        <w:rPr>
          <w:rFonts w:ascii="Times New Roman" w:eastAsia="TimesNewRomanPS-BoldMT" w:hAnsi="Times New Roman" w:cs="Times New Roman"/>
          <w:b/>
          <w:bC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27"/>
        <w:gridCol w:w="1052"/>
        <w:gridCol w:w="1052"/>
        <w:gridCol w:w="1052"/>
        <w:gridCol w:w="2889"/>
      </w:tblGrid>
      <w:tr w:rsidR="00792498" w:rsidRPr="0066263B" w:rsidTr="003563FA">
        <w:trPr>
          <w:trHeight w:val="279"/>
        </w:trPr>
        <w:tc>
          <w:tcPr>
            <w:tcW w:w="1668" w:type="pct"/>
            <w:vAlign w:val="center"/>
          </w:tcPr>
          <w:p w:rsidR="00792498" w:rsidRPr="0066263B" w:rsidRDefault="00792498" w:rsidP="00C838C3">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Исследуемые показатели</w:t>
            </w:r>
          </w:p>
        </w:tc>
        <w:tc>
          <w:tcPr>
            <w:tcW w:w="580" w:type="pct"/>
            <w:vAlign w:val="center"/>
          </w:tcPr>
          <w:p w:rsidR="00792498" w:rsidRPr="0066263B" w:rsidRDefault="00792498" w:rsidP="003563F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2019</w:t>
            </w:r>
          </w:p>
        </w:tc>
        <w:tc>
          <w:tcPr>
            <w:tcW w:w="580" w:type="pct"/>
            <w:vAlign w:val="center"/>
          </w:tcPr>
          <w:p w:rsidR="00792498" w:rsidRPr="0066263B" w:rsidRDefault="00792498" w:rsidP="003563F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2020</w:t>
            </w:r>
          </w:p>
        </w:tc>
        <w:tc>
          <w:tcPr>
            <w:tcW w:w="580" w:type="pct"/>
            <w:vAlign w:val="center"/>
          </w:tcPr>
          <w:p w:rsidR="00792498" w:rsidRPr="0066263B" w:rsidRDefault="00792498" w:rsidP="00C838C3">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2021</w:t>
            </w:r>
          </w:p>
        </w:tc>
        <w:tc>
          <w:tcPr>
            <w:tcW w:w="1592" w:type="pct"/>
          </w:tcPr>
          <w:p w:rsidR="00792498" w:rsidRPr="0066263B" w:rsidRDefault="00792498" w:rsidP="00792498">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Темп прироста к 2019</w:t>
            </w:r>
            <w:r w:rsidRPr="0066263B">
              <w:rPr>
                <w:rFonts w:ascii="Times New Roman" w:eastAsia="Times New Roman" w:hAnsi="Times New Roman" w:cs="Times New Roman"/>
                <w:b/>
                <w:i/>
                <w:lang w:eastAsia="ru-RU"/>
              </w:rPr>
              <w:t>, %</w:t>
            </w:r>
          </w:p>
        </w:tc>
      </w:tr>
      <w:tr w:rsidR="001F1432" w:rsidRPr="0066263B" w:rsidTr="003563FA">
        <w:tc>
          <w:tcPr>
            <w:tcW w:w="1668" w:type="pct"/>
            <w:vAlign w:val="center"/>
          </w:tcPr>
          <w:p w:rsidR="001F1432" w:rsidRPr="0066263B" w:rsidRDefault="001F1432" w:rsidP="00C838C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Санитарно-химические</w:t>
            </w:r>
          </w:p>
        </w:tc>
        <w:tc>
          <w:tcPr>
            <w:tcW w:w="580"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18,9</w:t>
            </w:r>
          </w:p>
        </w:tc>
        <w:tc>
          <w:tcPr>
            <w:tcW w:w="580"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w:t>
            </w:r>
          </w:p>
        </w:tc>
        <w:tc>
          <w:tcPr>
            <w:tcW w:w="580" w:type="pct"/>
          </w:tcPr>
          <w:p w:rsidR="001F1432" w:rsidRPr="0066263B" w:rsidRDefault="001F1432" w:rsidP="00C838C3">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16,9</w:t>
            </w:r>
          </w:p>
        </w:tc>
        <w:tc>
          <w:tcPr>
            <w:tcW w:w="1592" w:type="pct"/>
            <w:shd w:val="clear" w:color="auto" w:fill="auto"/>
            <w:vAlign w:val="center"/>
          </w:tcPr>
          <w:p w:rsidR="001F1432" w:rsidRPr="0066263B" w:rsidRDefault="001F1432" w:rsidP="001F1432">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-10,58</w:t>
            </w:r>
          </w:p>
        </w:tc>
      </w:tr>
      <w:tr w:rsidR="001F1432" w:rsidRPr="0066263B" w:rsidTr="003563FA">
        <w:tc>
          <w:tcPr>
            <w:tcW w:w="1668" w:type="pct"/>
          </w:tcPr>
          <w:p w:rsidR="001F1432" w:rsidRPr="0066263B" w:rsidRDefault="001F1432" w:rsidP="00C838C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Микробиологические</w:t>
            </w:r>
          </w:p>
        </w:tc>
        <w:tc>
          <w:tcPr>
            <w:tcW w:w="580"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580"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580" w:type="pct"/>
          </w:tcPr>
          <w:p w:rsidR="001F1432" w:rsidRPr="0066263B" w:rsidRDefault="001F1432" w:rsidP="00C838C3">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1,9</w:t>
            </w:r>
          </w:p>
        </w:tc>
        <w:tc>
          <w:tcPr>
            <w:tcW w:w="1592" w:type="pct"/>
            <w:shd w:val="clear" w:color="auto" w:fill="auto"/>
            <w:vAlign w:val="center"/>
          </w:tcPr>
          <w:p w:rsidR="001F1432" w:rsidRPr="0066263B" w:rsidRDefault="001F1432" w:rsidP="001F1432">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5,55</w:t>
            </w:r>
          </w:p>
        </w:tc>
      </w:tr>
    </w:tbl>
    <w:p w:rsidR="00C838C3" w:rsidRPr="0066263B" w:rsidRDefault="00C838C3" w:rsidP="00FD7B48">
      <w:pPr>
        <w:spacing w:before="0" w:after="0"/>
        <w:ind w:firstLine="709"/>
        <w:rPr>
          <w:rFonts w:ascii="Times New Roman" w:eastAsia="Times New Roman" w:hAnsi="Times New Roman" w:cs="Times New Roman"/>
          <w:sz w:val="24"/>
          <w:szCs w:val="24"/>
          <w:lang w:eastAsia="ru-RU"/>
        </w:rPr>
      </w:pPr>
    </w:p>
    <w:p w:rsidR="00EB18F4" w:rsidRPr="0066263B" w:rsidRDefault="00EB18F4" w:rsidP="00EB18F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ходе проведённого анализа результатов исследований по административным территориям Брянской области установлено, что на территориях: Брянска, Брянского, Брасовского, Жирятинского, Карачевского, Злынковского, Климовского, Клетнянского, Комаричского, Навлинского, Новозыбковского, Почепского, Рогнединского, Севского и Суземского районов в 2021 году отмечалась наибольшая доля проб воды, отобранных в источниках централизованного водоснабжения, не соответствующих санитарным требованиям по санитарно-химическим показателям, и превышающая среднеобластной показатель – </w:t>
      </w:r>
      <w:r w:rsidR="00792498" w:rsidRPr="0066263B">
        <w:rPr>
          <w:rFonts w:ascii="Times New Roman" w:eastAsia="Times New Roman" w:hAnsi="Times New Roman" w:cs="Times New Roman"/>
          <w:sz w:val="24"/>
          <w:szCs w:val="24"/>
          <w:lang w:eastAsia="ru-RU"/>
        </w:rPr>
        <w:t>16</w:t>
      </w:r>
      <w:r w:rsidRPr="0066263B">
        <w:rPr>
          <w:rFonts w:ascii="Times New Roman" w:eastAsia="Times New Roman" w:hAnsi="Times New Roman" w:cs="Times New Roman"/>
          <w:sz w:val="24"/>
          <w:szCs w:val="24"/>
          <w:lang w:eastAsia="ru-RU"/>
        </w:rPr>
        <w:t>,</w:t>
      </w:r>
      <w:r w:rsidR="00792498"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 xml:space="preserve">% (табл. </w:t>
      </w:r>
      <w:r w:rsidR="00222578" w:rsidRPr="0066263B">
        <w:rPr>
          <w:rFonts w:ascii="Times New Roman" w:eastAsia="Times New Roman" w:hAnsi="Times New Roman" w:cs="Times New Roman"/>
          <w:sz w:val="24"/>
          <w:szCs w:val="24"/>
          <w:lang w:eastAsia="ru-RU"/>
        </w:rPr>
        <w:t>7</w:t>
      </w:r>
      <w:r w:rsidRPr="0066263B">
        <w:rPr>
          <w:rFonts w:ascii="Times New Roman" w:eastAsia="Times New Roman" w:hAnsi="Times New Roman" w:cs="Times New Roman"/>
          <w:sz w:val="24"/>
          <w:szCs w:val="24"/>
          <w:lang w:eastAsia="ru-RU"/>
        </w:rPr>
        <w:t>).</w:t>
      </w:r>
    </w:p>
    <w:p w:rsidR="00EB18F4" w:rsidRPr="0066263B" w:rsidRDefault="00EB18F4" w:rsidP="00FD7B48">
      <w:pPr>
        <w:spacing w:before="0" w:after="0"/>
        <w:ind w:firstLine="709"/>
        <w:rPr>
          <w:rFonts w:ascii="Times New Roman" w:eastAsia="Times New Roman" w:hAnsi="Times New Roman" w:cs="Times New Roman"/>
          <w:sz w:val="24"/>
          <w:szCs w:val="24"/>
          <w:lang w:eastAsia="ru-RU"/>
        </w:rPr>
      </w:pPr>
    </w:p>
    <w:p w:rsidR="00222578" w:rsidRPr="0066263B" w:rsidRDefault="00222578" w:rsidP="00FD7B48">
      <w:pPr>
        <w:spacing w:before="0" w:after="0"/>
        <w:ind w:firstLine="709"/>
        <w:rPr>
          <w:rFonts w:ascii="Times New Roman" w:eastAsia="Times New Roman" w:hAnsi="Times New Roman" w:cs="Times New Roman"/>
          <w:sz w:val="24"/>
          <w:szCs w:val="24"/>
          <w:lang w:eastAsia="ru-RU"/>
        </w:rPr>
      </w:pPr>
    </w:p>
    <w:p w:rsidR="00222578" w:rsidRPr="0066263B" w:rsidRDefault="00222578" w:rsidP="00FD7B48">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 xml:space="preserve">Доля проб воды </w:t>
      </w:r>
      <w:r w:rsidRPr="0066263B">
        <w:rPr>
          <w:rFonts w:ascii="Times New Roman" w:eastAsia="Times New Roman" w:hAnsi="Times New Roman" w:cs="Times New Roman"/>
          <w:b/>
          <w:lang w:eastAsia="ru-RU"/>
        </w:rPr>
        <w:t>из источников централизованного водоснабжения, превышающих</w:t>
      </w:r>
      <w:r w:rsidRPr="0066263B">
        <w:rPr>
          <w:rFonts w:ascii="Times New Roman" w:eastAsia="Times New Roman" w:hAnsi="Times New Roman" w:cs="Times New Roman"/>
          <w:b/>
          <w:lang w:eastAsia="ru-RU"/>
        </w:rPr>
        <w:br/>
        <w:t>гигиенические нормативы по санитарно-химическим показателям</w:t>
      </w:r>
      <w:r w:rsidRPr="0066263B">
        <w:rPr>
          <w:rFonts w:ascii="Times New Roman" w:eastAsia="Times New Roman" w:hAnsi="Times New Roman" w:cs="Times New Roman"/>
          <w:b/>
          <w:lang w:eastAsia="ru-RU"/>
        </w:rPr>
        <w:br/>
        <w:t xml:space="preserve">по административным территориям, </w:t>
      </w:r>
      <w:r w:rsidRPr="0066263B">
        <w:rPr>
          <w:rFonts w:ascii="Times New Roman" w:eastAsia="TimesNewRomanPS-BoldMT" w:hAnsi="Times New Roman" w:cs="Times New Roman"/>
          <w:b/>
          <w:bCs/>
        </w:rPr>
        <w:t>%</w:t>
      </w:r>
    </w:p>
    <w:p w:rsidR="00324483" w:rsidRPr="0066263B" w:rsidRDefault="00324483" w:rsidP="00324483">
      <w:pPr>
        <w:spacing w:before="0" w:after="0"/>
        <w:ind w:firstLine="709"/>
        <w:jc w:val="center"/>
        <w:rPr>
          <w:rFonts w:ascii="Times New Roman" w:eastAsia="TimesNewRomanPS-BoldMT" w:hAnsi="Times New Roman" w:cs="Times New Roman"/>
          <w:b/>
          <w:bCs/>
        </w:rPr>
      </w:pPr>
    </w:p>
    <w:tbl>
      <w:tblPr>
        <w:tblW w:w="4894" w:type="pct"/>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2"/>
        <w:gridCol w:w="1329"/>
        <w:gridCol w:w="1329"/>
        <w:gridCol w:w="1329"/>
      </w:tblGrid>
      <w:tr w:rsidR="00EB18F4" w:rsidRPr="0066263B" w:rsidTr="003563FA">
        <w:trPr>
          <w:jc w:val="center"/>
        </w:trPr>
        <w:tc>
          <w:tcPr>
            <w:tcW w:w="2807" w:type="pct"/>
            <w:vAlign w:val="center"/>
          </w:tcPr>
          <w:p w:rsidR="00EB18F4" w:rsidRPr="0066263B" w:rsidRDefault="00EB18F4"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Административная территория</w:t>
            </w:r>
          </w:p>
        </w:tc>
        <w:tc>
          <w:tcPr>
            <w:tcW w:w="731" w:type="pct"/>
            <w:vAlign w:val="center"/>
          </w:tcPr>
          <w:p w:rsidR="00EB18F4" w:rsidRPr="0066263B" w:rsidRDefault="00EB18F4" w:rsidP="003563F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31" w:type="pct"/>
            <w:vAlign w:val="center"/>
          </w:tcPr>
          <w:p w:rsidR="00EB18F4" w:rsidRPr="0066263B" w:rsidRDefault="00EB18F4" w:rsidP="003563F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31" w:type="pct"/>
            <w:vAlign w:val="center"/>
          </w:tcPr>
          <w:p w:rsidR="00EB18F4" w:rsidRPr="0066263B" w:rsidRDefault="00EB18F4" w:rsidP="00FD7B48">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Брянск</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28,8</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23,8</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40,3</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Клинцы</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7,4</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21,4</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11,1</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Сельцо</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10,5</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5,6</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Брасовский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40,0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45,4</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21,2</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Выгоничский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1,72</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Дубровский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5,4</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Дятьковский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13,3</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25,6</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Жуковский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12,2</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4,8</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Злынковский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53,3</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Карачевский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62,3</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51,0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24,3</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Клетнянский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16,7</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41,7</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Климовский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70,5</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36,6</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38,9</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2,6</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Комаричский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83,3</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59,4</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80,6</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5,3</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3,7</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Мглинский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Навлинский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17,5</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11,3</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21,4</w:t>
            </w:r>
          </w:p>
        </w:tc>
      </w:tr>
      <w:tr w:rsidR="00DF305B" w:rsidRPr="0066263B" w:rsidTr="003563FA">
        <w:trPr>
          <w:jc w:val="center"/>
        </w:trPr>
        <w:tc>
          <w:tcPr>
            <w:tcW w:w="2807" w:type="pct"/>
            <w:vAlign w:val="center"/>
          </w:tcPr>
          <w:p w:rsidR="00DF305B" w:rsidRPr="0066263B" w:rsidRDefault="00DF305B" w:rsidP="00053F3B">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18,2</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66,7</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13,3</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10,8</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Почепский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64,3</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47,3</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50,7</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Рогнединский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w:t>
            </w:r>
            <w:r w:rsidR="0058299B">
              <w:rPr>
                <w:rFonts w:ascii="Times New Roman" w:eastAsia="Times New Roman" w:hAnsi="Times New Roman" w:cs="Times New Roman"/>
                <w:bCs/>
                <w:lang w:eastAsia="ru-RU"/>
              </w:rPr>
              <w:t>,0</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14,5</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8,1</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25,4</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2,3</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28,5</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11,6</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31</w:t>
            </w:r>
            <w:r w:rsidR="0058299B">
              <w:rPr>
                <w:rFonts w:ascii="Times New Roman" w:eastAsia="Times New Roman" w:hAnsi="Times New Roman" w:cs="Times New Roman"/>
                <w:bCs/>
                <w:lang w:eastAsia="ru-RU"/>
              </w:rPr>
              <w:t>,0</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13,3</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Трубчевский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26,4</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14,3</w:t>
            </w:r>
          </w:p>
        </w:tc>
      </w:tr>
      <w:tr w:rsidR="00DF305B" w:rsidRPr="0066263B" w:rsidTr="003563FA">
        <w:trPr>
          <w:jc w:val="center"/>
        </w:trPr>
        <w:tc>
          <w:tcPr>
            <w:tcW w:w="2807"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31"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w:t>
            </w:r>
          </w:p>
        </w:tc>
        <w:tc>
          <w:tcPr>
            <w:tcW w:w="731"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31"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w:t>
            </w:r>
          </w:p>
        </w:tc>
      </w:tr>
    </w:tbl>
    <w:p w:rsidR="00C838C3" w:rsidRPr="0066263B" w:rsidRDefault="00C838C3" w:rsidP="00324483">
      <w:pPr>
        <w:spacing w:before="0" w:after="0"/>
        <w:ind w:firstLine="709"/>
        <w:rPr>
          <w:rFonts w:ascii="Times New Roman" w:eastAsia="Times New Roman" w:hAnsi="Times New Roman" w:cs="Times New Roman"/>
          <w:sz w:val="24"/>
          <w:szCs w:val="24"/>
          <w:lang w:eastAsia="ru-RU"/>
        </w:rPr>
      </w:pPr>
    </w:p>
    <w:p w:rsidR="00DF305B" w:rsidRPr="0066263B" w:rsidRDefault="00DF305B"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Доля проб воды из источников централизованного водоснабжения не соответствующих по микробиологическим показателям, превышающая среднеобластной показатель (1,</w:t>
      </w:r>
      <w:r w:rsidR="00DF305B"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w:t>
      </w:r>
      <w:r w:rsidR="008E2A12" w:rsidRPr="0066263B">
        <w:rPr>
          <w:rFonts w:ascii="Times New Roman" w:eastAsia="Times New Roman" w:hAnsi="Times New Roman" w:cs="Times New Roman"/>
          <w:sz w:val="24"/>
          <w:szCs w:val="24"/>
          <w:lang w:eastAsia="ru-RU"/>
        </w:rPr>
        <w:t xml:space="preserve"> в 202</w:t>
      </w:r>
      <w:r w:rsidR="00DF305B" w:rsidRPr="0066263B">
        <w:rPr>
          <w:rFonts w:ascii="Times New Roman" w:eastAsia="Times New Roman" w:hAnsi="Times New Roman" w:cs="Times New Roman"/>
          <w:sz w:val="24"/>
          <w:szCs w:val="24"/>
          <w:lang w:eastAsia="ru-RU"/>
        </w:rPr>
        <w:t>1</w:t>
      </w:r>
      <w:r w:rsidR="008E2A12" w:rsidRPr="0066263B">
        <w:rPr>
          <w:rFonts w:ascii="Times New Roman" w:eastAsia="Times New Roman" w:hAnsi="Times New Roman" w:cs="Times New Roman"/>
          <w:sz w:val="24"/>
          <w:szCs w:val="24"/>
          <w:lang w:eastAsia="ru-RU"/>
        </w:rPr>
        <w:t xml:space="preserve"> году</w:t>
      </w:r>
      <w:r w:rsidRPr="0066263B">
        <w:rPr>
          <w:rFonts w:ascii="Times New Roman" w:eastAsia="Times New Roman" w:hAnsi="Times New Roman" w:cs="Times New Roman"/>
          <w:sz w:val="24"/>
          <w:szCs w:val="24"/>
          <w:lang w:eastAsia="ru-RU"/>
        </w:rPr>
        <w:t xml:space="preserve"> отмечается на территориях: </w:t>
      </w:r>
      <w:proofErr w:type="gramStart"/>
      <w:r w:rsidR="00E06A59" w:rsidRPr="0066263B">
        <w:rPr>
          <w:rFonts w:ascii="Times New Roman" w:eastAsia="Times New Roman" w:hAnsi="Times New Roman" w:cs="Times New Roman"/>
          <w:sz w:val="24"/>
          <w:szCs w:val="24"/>
          <w:lang w:eastAsia="ru-RU"/>
        </w:rPr>
        <w:t>г</w:t>
      </w:r>
      <w:proofErr w:type="gramEnd"/>
      <w:r w:rsidR="00E06A59" w:rsidRPr="0066263B">
        <w:rPr>
          <w:rFonts w:ascii="Times New Roman" w:eastAsia="Times New Roman" w:hAnsi="Times New Roman" w:cs="Times New Roman"/>
          <w:sz w:val="24"/>
          <w:szCs w:val="24"/>
          <w:lang w:eastAsia="ru-RU"/>
        </w:rPr>
        <w:t xml:space="preserve">. Клинцы, </w:t>
      </w:r>
      <w:r w:rsidR="00DF305B" w:rsidRPr="0066263B">
        <w:rPr>
          <w:rFonts w:ascii="Times New Roman" w:eastAsia="Times New Roman" w:hAnsi="Times New Roman" w:cs="Times New Roman"/>
          <w:sz w:val="24"/>
          <w:szCs w:val="24"/>
          <w:lang w:eastAsia="ru-RU"/>
        </w:rPr>
        <w:t xml:space="preserve">Брянского, Карачевского, </w:t>
      </w:r>
      <w:r w:rsidR="00E06A59" w:rsidRPr="0066263B">
        <w:rPr>
          <w:rFonts w:ascii="Times New Roman" w:eastAsia="Times New Roman" w:hAnsi="Times New Roman" w:cs="Times New Roman"/>
          <w:sz w:val="24"/>
          <w:szCs w:val="24"/>
          <w:lang w:eastAsia="ru-RU"/>
        </w:rPr>
        <w:t>Клетнянского, Климовского, Красногорского, Навлинского, Рогнединского, Севского</w:t>
      </w:r>
      <w:r w:rsidR="00DF305B" w:rsidRPr="0066263B">
        <w:rPr>
          <w:rFonts w:ascii="Times New Roman" w:eastAsia="Times New Roman" w:hAnsi="Times New Roman" w:cs="Times New Roman"/>
          <w:sz w:val="24"/>
          <w:szCs w:val="24"/>
          <w:lang w:eastAsia="ru-RU"/>
        </w:rPr>
        <w:t xml:space="preserve"> и</w:t>
      </w:r>
      <w:r w:rsidR="00E06A59" w:rsidRPr="0066263B">
        <w:rPr>
          <w:rFonts w:ascii="Times New Roman" w:eastAsia="Times New Roman" w:hAnsi="Times New Roman" w:cs="Times New Roman"/>
          <w:sz w:val="24"/>
          <w:szCs w:val="24"/>
          <w:lang w:eastAsia="ru-RU"/>
        </w:rPr>
        <w:t xml:space="preserve"> Суземского районов</w:t>
      </w:r>
      <w:r w:rsidRPr="0066263B">
        <w:rPr>
          <w:rFonts w:ascii="Times New Roman" w:eastAsia="Times New Roman" w:hAnsi="Times New Roman" w:cs="Times New Roman"/>
          <w:sz w:val="24"/>
          <w:szCs w:val="24"/>
          <w:lang w:eastAsia="ru-RU"/>
        </w:rPr>
        <w:t xml:space="preserve"> (табл. </w:t>
      </w:r>
      <w:r w:rsidR="00222578"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w:t>
      </w:r>
    </w:p>
    <w:p w:rsidR="00C838C3" w:rsidRPr="0066263B" w:rsidRDefault="00C838C3">
      <w:pPr>
        <w:rPr>
          <w:rFonts w:ascii="Times New Roman" w:eastAsia="Calibri" w:hAnsi="Times New Roman" w:cs="Times New Roman"/>
        </w:rPr>
      </w:pPr>
      <w:r w:rsidRPr="0066263B">
        <w:rPr>
          <w:rFonts w:ascii="Times New Roman" w:eastAsia="Calibri" w:hAnsi="Times New Roman" w:cs="Times New Roman"/>
        </w:rPr>
        <w:br w:type="page"/>
      </w:r>
    </w:p>
    <w:p w:rsidR="00DF305B" w:rsidRPr="0066263B" w:rsidRDefault="00DF305B" w:rsidP="00324483">
      <w:pPr>
        <w:spacing w:before="0" w:after="0"/>
        <w:ind w:firstLine="709"/>
        <w:jc w:val="right"/>
        <w:rPr>
          <w:rFonts w:ascii="Times New Roman" w:eastAsia="Calibri" w:hAnsi="Times New Roman" w:cs="Times New Roman"/>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 xml:space="preserve">Доля проб воды </w:t>
      </w:r>
      <w:r w:rsidRPr="0066263B">
        <w:rPr>
          <w:rFonts w:ascii="Times New Roman" w:eastAsia="Times New Roman" w:hAnsi="Times New Roman" w:cs="Times New Roman"/>
          <w:b/>
          <w:lang w:eastAsia="ru-RU"/>
        </w:rPr>
        <w:t>из источников централизованного водоснабжения, превышающих</w:t>
      </w:r>
      <w:r w:rsidRPr="0066263B">
        <w:rPr>
          <w:rFonts w:ascii="Times New Roman" w:eastAsia="Times New Roman" w:hAnsi="Times New Roman" w:cs="Times New Roman"/>
          <w:b/>
          <w:lang w:eastAsia="ru-RU"/>
        </w:rPr>
        <w:br/>
        <w:t>гигиенические нормативы по микробиологическим показателям</w:t>
      </w:r>
      <w:r w:rsidRPr="0066263B">
        <w:rPr>
          <w:rFonts w:ascii="Times New Roman" w:eastAsia="Times New Roman" w:hAnsi="Times New Roman" w:cs="Times New Roman"/>
          <w:b/>
          <w:lang w:eastAsia="ru-RU"/>
        </w:rPr>
        <w:br/>
        <w:t xml:space="preserve">по административным территориям, </w:t>
      </w:r>
      <w:r w:rsidRPr="0066263B">
        <w:rPr>
          <w:rFonts w:ascii="Times New Roman" w:eastAsia="TimesNewRomanPS-BoldMT" w:hAnsi="Times New Roman" w:cs="Times New Roman"/>
          <w:b/>
          <w:bCs/>
        </w:rPr>
        <w:t>%</w:t>
      </w:r>
    </w:p>
    <w:p w:rsidR="00324483" w:rsidRPr="0066263B" w:rsidRDefault="00324483" w:rsidP="00324483">
      <w:pPr>
        <w:spacing w:before="0" w:after="0"/>
        <w:ind w:firstLine="709"/>
        <w:jc w:val="center"/>
        <w:rPr>
          <w:rFonts w:ascii="Times New Roman" w:eastAsia="TimesNewRomanPS-BoldMT" w:hAnsi="Times New Roman" w:cs="Times New Roman"/>
          <w:b/>
          <w:bCs/>
        </w:rPr>
      </w:pPr>
    </w:p>
    <w:tbl>
      <w:tblPr>
        <w:tblW w:w="4920" w:type="pct"/>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7"/>
        <w:gridCol w:w="1297"/>
        <w:gridCol w:w="1296"/>
      </w:tblGrid>
      <w:tr w:rsidR="00DF305B" w:rsidRPr="0066263B" w:rsidTr="00DF305B">
        <w:trPr>
          <w:jc w:val="center"/>
        </w:trPr>
        <w:tc>
          <w:tcPr>
            <w:tcW w:w="2871" w:type="pct"/>
            <w:vAlign w:val="center"/>
          </w:tcPr>
          <w:p w:rsidR="00DF305B" w:rsidRPr="0066263B" w:rsidRDefault="00DF305B"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Административная территория</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09" w:type="pct"/>
            <w:vAlign w:val="center"/>
          </w:tcPr>
          <w:p w:rsidR="00DF305B" w:rsidRPr="0066263B" w:rsidRDefault="00DF305B" w:rsidP="00C15F8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Брянск</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0,33</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0,9</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0,8</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Клинцы</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Сельцо</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Брасовский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5,1</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Выгоничский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Дубровский район</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3,9</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Дятьковский район</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5,5</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0,9</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Жуковский район</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Злынковский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Карачевский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2,7</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Клетнянский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38,5</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Климовский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4,3</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Комаричский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5,1</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6,8</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Мглинский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Навлинский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1,8</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13,2</w:t>
            </w:r>
          </w:p>
        </w:tc>
      </w:tr>
      <w:tr w:rsidR="00DF305B" w:rsidRPr="0066263B" w:rsidTr="00DF305B">
        <w:trPr>
          <w:jc w:val="center"/>
        </w:trPr>
        <w:tc>
          <w:tcPr>
            <w:tcW w:w="2871" w:type="pct"/>
            <w:vAlign w:val="center"/>
          </w:tcPr>
          <w:p w:rsidR="00DF305B" w:rsidRPr="0066263B" w:rsidRDefault="00DF305B" w:rsidP="00053F3B">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0,8</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Почепский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Рогнединский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10,3</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11,6</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4,1</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15,2</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bCs/>
                <w:lang w:eastAsia="ru-RU"/>
              </w:rPr>
              <w:t>3,3</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11,4</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Трубчевский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DF305B" w:rsidRPr="0066263B" w:rsidTr="00DF305B">
        <w:trPr>
          <w:jc w:val="center"/>
        </w:trPr>
        <w:tc>
          <w:tcPr>
            <w:tcW w:w="2871" w:type="pct"/>
            <w:vAlign w:val="center"/>
          </w:tcPr>
          <w:p w:rsidR="00DF305B" w:rsidRPr="0066263B" w:rsidRDefault="00DF305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10" w:type="pct"/>
            <w:vAlign w:val="center"/>
          </w:tcPr>
          <w:p w:rsidR="00DF305B" w:rsidRPr="0066263B" w:rsidRDefault="00DF305B"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10" w:type="pct"/>
            <w:vAlign w:val="center"/>
          </w:tcPr>
          <w:p w:rsidR="00DF305B" w:rsidRPr="0066263B" w:rsidRDefault="00DF305B"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w:t>
            </w:r>
          </w:p>
        </w:tc>
        <w:tc>
          <w:tcPr>
            <w:tcW w:w="709" w:type="pct"/>
            <w:vAlign w:val="center"/>
          </w:tcPr>
          <w:p w:rsidR="00DF305B" w:rsidRPr="0066263B" w:rsidRDefault="00DF305B" w:rsidP="00DF305B">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bl>
    <w:p w:rsidR="00324483" w:rsidRPr="0066263B" w:rsidRDefault="00324483" w:rsidP="00324483">
      <w:pPr>
        <w:spacing w:before="0" w:after="0"/>
        <w:ind w:firstLine="709"/>
        <w:rPr>
          <w:rFonts w:ascii="Times New Roman" w:eastAsia="Times New Roman" w:hAnsi="Times New Roman" w:cs="Times New Roman"/>
          <w:iCs/>
          <w:sz w:val="24"/>
          <w:szCs w:val="24"/>
          <w:lang w:eastAsia="ru-RU"/>
        </w:rPr>
      </w:pPr>
    </w:p>
    <w:p w:rsidR="007C12CD" w:rsidRPr="0066263B" w:rsidRDefault="007C12CD" w:rsidP="007C12CD">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Гигиеническая характеристика качества питьевой воды в поверхностных источниках централизованного водоснабжения</w:t>
      </w:r>
    </w:p>
    <w:p w:rsidR="007C12CD" w:rsidRPr="0066263B" w:rsidRDefault="007C12CD" w:rsidP="007C12C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w:t>
      </w:r>
      <w:r w:rsidR="000274B7" w:rsidRPr="0066263B">
        <w:rPr>
          <w:rFonts w:ascii="Times New Roman" w:eastAsia="Times New Roman" w:hAnsi="Times New Roman" w:cs="Times New Roman"/>
          <w:sz w:val="24"/>
          <w:szCs w:val="24"/>
          <w:lang w:eastAsia="ru-RU"/>
        </w:rPr>
        <w:t xml:space="preserve">отобрано и </w:t>
      </w:r>
      <w:r w:rsidRPr="0066263B">
        <w:rPr>
          <w:rFonts w:ascii="Times New Roman" w:eastAsia="Times New Roman" w:hAnsi="Times New Roman" w:cs="Times New Roman"/>
          <w:iCs/>
          <w:sz w:val="24"/>
          <w:szCs w:val="24"/>
          <w:lang w:eastAsia="ru-RU"/>
        </w:rPr>
        <w:t>исследовано</w:t>
      </w:r>
      <w:r w:rsidR="000274B7" w:rsidRPr="0066263B">
        <w:rPr>
          <w:rFonts w:ascii="Times New Roman" w:eastAsia="Times New Roman" w:hAnsi="Times New Roman" w:cs="Times New Roman"/>
          <w:iCs/>
          <w:sz w:val="24"/>
          <w:szCs w:val="24"/>
          <w:lang w:eastAsia="ru-RU"/>
        </w:rPr>
        <w:t xml:space="preserve"> 29 проб воды из поверхностных источников питьевого централизованного водоснабжения, из которых</w:t>
      </w:r>
      <w:r w:rsidRPr="0066263B">
        <w:rPr>
          <w:rFonts w:ascii="Times New Roman" w:eastAsia="Times New Roman" w:hAnsi="Times New Roman" w:cs="Times New Roman"/>
          <w:sz w:val="24"/>
          <w:szCs w:val="24"/>
          <w:lang w:eastAsia="ru-RU"/>
        </w:rPr>
        <w:t>:</w:t>
      </w:r>
    </w:p>
    <w:p w:rsidR="007C12CD" w:rsidRPr="0066263B" w:rsidRDefault="007C12CD"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5 проб воды на санитарно-химические показатели, из них 5 проб не соответствовали нормативным требованиям, что составило 100% (2020 – исследования не проводились; 2019 </w:t>
      </w:r>
      <w:r w:rsidR="006E3E2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100%; 2018</w:t>
      </w:r>
      <w:r w:rsidR="006E3E2C"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86,6%</w:t>
      </w:r>
      <w:r w:rsidR="00E54516" w:rsidRPr="0066263B">
        <w:rPr>
          <w:rFonts w:ascii="Times New Roman" w:eastAsia="Times New Roman" w:hAnsi="Times New Roman" w:cs="Times New Roman"/>
          <w:sz w:val="24"/>
          <w:szCs w:val="24"/>
          <w:lang w:eastAsia="ru-RU"/>
        </w:rPr>
        <w:t>; РФ 2020 – 26,16%</w:t>
      </w:r>
      <w:r w:rsidRPr="0066263B">
        <w:rPr>
          <w:rFonts w:ascii="Times New Roman" w:eastAsia="Times New Roman" w:hAnsi="Times New Roman" w:cs="Times New Roman"/>
          <w:sz w:val="24"/>
          <w:szCs w:val="24"/>
          <w:lang w:eastAsia="ru-RU"/>
        </w:rPr>
        <w:t>);</w:t>
      </w:r>
    </w:p>
    <w:p w:rsidR="007C12CD" w:rsidRPr="0066263B" w:rsidRDefault="007C12CD"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9 проб воды на микробиологические показатели, из них 1 проба не соответствовала нормативным требованиям, что составило 11,1% (2020 </w:t>
      </w:r>
      <w:r w:rsidR="006E3E2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исследования не проводились; 2019 </w:t>
      </w:r>
      <w:r w:rsidR="006E3E2C"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20%; 2018</w:t>
      </w:r>
      <w:r w:rsidR="006E3E2C"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26,6%</w:t>
      </w:r>
      <w:r w:rsidR="00E54516" w:rsidRPr="0066263B">
        <w:rPr>
          <w:rFonts w:ascii="Times New Roman" w:eastAsia="Times New Roman" w:hAnsi="Times New Roman" w:cs="Times New Roman"/>
          <w:sz w:val="24"/>
          <w:szCs w:val="24"/>
          <w:lang w:eastAsia="ru-RU"/>
        </w:rPr>
        <w:t>; РФ 2020 – 13,42%</w:t>
      </w:r>
      <w:r w:rsidRPr="0066263B">
        <w:rPr>
          <w:rFonts w:ascii="Times New Roman" w:eastAsia="Times New Roman" w:hAnsi="Times New Roman" w:cs="Times New Roman"/>
          <w:sz w:val="24"/>
          <w:szCs w:val="24"/>
          <w:lang w:eastAsia="ru-RU"/>
        </w:rPr>
        <w:t>);</w:t>
      </w:r>
    </w:p>
    <w:p w:rsidR="007C12CD" w:rsidRPr="0066263B" w:rsidRDefault="007C12CD"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5 проб воды на паразитологические показатели, несоответствий не обнаружено (</w:t>
      </w:r>
      <w:r w:rsidR="006E3E2C" w:rsidRPr="0066263B">
        <w:rPr>
          <w:rFonts w:ascii="Times New Roman" w:eastAsia="Times New Roman" w:hAnsi="Times New Roman" w:cs="Times New Roman"/>
          <w:sz w:val="24"/>
          <w:szCs w:val="24"/>
          <w:lang w:eastAsia="ru-RU"/>
        </w:rPr>
        <w:t>2018-</w:t>
      </w:r>
      <w:r w:rsidRPr="0066263B">
        <w:rPr>
          <w:rFonts w:ascii="Times New Roman" w:eastAsia="Times New Roman" w:hAnsi="Times New Roman" w:cs="Times New Roman"/>
          <w:sz w:val="24"/>
          <w:szCs w:val="24"/>
          <w:lang w:eastAsia="ru-RU"/>
        </w:rPr>
        <w:t>2020</w:t>
      </w:r>
      <w:r w:rsidR="006E3E2C" w:rsidRPr="0066263B">
        <w:rPr>
          <w:rFonts w:ascii="Times New Roman" w:eastAsia="Times New Roman" w:hAnsi="Times New Roman" w:cs="Times New Roman"/>
          <w:sz w:val="24"/>
          <w:szCs w:val="24"/>
          <w:lang w:eastAsia="ru-RU"/>
        </w:rPr>
        <w:t> г.г.</w:t>
      </w:r>
      <w:r w:rsidRPr="0066263B">
        <w:rPr>
          <w:rFonts w:ascii="Times New Roman" w:eastAsia="Times New Roman" w:hAnsi="Times New Roman" w:cs="Times New Roman"/>
          <w:sz w:val="24"/>
          <w:szCs w:val="24"/>
          <w:lang w:eastAsia="ru-RU"/>
        </w:rPr>
        <w:t xml:space="preserve"> </w:t>
      </w:r>
      <w:r w:rsidR="006E3E2C"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не соответствий не обнаружено).</w:t>
      </w:r>
    </w:p>
    <w:p w:rsidR="006E3E2C" w:rsidRPr="0066263B" w:rsidRDefault="006E3E2C" w:rsidP="006E3E2C">
      <w:pPr>
        <w:spacing w:before="0" w:after="0"/>
        <w:ind w:firstLine="709"/>
        <w:rPr>
          <w:rFonts w:ascii="Times New Roman" w:eastAsia="Times New Roman" w:hAnsi="Times New Roman" w:cs="Times New Roman"/>
          <w:iCs/>
          <w:sz w:val="24"/>
          <w:szCs w:val="24"/>
          <w:lang w:eastAsia="ru-RU"/>
        </w:rPr>
      </w:pPr>
    </w:p>
    <w:p w:rsidR="007C12CD" w:rsidRPr="0066263B" w:rsidRDefault="007C12CD" w:rsidP="007C12CD">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Гигиеническая характеристика качества питьевой воды в подземных источниках централизованного водоснабжения</w:t>
      </w:r>
    </w:p>
    <w:p w:rsidR="007C12CD" w:rsidRPr="0066263B" w:rsidRDefault="007C12CD" w:rsidP="007C12C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w:t>
      </w:r>
      <w:r w:rsidR="000274B7" w:rsidRPr="0066263B">
        <w:rPr>
          <w:rFonts w:ascii="Times New Roman" w:eastAsia="Times New Roman" w:hAnsi="Times New Roman" w:cs="Times New Roman"/>
          <w:sz w:val="24"/>
          <w:szCs w:val="24"/>
          <w:lang w:eastAsia="ru-RU"/>
        </w:rPr>
        <w:t xml:space="preserve">отобрано и </w:t>
      </w:r>
      <w:r w:rsidRPr="0066263B">
        <w:rPr>
          <w:rFonts w:ascii="Times New Roman" w:eastAsia="Times New Roman" w:hAnsi="Times New Roman" w:cs="Times New Roman"/>
          <w:sz w:val="24"/>
          <w:szCs w:val="24"/>
          <w:lang w:eastAsia="ru-RU"/>
        </w:rPr>
        <w:t>исследовано</w:t>
      </w:r>
      <w:r w:rsidR="000274B7" w:rsidRPr="0066263B">
        <w:rPr>
          <w:rFonts w:ascii="Times New Roman" w:eastAsia="Times New Roman" w:hAnsi="Times New Roman" w:cs="Times New Roman"/>
          <w:sz w:val="24"/>
          <w:szCs w:val="24"/>
          <w:lang w:eastAsia="ru-RU"/>
        </w:rPr>
        <w:t xml:space="preserve"> 6 691 проба </w:t>
      </w:r>
      <w:r w:rsidR="000274B7" w:rsidRPr="0066263B">
        <w:rPr>
          <w:rFonts w:ascii="Times New Roman" w:eastAsia="Times New Roman" w:hAnsi="Times New Roman" w:cs="Times New Roman"/>
          <w:iCs/>
          <w:sz w:val="24"/>
          <w:szCs w:val="24"/>
          <w:lang w:eastAsia="ru-RU"/>
        </w:rPr>
        <w:t>воды из подземных источников питьевого централизованного водоснабжения, из которых</w:t>
      </w:r>
      <w:r w:rsidRPr="0066263B">
        <w:rPr>
          <w:rFonts w:ascii="Times New Roman" w:eastAsia="Times New Roman" w:hAnsi="Times New Roman" w:cs="Times New Roman"/>
          <w:sz w:val="24"/>
          <w:szCs w:val="24"/>
          <w:lang w:eastAsia="ru-RU"/>
        </w:rPr>
        <w:t>:</w:t>
      </w:r>
    </w:p>
    <w:p w:rsidR="007C12CD" w:rsidRPr="0066263B" w:rsidRDefault="007C12CD"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w:t>
      </w:r>
      <w:r w:rsidR="006E3E2C"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523 пробы питьевой воды на санитарно-химические показатели, из них 4</w:t>
      </w:r>
      <w:r w:rsidR="006E3E2C" w:rsidRPr="0066263B">
        <w:rPr>
          <w:rFonts w:ascii="Times New Roman" w:eastAsia="Times New Roman" w:hAnsi="Times New Roman" w:cs="Times New Roman"/>
          <w:sz w:val="24"/>
          <w:szCs w:val="24"/>
          <w:lang w:eastAsia="ru-RU"/>
        </w:rPr>
        <w:t>24</w:t>
      </w:r>
      <w:r w:rsidRPr="0066263B">
        <w:rPr>
          <w:rFonts w:ascii="Times New Roman" w:eastAsia="Times New Roman" w:hAnsi="Times New Roman" w:cs="Times New Roman"/>
          <w:sz w:val="24"/>
          <w:szCs w:val="24"/>
          <w:lang w:eastAsia="ru-RU"/>
        </w:rPr>
        <w:t xml:space="preserve"> проб</w:t>
      </w:r>
      <w:r w:rsidR="006E3E2C" w:rsidRPr="0066263B">
        <w:rPr>
          <w:rFonts w:ascii="Times New Roman" w:eastAsia="Times New Roman" w:hAnsi="Times New Roman" w:cs="Times New Roman"/>
          <w:sz w:val="24"/>
          <w:szCs w:val="24"/>
          <w:lang w:eastAsia="ru-RU"/>
        </w:rPr>
        <w:t>ы</w:t>
      </w:r>
      <w:r w:rsidRPr="0066263B">
        <w:rPr>
          <w:rFonts w:ascii="Times New Roman" w:eastAsia="Times New Roman" w:hAnsi="Times New Roman" w:cs="Times New Roman"/>
          <w:sz w:val="24"/>
          <w:szCs w:val="24"/>
          <w:lang w:eastAsia="ru-RU"/>
        </w:rPr>
        <w:t xml:space="preserve"> не соответствовали нормативным требованиям, что составило </w:t>
      </w:r>
      <w:r w:rsidR="006E3E2C" w:rsidRPr="0066263B">
        <w:rPr>
          <w:rFonts w:ascii="Times New Roman" w:eastAsia="Times New Roman" w:hAnsi="Times New Roman" w:cs="Times New Roman"/>
          <w:sz w:val="24"/>
          <w:szCs w:val="24"/>
          <w:lang w:eastAsia="ru-RU"/>
        </w:rPr>
        <w:t>16,8</w:t>
      </w:r>
      <w:r w:rsidR="00B80DF9">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(2020 </w:t>
      </w:r>
      <w:r w:rsidR="006E3E2C"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14,0%; 2019 </w:t>
      </w:r>
      <w:r w:rsidR="006E3E2C"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18,8%; 2018</w:t>
      </w:r>
      <w:r w:rsidR="006E3E2C"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18,8%</w:t>
      </w:r>
      <w:r w:rsidR="00E54516" w:rsidRPr="0066263B">
        <w:rPr>
          <w:rFonts w:ascii="Times New Roman" w:eastAsia="Times New Roman" w:hAnsi="Times New Roman" w:cs="Times New Roman"/>
          <w:sz w:val="24"/>
          <w:szCs w:val="24"/>
          <w:lang w:eastAsia="ru-RU"/>
        </w:rPr>
        <w:t>; РФ 2020 – 26,05%</w:t>
      </w:r>
      <w:r w:rsidRPr="0066263B">
        <w:rPr>
          <w:rFonts w:ascii="Times New Roman" w:eastAsia="Times New Roman" w:hAnsi="Times New Roman" w:cs="Times New Roman"/>
          <w:sz w:val="24"/>
          <w:szCs w:val="24"/>
          <w:lang w:eastAsia="ru-RU"/>
        </w:rPr>
        <w:t>);</w:t>
      </w:r>
    </w:p>
    <w:p w:rsidR="007C12CD" w:rsidRPr="0066263B" w:rsidRDefault="007C12CD"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w:t>
      </w:r>
      <w:r w:rsidR="006E3E2C"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348 проб на микробиологические показатели, из них 43 пробы не соответствовали нормативным требованиям, что состав</w:t>
      </w:r>
      <w:r w:rsidR="00B80DF9">
        <w:rPr>
          <w:rFonts w:ascii="Times New Roman" w:eastAsia="Times New Roman" w:hAnsi="Times New Roman" w:cs="Times New Roman"/>
          <w:sz w:val="24"/>
          <w:szCs w:val="24"/>
          <w:lang w:eastAsia="ru-RU"/>
        </w:rPr>
        <w:t>и</w:t>
      </w:r>
      <w:r w:rsidRPr="0066263B">
        <w:rPr>
          <w:rFonts w:ascii="Times New Roman" w:eastAsia="Times New Roman" w:hAnsi="Times New Roman" w:cs="Times New Roman"/>
          <w:sz w:val="24"/>
          <w:szCs w:val="24"/>
          <w:lang w:eastAsia="ru-RU"/>
        </w:rPr>
        <w:t>л</w:t>
      </w:r>
      <w:r w:rsidR="00B80DF9">
        <w:rPr>
          <w:rFonts w:ascii="Times New Roman" w:eastAsia="Times New Roman" w:hAnsi="Times New Roman" w:cs="Times New Roman"/>
          <w:sz w:val="24"/>
          <w:szCs w:val="24"/>
          <w:lang w:eastAsia="ru-RU"/>
        </w:rPr>
        <w:t>о</w:t>
      </w:r>
      <w:r w:rsidRPr="0066263B">
        <w:rPr>
          <w:rFonts w:ascii="Times New Roman" w:eastAsia="Times New Roman" w:hAnsi="Times New Roman" w:cs="Times New Roman"/>
          <w:sz w:val="24"/>
          <w:szCs w:val="24"/>
          <w:lang w:eastAsia="ru-RU"/>
        </w:rPr>
        <w:t xml:space="preserve"> 1,8% (2020 </w:t>
      </w:r>
      <w:r w:rsidR="006E3E2C"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1,3%; 2019 </w:t>
      </w:r>
      <w:r w:rsidR="006E3E2C"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1,8%; 2018</w:t>
      </w:r>
      <w:r w:rsidR="006E3E2C"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2,13%</w:t>
      </w:r>
      <w:r w:rsidR="00E54516" w:rsidRPr="0066263B">
        <w:rPr>
          <w:rFonts w:ascii="Times New Roman" w:eastAsia="Times New Roman" w:hAnsi="Times New Roman" w:cs="Times New Roman"/>
          <w:sz w:val="24"/>
          <w:szCs w:val="24"/>
          <w:lang w:eastAsia="ru-RU"/>
        </w:rPr>
        <w:t>; РФ 2020 – 2,61%</w:t>
      </w:r>
      <w:r w:rsidRPr="0066263B">
        <w:rPr>
          <w:rFonts w:ascii="Times New Roman" w:eastAsia="Times New Roman" w:hAnsi="Times New Roman" w:cs="Times New Roman"/>
          <w:sz w:val="24"/>
          <w:szCs w:val="24"/>
          <w:lang w:eastAsia="ru-RU"/>
        </w:rPr>
        <w:t>);</w:t>
      </w:r>
    </w:p>
    <w:p w:rsidR="007C12CD" w:rsidRPr="0066263B" w:rsidRDefault="007C12CD"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39 проб на паразитологические показатели, несоответствий не выявлено (</w:t>
      </w:r>
      <w:r w:rsidR="006E3E2C" w:rsidRPr="0066263B">
        <w:rPr>
          <w:rFonts w:ascii="Times New Roman" w:eastAsia="Times New Roman" w:hAnsi="Times New Roman" w:cs="Times New Roman"/>
          <w:sz w:val="24"/>
          <w:szCs w:val="24"/>
          <w:lang w:eastAsia="ru-RU"/>
        </w:rPr>
        <w:t>2019-</w:t>
      </w:r>
      <w:r w:rsidRPr="0066263B">
        <w:rPr>
          <w:rFonts w:ascii="Times New Roman" w:eastAsia="Times New Roman" w:hAnsi="Times New Roman" w:cs="Times New Roman"/>
          <w:sz w:val="24"/>
          <w:szCs w:val="24"/>
          <w:lang w:eastAsia="ru-RU"/>
        </w:rPr>
        <w:t>2020</w:t>
      </w:r>
      <w:r w:rsidR="006E3E2C" w:rsidRPr="0066263B">
        <w:rPr>
          <w:rFonts w:ascii="Times New Roman" w:eastAsia="Times New Roman" w:hAnsi="Times New Roman" w:cs="Times New Roman"/>
          <w:sz w:val="24"/>
          <w:szCs w:val="24"/>
          <w:lang w:eastAsia="ru-RU"/>
        </w:rPr>
        <w:t> г.г.</w:t>
      </w:r>
      <w:r w:rsidRPr="0066263B">
        <w:rPr>
          <w:rFonts w:ascii="Times New Roman" w:eastAsia="Times New Roman" w:hAnsi="Times New Roman" w:cs="Times New Roman"/>
          <w:sz w:val="24"/>
          <w:szCs w:val="24"/>
          <w:lang w:eastAsia="ru-RU"/>
        </w:rPr>
        <w:t xml:space="preserve">; 2018 </w:t>
      </w:r>
      <w:r w:rsidR="006E3E2C" w:rsidRPr="0066263B">
        <w:rPr>
          <w:rFonts w:ascii="Times New Roman" w:eastAsia="Times New Roman" w:hAnsi="Times New Roman" w:cs="Times New Roman"/>
          <w:sz w:val="24"/>
          <w:szCs w:val="24"/>
          <w:lang w:eastAsia="ru-RU"/>
        </w:rPr>
        <w:t>– несоответствий не выявлено</w:t>
      </w:r>
      <w:r w:rsidRPr="0066263B">
        <w:rPr>
          <w:rFonts w:ascii="Times New Roman" w:eastAsia="Times New Roman" w:hAnsi="Times New Roman" w:cs="Times New Roman"/>
          <w:sz w:val="24"/>
          <w:szCs w:val="24"/>
          <w:lang w:eastAsia="ru-RU"/>
        </w:rPr>
        <w:t>)</w:t>
      </w:r>
      <w:r w:rsidR="006E3E2C" w:rsidRPr="0066263B">
        <w:rPr>
          <w:rFonts w:ascii="Times New Roman" w:eastAsia="Times New Roman" w:hAnsi="Times New Roman" w:cs="Times New Roman"/>
          <w:sz w:val="24"/>
          <w:szCs w:val="24"/>
          <w:lang w:eastAsia="ru-RU"/>
        </w:rPr>
        <w:t>.</w:t>
      </w:r>
    </w:p>
    <w:p w:rsidR="007C12CD" w:rsidRPr="0066263B" w:rsidRDefault="007C12CD" w:rsidP="006E3E2C">
      <w:pPr>
        <w:spacing w:before="0" w:after="0"/>
        <w:ind w:firstLine="709"/>
        <w:rPr>
          <w:rFonts w:ascii="Times New Roman" w:eastAsia="Times New Roman" w:hAnsi="Times New Roman" w:cs="Times New Roman"/>
          <w:iCs/>
          <w:sz w:val="24"/>
          <w:szCs w:val="24"/>
          <w:lang w:eastAsia="ru-RU"/>
        </w:rPr>
      </w:pPr>
    </w:p>
    <w:p w:rsidR="003563FA" w:rsidRPr="0066263B" w:rsidRDefault="003563FA" w:rsidP="003563FA">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w:t>
      </w:r>
      <w:r w:rsidR="006C34E2" w:rsidRPr="0066263B">
        <w:rPr>
          <w:rFonts w:ascii="Times New Roman" w:eastAsia="Calibri" w:hAnsi="Times New Roman" w:cs="Times New Roman"/>
        </w:rPr>
        <w:fldChar w:fldCharType="end"/>
      </w:r>
    </w:p>
    <w:p w:rsidR="003563FA" w:rsidRPr="0066263B" w:rsidRDefault="003563FA" w:rsidP="003563FA">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воды из подземных источников централизованного водоснабжения,</w:t>
      </w:r>
      <w:r w:rsidRPr="0066263B">
        <w:rPr>
          <w:rFonts w:ascii="Times New Roman" w:eastAsia="TimesNewRomanPS-BoldMT" w:hAnsi="Times New Roman" w:cs="Times New Roman"/>
          <w:b/>
          <w:bCs/>
        </w:rPr>
        <w:br/>
        <w:t>не отвечающих гигиеническим нормативам, %</w:t>
      </w:r>
    </w:p>
    <w:p w:rsidR="003563FA" w:rsidRPr="0066263B" w:rsidRDefault="003563FA" w:rsidP="003563FA">
      <w:pPr>
        <w:spacing w:before="0" w:after="0"/>
        <w:jc w:val="center"/>
        <w:rPr>
          <w:rFonts w:ascii="Times New Roman" w:eastAsia="TimesNewRomanPS-BoldMT" w:hAnsi="Times New Roman" w:cs="Times New Roman"/>
          <w:b/>
          <w:bC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5"/>
        <w:gridCol w:w="1042"/>
        <w:gridCol w:w="1041"/>
        <w:gridCol w:w="1041"/>
        <w:gridCol w:w="2823"/>
      </w:tblGrid>
      <w:tr w:rsidR="003563FA" w:rsidRPr="0066263B" w:rsidTr="001F1432">
        <w:trPr>
          <w:trHeight w:val="279"/>
        </w:trPr>
        <w:tc>
          <w:tcPr>
            <w:tcW w:w="1722" w:type="pct"/>
            <w:vAlign w:val="center"/>
          </w:tcPr>
          <w:p w:rsidR="003563FA" w:rsidRPr="0066263B" w:rsidRDefault="003563FA" w:rsidP="003563F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Исследуемые показатели</w:t>
            </w:r>
          </w:p>
        </w:tc>
        <w:tc>
          <w:tcPr>
            <w:tcW w:w="574" w:type="pct"/>
            <w:vAlign w:val="center"/>
          </w:tcPr>
          <w:p w:rsidR="003563FA" w:rsidRPr="0066263B" w:rsidRDefault="003563FA" w:rsidP="003563F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2019</w:t>
            </w:r>
          </w:p>
        </w:tc>
        <w:tc>
          <w:tcPr>
            <w:tcW w:w="574" w:type="pct"/>
            <w:vAlign w:val="center"/>
          </w:tcPr>
          <w:p w:rsidR="003563FA" w:rsidRPr="0066263B" w:rsidRDefault="003563FA" w:rsidP="003563F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2020</w:t>
            </w:r>
          </w:p>
        </w:tc>
        <w:tc>
          <w:tcPr>
            <w:tcW w:w="574" w:type="pct"/>
            <w:vAlign w:val="center"/>
          </w:tcPr>
          <w:p w:rsidR="003563FA" w:rsidRPr="0066263B" w:rsidRDefault="003563FA" w:rsidP="003563F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2021</w:t>
            </w:r>
          </w:p>
        </w:tc>
        <w:tc>
          <w:tcPr>
            <w:tcW w:w="1556" w:type="pct"/>
          </w:tcPr>
          <w:p w:rsidR="003563FA" w:rsidRPr="0066263B" w:rsidRDefault="003563FA" w:rsidP="003563F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Темп прироста к 2019</w:t>
            </w:r>
            <w:r w:rsidRPr="0066263B">
              <w:rPr>
                <w:rFonts w:ascii="Times New Roman" w:eastAsia="Times New Roman" w:hAnsi="Times New Roman" w:cs="Times New Roman"/>
                <w:b/>
                <w:i/>
                <w:lang w:eastAsia="ru-RU"/>
              </w:rPr>
              <w:t>, %</w:t>
            </w:r>
          </w:p>
        </w:tc>
      </w:tr>
      <w:tr w:rsidR="001F1432" w:rsidRPr="0066263B" w:rsidTr="001F1432">
        <w:tc>
          <w:tcPr>
            <w:tcW w:w="1722" w:type="pct"/>
            <w:vAlign w:val="center"/>
          </w:tcPr>
          <w:p w:rsidR="001F1432" w:rsidRPr="0066263B" w:rsidRDefault="001F1432"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Санитарно-химические</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18,8</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16,8</w:t>
            </w:r>
          </w:p>
        </w:tc>
        <w:tc>
          <w:tcPr>
            <w:tcW w:w="1556"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-10,64</w:t>
            </w:r>
          </w:p>
        </w:tc>
      </w:tr>
      <w:tr w:rsidR="001F1432" w:rsidRPr="0066263B" w:rsidTr="001F1432">
        <w:tc>
          <w:tcPr>
            <w:tcW w:w="1722" w:type="pct"/>
          </w:tcPr>
          <w:p w:rsidR="001F1432" w:rsidRPr="0066263B" w:rsidRDefault="001F1432"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Микробиологические</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1556"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bl>
    <w:p w:rsidR="003563FA" w:rsidRPr="0066263B" w:rsidRDefault="003563FA" w:rsidP="006E3E2C">
      <w:pPr>
        <w:spacing w:before="0" w:after="0"/>
        <w:ind w:firstLine="709"/>
        <w:rPr>
          <w:rFonts w:ascii="Times New Roman" w:eastAsia="Times New Roman" w:hAnsi="Times New Roman" w:cs="Times New Roman"/>
          <w:iCs/>
          <w:sz w:val="24"/>
          <w:szCs w:val="24"/>
          <w:lang w:eastAsia="ru-RU"/>
        </w:rPr>
      </w:pPr>
    </w:p>
    <w:p w:rsidR="003563FA" w:rsidRPr="0066263B" w:rsidRDefault="003563FA" w:rsidP="006E3E2C">
      <w:pPr>
        <w:spacing w:before="0" w:after="0"/>
        <w:ind w:firstLine="709"/>
        <w:rPr>
          <w:rFonts w:ascii="Times New Roman" w:eastAsia="Times New Roman" w:hAnsi="Times New Roman" w:cs="Times New Roman"/>
          <w:iCs/>
          <w:sz w:val="24"/>
          <w:szCs w:val="24"/>
          <w:lang w:eastAsia="ru-RU"/>
        </w:rPr>
      </w:pPr>
    </w:p>
    <w:p w:rsidR="003563FA" w:rsidRPr="0066263B" w:rsidRDefault="003563FA" w:rsidP="003563FA">
      <w:pPr>
        <w:spacing w:before="0" w:after="0"/>
        <w:jc w:val="center"/>
        <w:rPr>
          <w:rFonts w:ascii="Times New Roman" w:eastAsia="Times New Roman" w:hAnsi="Times New Roman" w:cs="Times New Roman"/>
          <w:lang w:eastAsia="ru-RU"/>
        </w:rPr>
      </w:pPr>
      <w:r w:rsidRPr="0066263B">
        <w:rPr>
          <w:noProof/>
          <w:lang w:eastAsia="ru-RU"/>
        </w:rPr>
        <w:drawing>
          <wp:inline distT="0" distB="0" distL="0" distR="0">
            <wp:extent cx="4722935" cy="3879534"/>
            <wp:effectExtent l="19050" t="0" r="1465" b="0"/>
            <wp:docPr id="6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5" cstate="print"/>
                    <a:srcRect/>
                    <a:stretch>
                      <a:fillRect/>
                    </a:stretch>
                  </pic:blipFill>
                  <pic:spPr bwMode="auto">
                    <a:xfrm>
                      <a:off x="0" y="0"/>
                      <a:ext cx="4724253" cy="3880616"/>
                    </a:xfrm>
                    <a:prstGeom prst="rect">
                      <a:avLst/>
                    </a:prstGeom>
                    <a:noFill/>
                    <a:ln w="9525">
                      <a:noFill/>
                      <a:miter lim="800000"/>
                      <a:headEnd/>
                      <a:tailEnd/>
                    </a:ln>
                  </pic:spPr>
                </pic:pic>
              </a:graphicData>
            </a:graphic>
          </wp:inline>
        </w:drawing>
      </w:r>
    </w:p>
    <w:p w:rsidR="003563FA" w:rsidRPr="0066263B" w:rsidRDefault="003563FA" w:rsidP="003563FA">
      <w:pPr>
        <w:spacing w:before="0" w:after="0"/>
        <w:jc w:val="center"/>
        <w:rPr>
          <w:rFonts w:ascii="Times New Roman" w:eastAsia="Times New Roman" w:hAnsi="Times New Roman" w:cs="Times New Roman"/>
          <w:lang w:eastAsia="ru-RU"/>
        </w:rPr>
      </w:pPr>
    </w:p>
    <w:p w:rsidR="003563FA" w:rsidRPr="0066263B" w:rsidRDefault="003563FA" w:rsidP="003563FA">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18</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подземных источников централизованного водоснабжения с превышением гигиенических нормативов</w:t>
      </w:r>
      <w:r w:rsidRPr="0066263B">
        <w:rPr>
          <w:rFonts w:ascii="Times New Roman" w:eastAsia="Times New Roman" w:hAnsi="Times New Roman" w:cs="Times New Roman"/>
          <w:lang w:eastAsia="ru-RU"/>
        </w:rPr>
        <w:br/>
        <w:t>по санитарно-химическим показателям</w:t>
      </w:r>
    </w:p>
    <w:p w:rsidR="00411C86" w:rsidRPr="0066263B" w:rsidRDefault="00411C86" w:rsidP="00411C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2021 году наблюдается увеличение доли проб воды из подземных источников централизованного водоснабжения, не соответствующих санитарным требованиям по санитарно-химическим и микробиологическим показателям.</w:t>
      </w:r>
    </w:p>
    <w:p w:rsidR="003563FA" w:rsidRPr="0066263B" w:rsidRDefault="003563FA" w:rsidP="006E3E2C">
      <w:pPr>
        <w:spacing w:before="0" w:after="0"/>
        <w:ind w:firstLine="709"/>
        <w:rPr>
          <w:rFonts w:ascii="Times New Roman" w:eastAsia="Times New Roman" w:hAnsi="Times New Roman" w:cs="Times New Roman"/>
          <w:iCs/>
          <w:sz w:val="24"/>
          <w:szCs w:val="24"/>
          <w:lang w:eastAsia="ru-RU"/>
        </w:rPr>
      </w:pPr>
    </w:p>
    <w:p w:rsidR="003563FA" w:rsidRPr="0066263B" w:rsidRDefault="003563FA" w:rsidP="003563FA">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ходе проведённого анализа результатов исследований по административным территориям Брянской области установлено, что на территориях: г. Брянска, Брянского, Брасовского, Жирятинского, Злынковского, Карачевского, Климовского, Клетнянского, Комаричского, Навлинского, Новозыбковского, Почепского, Рогнединского, Севского и Суземского районов в 2021 году отмечается наибольшая доля проб воды, отобранных из подземных источников централизованного водоснабжения, не соответствующих санитарным требованиям по санитарно-химическим показателям и превышающая среднеобластной показатель – 16,8% (табл</w:t>
      </w:r>
      <w:proofErr w:type="gramEnd"/>
      <w:r w:rsidRPr="0066263B">
        <w:rPr>
          <w:rFonts w:ascii="Times New Roman" w:eastAsia="Times New Roman" w:hAnsi="Times New Roman" w:cs="Times New Roman"/>
          <w:sz w:val="24"/>
          <w:szCs w:val="24"/>
          <w:lang w:eastAsia="ru-RU"/>
        </w:rPr>
        <w:t>. 10).</w:t>
      </w:r>
    </w:p>
    <w:p w:rsidR="003563FA" w:rsidRPr="0066263B" w:rsidRDefault="003563FA" w:rsidP="003563FA">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w:t>
      </w:r>
      <w:r w:rsidR="006C34E2" w:rsidRPr="0066263B">
        <w:rPr>
          <w:rFonts w:ascii="Times New Roman" w:eastAsia="Calibri" w:hAnsi="Times New Roman" w:cs="Times New Roman"/>
        </w:rPr>
        <w:fldChar w:fldCharType="end"/>
      </w:r>
    </w:p>
    <w:p w:rsidR="003563FA" w:rsidRPr="0066263B" w:rsidRDefault="003563FA" w:rsidP="003563FA">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 xml:space="preserve">Доля проб воды </w:t>
      </w:r>
      <w:r w:rsidRPr="0066263B">
        <w:rPr>
          <w:rFonts w:ascii="Times New Roman" w:eastAsia="Times New Roman" w:hAnsi="Times New Roman" w:cs="Times New Roman"/>
          <w:b/>
          <w:lang w:eastAsia="ru-RU"/>
        </w:rPr>
        <w:t xml:space="preserve">из </w:t>
      </w:r>
      <w:r w:rsidR="00643D76" w:rsidRPr="0066263B">
        <w:rPr>
          <w:rFonts w:ascii="Times New Roman" w:eastAsia="Times New Roman" w:hAnsi="Times New Roman" w:cs="Times New Roman"/>
          <w:b/>
          <w:lang w:eastAsia="ru-RU"/>
        </w:rPr>
        <w:t xml:space="preserve">подземных </w:t>
      </w:r>
      <w:r w:rsidRPr="0066263B">
        <w:rPr>
          <w:rFonts w:ascii="Times New Roman" w:eastAsia="Times New Roman" w:hAnsi="Times New Roman" w:cs="Times New Roman"/>
          <w:b/>
          <w:lang w:eastAsia="ru-RU"/>
        </w:rPr>
        <w:t>источников централизованного водоснабжения, превышающих</w:t>
      </w:r>
      <w:r w:rsidR="00643D76" w:rsidRPr="0066263B">
        <w:rPr>
          <w:rFonts w:ascii="Times New Roman" w:eastAsia="Times New Roman" w:hAnsi="Times New Roman" w:cs="Times New Roman"/>
          <w:b/>
          <w:lang w:eastAsia="ru-RU"/>
        </w:rPr>
        <w:t xml:space="preserve"> </w:t>
      </w:r>
      <w:r w:rsidRPr="0066263B">
        <w:rPr>
          <w:rFonts w:ascii="Times New Roman" w:eastAsia="Times New Roman" w:hAnsi="Times New Roman" w:cs="Times New Roman"/>
          <w:b/>
          <w:lang w:eastAsia="ru-RU"/>
        </w:rPr>
        <w:t xml:space="preserve">гигиенические нормативы по </w:t>
      </w:r>
      <w:r w:rsidR="00643D76" w:rsidRPr="0066263B">
        <w:rPr>
          <w:rFonts w:ascii="Times New Roman" w:eastAsia="Times New Roman" w:hAnsi="Times New Roman" w:cs="Times New Roman"/>
          <w:b/>
          <w:lang w:eastAsia="ru-RU"/>
        </w:rPr>
        <w:t>санитарно-химическим</w:t>
      </w:r>
      <w:r w:rsidRPr="0066263B">
        <w:rPr>
          <w:rFonts w:ascii="Times New Roman" w:eastAsia="Times New Roman" w:hAnsi="Times New Roman" w:cs="Times New Roman"/>
          <w:b/>
          <w:lang w:eastAsia="ru-RU"/>
        </w:rPr>
        <w:t xml:space="preserve"> показателям</w:t>
      </w:r>
      <w:r w:rsidRPr="0066263B">
        <w:rPr>
          <w:rFonts w:ascii="Times New Roman" w:eastAsia="Times New Roman" w:hAnsi="Times New Roman" w:cs="Times New Roman"/>
          <w:b/>
          <w:lang w:eastAsia="ru-RU"/>
        </w:rPr>
        <w:br/>
        <w:t xml:space="preserve">по административным территориям, </w:t>
      </w:r>
      <w:r w:rsidRPr="0066263B">
        <w:rPr>
          <w:rFonts w:ascii="Times New Roman" w:eastAsia="TimesNewRomanPS-BoldMT" w:hAnsi="Times New Roman" w:cs="Times New Roman"/>
          <w:b/>
          <w:bCs/>
        </w:rPr>
        <w:t>%</w:t>
      </w:r>
    </w:p>
    <w:p w:rsidR="003563FA" w:rsidRPr="0066263B" w:rsidRDefault="003563FA" w:rsidP="003563FA">
      <w:pPr>
        <w:spacing w:before="0" w:after="0"/>
        <w:ind w:firstLine="709"/>
        <w:jc w:val="center"/>
        <w:rPr>
          <w:rFonts w:ascii="Times New Roman" w:eastAsia="TimesNewRomanPS-BoldMT" w:hAnsi="Times New Roman" w:cs="Times New Roman"/>
          <w:b/>
          <w:bCs/>
        </w:rPr>
      </w:pPr>
    </w:p>
    <w:tbl>
      <w:tblPr>
        <w:tblW w:w="4920" w:type="pct"/>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7"/>
        <w:gridCol w:w="1297"/>
        <w:gridCol w:w="1296"/>
      </w:tblGrid>
      <w:tr w:rsidR="003563FA" w:rsidRPr="0066263B" w:rsidTr="003563FA">
        <w:trPr>
          <w:jc w:val="center"/>
        </w:trPr>
        <w:tc>
          <w:tcPr>
            <w:tcW w:w="2871" w:type="pct"/>
            <w:vAlign w:val="center"/>
          </w:tcPr>
          <w:p w:rsidR="003563FA" w:rsidRPr="0066263B" w:rsidRDefault="003563FA" w:rsidP="003563F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Административная территория</w:t>
            </w:r>
          </w:p>
        </w:tc>
        <w:tc>
          <w:tcPr>
            <w:tcW w:w="710" w:type="pct"/>
            <w:vAlign w:val="center"/>
          </w:tcPr>
          <w:p w:rsidR="003563FA" w:rsidRPr="0066263B" w:rsidRDefault="003563FA" w:rsidP="003563F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10" w:type="pct"/>
            <w:vAlign w:val="center"/>
          </w:tcPr>
          <w:p w:rsidR="003563FA" w:rsidRPr="0066263B" w:rsidRDefault="003563FA" w:rsidP="003563F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09" w:type="pct"/>
            <w:vAlign w:val="center"/>
          </w:tcPr>
          <w:p w:rsidR="003563FA" w:rsidRPr="0066263B" w:rsidRDefault="003563FA" w:rsidP="003563F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Брянск</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28,8</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23,8</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39,5</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Клинцы</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7,4</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21,4</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11,1</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Сельцо</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10,5</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5,6</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Брасовский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40</w:t>
            </w:r>
            <w:r w:rsidR="00B80DF9">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45,4</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w:t>
            </w:r>
            <w:r w:rsidR="00B80DF9">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21,2</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Выгоничский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Дубровский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Дятьковский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3,2</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w:t>
            </w:r>
            <w:r w:rsidR="00B80DF9">
              <w:rPr>
                <w:rFonts w:ascii="Times New Roman" w:eastAsia="Times New Roman" w:hAnsi="Times New Roman" w:cs="Times New Roman"/>
                <w:bCs/>
                <w:lang w:eastAsia="ru-RU"/>
              </w:rPr>
              <w:t>,0</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w:t>
            </w:r>
            <w:r w:rsidR="00B80DF9">
              <w:rPr>
                <w:rFonts w:ascii="Times New Roman" w:eastAsia="Times New Roman" w:hAnsi="Times New Roman" w:cs="Times New Roman"/>
                <w:bCs/>
                <w:lang w:eastAsia="ru-RU"/>
              </w:rPr>
              <w:t>,0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13,3</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25,6</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Жуковский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12,2</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4,8</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Злынковский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53,3</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Карачевский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62,3</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51</w:t>
            </w:r>
            <w:r w:rsidR="00B80DF9">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24,3</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Клетнянский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16,7</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41,7</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Климовский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70,5</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36,6</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38,9</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8,3</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2,6</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Комаричский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83,3</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59,4</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80,6</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w:t>
            </w:r>
            <w:r w:rsidR="00B80DF9">
              <w:rPr>
                <w:rFonts w:ascii="Times New Roman" w:eastAsia="Times New Roman" w:hAnsi="Times New Roman" w:cs="Times New Roman"/>
                <w:bCs/>
                <w:lang w:eastAsia="ru-RU"/>
              </w:rPr>
              <w:t>,0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5,3</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3,7</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Мглинский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Навлинский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17,5</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11,3</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21,4</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18,2</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66,7</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13,3</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10,8</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Почепский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64,3</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47,3</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50,7</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Рогнединский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14,5</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8,1</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25,4</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2,3</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28,5</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11,6</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31,0</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13,3</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Трубчевский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26,4</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w:t>
            </w:r>
            <w:r w:rsidR="00B80DF9">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14,3</w:t>
            </w:r>
          </w:p>
        </w:tc>
      </w:tr>
      <w:tr w:rsidR="003563FA" w:rsidRPr="0066263B" w:rsidTr="003563FA">
        <w:trPr>
          <w:jc w:val="center"/>
        </w:trPr>
        <w:tc>
          <w:tcPr>
            <w:tcW w:w="2871" w:type="pct"/>
            <w:vAlign w:val="center"/>
          </w:tcPr>
          <w:p w:rsidR="003563FA" w:rsidRPr="0066263B" w:rsidRDefault="003563FA" w:rsidP="003563FA">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10" w:type="pct"/>
            <w:vAlign w:val="center"/>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w:t>
            </w:r>
            <w:r w:rsidR="00B80DF9">
              <w:rPr>
                <w:rFonts w:ascii="Times New Roman" w:eastAsia="Times New Roman" w:hAnsi="Times New Roman" w:cs="Times New Roman"/>
                <w:bCs/>
                <w:lang w:eastAsia="ru-RU"/>
              </w:rPr>
              <w:t>,0</w:t>
            </w:r>
          </w:p>
        </w:tc>
        <w:tc>
          <w:tcPr>
            <w:tcW w:w="710" w:type="pct"/>
          </w:tcPr>
          <w:p w:rsidR="003563FA" w:rsidRPr="0066263B" w:rsidRDefault="003563FA"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563FA" w:rsidRPr="0066263B" w:rsidRDefault="003563FA" w:rsidP="003563FA">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w:t>
            </w:r>
          </w:p>
        </w:tc>
      </w:tr>
    </w:tbl>
    <w:p w:rsidR="003563FA" w:rsidRPr="0066263B" w:rsidRDefault="003563FA" w:rsidP="006E3E2C">
      <w:pPr>
        <w:spacing w:before="0" w:after="0"/>
        <w:ind w:firstLine="709"/>
        <w:rPr>
          <w:rFonts w:ascii="Times New Roman" w:eastAsia="Times New Roman" w:hAnsi="Times New Roman" w:cs="Times New Roman"/>
          <w:iCs/>
          <w:sz w:val="24"/>
          <w:szCs w:val="24"/>
          <w:lang w:eastAsia="ru-RU"/>
        </w:rPr>
      </w:pPr>
    </w:p>
    <w:p w:rsidR="00643D76" w:rsidRPr="0066263B" w:rsidRDefault="00643D76" w:rsidP="00643D76">
      <w:pPr>
        <w:spacing w:before="0" w:after="0"/>
        <w:ind w:firstLine="709"/>
        <w:rPr>
          <w:rFonts w:ascii="Times New Roman" w:eastAsia="Times New Roman" w:hAnsi="Times New Roman" w:cs="Times New Roman"/>
          <w:iCs/>
          <w:sz w:val="24"/>
          <w:szCs w:val="24"/>
          <w:lang w:eastAsia="ru-RU"/>
        </w:rPr>
      </w:pPr>
    </w:p>
    <w:p w:rsidR="00643D76" w:rsidRPr="0066263B" w:rsidRDefault="00643D76" w:rsidP="00643D76">
      <w:pPr>
        <w:spacing w:before="0" w:after="0"/>
        <w:jc w:val="center"/>
        <w:rPr>
          <w:rFonts w:ascii="Times New Roman" w:eastAsia="Times New Roman" w:hAnsi="Times New Roman" w:cs="Times New Roman"/>
          <w:iCs/>
          <w:sz w:val="24"/>
          <w:szCs w:val="24"/>
          <w:lang w:eastAsia="ru-RU"/>
        </w:rPr>
      </w:pPr>
      <w:r w:rsidRPr="0066263B">
        <w:rPr>
          <w:noProof/>
          <w:lang w:eastAsia="ru-RU"/>
        </w:rPr>
        <w:drawing>
          <wp:inline distT="0" distB="0" distL="0" distR="0">
            <wp:extent cx="4406412" cy="3683825"/>
            <wp:effectExtent l="19050" t="0" r="0" b="0"/>
            <wp:docPr id="5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6" cstate="print"/>
                    <a:srcRect/>
                    <a:stretch>
                      <a:fillRect/>
                    </a:stretch>
                  </pic:blipFill>
                  <pic:spPr bwMode="auto">
                    <a:xfrm>
                      <a:off x="0" y="0"/>
                      <a:ext cx="4407624" cy="3684838"/>
                    </a:xfrm>
                    <a:prstGeom prst="rect">
                      <a:avLst/>
                    </a:prstGeom>
                    <a:noFill/>
                    <a:ln w="9525">
                      <a:noFill/>
                      <a:miter lim="800000"/>
                      <a:headEnd/>
                      <a:tailEnd/>
                    </a:ln>
                  </pic:spPr>
                </pic:pic>
              </a:graphicData>
            </a:graphic>
          </wp:inline>
        </w:drawing>
      </w:r>
    </w:p>
    <w:p w:rsidR="00643D76" w:rsidRPr="0066263B" w:rsidRDefault="00643D76" w:rsidP="00643D76">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19</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подземных источников централизованного водоснабжения с превышением гигиенических нормативов</w:t>
      </w:r>
      <w:r w:rsidRPr="0066263B">
        <w:rPr>
          <w:rFonts w:ascii="Times New Roman" w:eastAsia="Times New Roman" w:hAnsi="Times New Roman" w:cs="Times New Roman"/>
          <w:lang w:eastAsia="ru-RU"/>
        </w:rPr>
        <w:br/>
        <w:t>по микробиологическим показателям</w:t>
      </w:r>
    </w:p>
    <w:p w:rsidR="00643D76" w:rsidRPr="0066263B" w:rsidRDefault="00643D76" w:rsidP="006E3E2C">
      <w:pPr>
        <w:spacing w:before="0" w:after="0"/>
        <w:ind w:firstLine="709"/>
        <w:rPr>
          <w:rFonts w:ascii="Times New Roman" w:eastAsia="Times New Roman" w:hAnsi="Times New Roman" w:cs="Times New Roman"/>
          <w:iCs/>
          <w:sz w:val="24"/>
          <w:szCs w:val="24"/>
          <w:lang w:eastAsia="ru-RU"/>
        </w:rPr>
      </w:pPr>
    </w:p>
    <w:p w:rsidR="00643D76" w:rsidRPr="0066263B" w:rsidRDefault="00643D76" w:rsidP="00643D76">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ходе проведённого анализа результатов исследований по административным территориям Брянской области установлено, что на территориях: г. Клинцы, Брянского, Карачевского, Клетнянского, Климовского, Красногорского, Навлинского, Рогнединского, Севского и Суземского районов в 2021 году отмечается наибольшая доля проб воды, отобранных из подземных источников централизованного водоснабжения, не соответствующих санитарным требованиям по микробиологическим показателям и превышающая среднеобластной показатель – 1,8% (табл. 11).</w:t>
      </w:r>
      <w:proofErr w:type="gramEnd"/>
    </w:p>
    <w:p w:rsidR="00643D76" w:rsidRPr="0066263B" w:rsidRDefault="00643D76" w:rsidP="00643D76">
      <w:pPr>
        <w:spacing w:before="0" w:after="0"/>
        <w:ind w:firstLine="709"/>
        <w:rPr>
          <w:rFonts w:ascii="Times New Roman" w:eastAsia="Times New Roman" w:hAnsi="Times New Roman" w:cs="Times New Roman"/>
          <w:sz w:val="24"/>
          <w:szCs w:val="24"/>
          <w:lang w:eastAsia="ru-RU"/>
        </w:rPr>
      </w:pPr>
    </w:p>
    <w:p w:rsidR="00643D76" w:rsidRPr="0066263B" w:rsidRDefault="00643D76" w:rsidP="00643D76">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11</w:t>
      </w:r>
      <w:r w:rsidR="006C34E2" w:rsidRPr="0066263B">
        <w:rPr>
          <w:rFonts w:ascii="Times New Roman" w:eastAsia="Calibri" w:hAnsi="Times New Roman" w:cs="Times New Roman"/>
        </w:rPr>
        <w:fldChar w:fldCharType="end"/>
      </w:r>
    </w:p>
    <w:p w:rsidR="00643D76" w:rsidRPr="0066263B" w:rsidRDefault="00643D76" w:rsidP="00643D76">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 xml:space="preserve">Доля проб воды </w:t>
      </w:r>
      <w:r w:rsidRPr="0066263B">
        <w:rPr>
          <w:rFonts w:ascii="Times New Roman" w:eastAsia="Times New Roman" w:hAnsi="Times New Roman" w:cs="Times New Roman"/>
          <w:b/>
          <w:lang w:eastAsia="ru-RU"/>
        </w:rPr>
        <w:t>из подземных источников централизованного водоснабжения, превышающих гигиенические нормативы по микробиологическим показателям</w:t>
      </w:r>
      <w:r w:rsidRPr="0066263B">
        <w:rPr>
          <w:rFonts w:ascii="Times New Roman" w:eastAsia="Times New Roman" w:hAnsi="Times New Roman" w:cs="Times New Roman"/>
          <w:b/>
          <w:lang w:eastAsia="ru-RU"/>
        </w:rPr>
        <w:br/>
        <w:t xml:space="preserve">по административным территориям, </w:t>
      </w:r>
      <w:r w:rsidRPr="0066263B">
        <w:rPr>
          <w:rFonts w:ascii="Times New Roman" w:eastAsia="TimesNewRomanPS-BoldMT" w:hAnsi="Times New Roman" w:cs="Times New Roman"/>
          <w:b/>
          <w:bCs/>
        </w:rPr>
        <w:t>%</w:t>
      </w:r>
    </w:p>
    <w:p w:rsidR="00643D76" w:rsidRPr="0066263B" w:rsidRDefault="00643D76" w:rsidP="00643D76">
      <w:pPr>
        <w:spacing w:before="0" w:after="0"/>
        <w:ind w:firstLine="709"/>
        <w:jc w:val="center"/>
        <w:rPr>
          <w:rFonts w:ascii="Times New Roman" w:eastAsia="TimesNewRomanPS-BoldMT" w:hAnsi="Times New Roman" w:cs="Times New Roman"/>
          <w:b/>
          <w:bCs/>
        </w:rPr>
      </w:pPr>
    </w:p>
    <w:tbl>
      <w:tblPr>
        <w:tblW w:w="4920" w:type="pct"/>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7"/>
        <w:gridCol w:w="1297"/>
        <w:gridCol w:w="1296"/>
      </w:tblGrid>
      <w:tr w:rsidR="00643D76" w:rsidRPr="0066263B" w:rsidTr="003A0626">
        <w:trPr>
          <w:jc w:val="center"/>
        </w:trPr>
        <w:tc>
          <w:tcPr>
            <w:tcW w:w="2871" w:type="pct"/>
            <w:vAlign w:val="center"/>
          </w:tcPr>
          <w:p w:rsidR="00643D76" w:rsidRPr="0066263B" w:rsidRDefault="00643D76" w:rsidP="003A0626">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Административная территория</w:t>
            </w:r>
          </w:p>
        </w:tc>
        <w:tc>
          <w:tcPr>
            <w:tcW w:w="710" w:type="pct"/>
            <w:vAlign w:val="center"/>
          </w:tcPr>
          <w:p w:rsidR="00643D76" w:rsidRPr="0066263B" w:rsidRDefault="00643D76" w:rsidP="003A0626">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10" w:type="pct"/>
            <w:vAlign w:val="center"/>
          </w:tcPr>
          <w:p w:rsidR="00643D76" w:rsidRPr="0066263B" w:rsidRDefault="00643D76" w:rsidP="003A0626">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09" w:type="pct"/>
            <w:vAlign w:val="center"/>
          </w:tcPr>
          <w:p w:rsidR="00643D76" w:rsidRPr="0066263B" w:rsidRDefault="00643D76" w:rsidP="003A0626">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Брянск</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0,33</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0,9</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0,6</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Клинцы</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2,6</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7,1</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Сельцо</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Брасовский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5,1</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Выгоничский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Дубровский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3,9</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bl>
    <w:p w:rsidR="00411C86" w:rsidRPr="0066263B" w:rsidRDefault="00411C86" w:rsidP="00411C86">
      <w:pPr>
        <w:spacing w:before="0" w:after="20"/>
        <w:ind w:firstLine="709"/>
        <w:jc w:val="righ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продолжение таблицы 11</w:t>
      </w:r>
    </w:p>
    <w:tbl>
      <w:tblPr>
        <w:tblW w:w="4920" w:type="pct"/>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7"/>
        <w:gridCol w:w="1297"/>
        <w:gridCol w:w="1296"/>
      </w:tblGrid>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Дятьковский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5,5</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9</w:t>
            </w:r>
            <w:r w:rsidR="00B80DF9">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Жуковский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Злынковский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3,5</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Карачевский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2,7</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Клетнянский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8,6</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38,5</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Климовский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2,2</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4,3</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2,7</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Комаричский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5,1</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6,8</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Мглинский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Навлинский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1,8</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13,2</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0,8</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0,8</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Почепский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Рогнединский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10,3</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11,6</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w:t>
            </w:r>
            <w:r w:rsidR="00B80DF9">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4,1</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0,3</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15,2</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11,4</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Трубчевский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9,4</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43D76" w:rsidRPr="0066263B" w:rsidTr="003A0626">
        <w:trPr>
          <w:jc w:val="center"/>
        </w:trPr>
        <w:tc>
          <w:tcPr>
            <w:tcW w:w="2871" w:type="pct"/>
            <w:vAlign w:val="center"/>
          </w:tcPr>
          <w:p w:rsidR="00643D76" w:rsidRPr="0066263B" w:rsidRDefault="00643D7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10"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10" w:type="pct"/>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w:t>
            </w:r>
          </w:p>
        </w:tc>
        <w:tc>
          <w:tcPr>
            <w:tcW w:w="709" w:type="pct"/>
            <w:vAlign w:val="center"/>
          </w:tcPr>
          <w:p w:rsidR="00643D76" w:rsidRPr="0066263B" w:rsidRDefault="00643D76" w:rsidP="00643D7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bl>
    <w:p w:rsidR="00643D76" w:rsidRPr="0066263B" w:rsidRDefault="00643D76" w:rsidP="006E3E2C">
      <w:pPr>
        <w:spacing w:before="0" w:after="0"/>
        <w:ind w:firstLine="709"/>
        <w:rPr>
          <w:rFonts w:ascii="Times New Roman" w:eastAsia="Times New Roman" w:hAnsi="Times New Roman" w:cs="Times New Roman"/>
          <w:iCs/>
          <w:sz w:val="24"/>
          <w:szCs w:val="24"/>
          <w:lang w:eastAsia="ru-RU"/>
        </w:rPr>
      </w:pPr>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Гигиеническая характеристика качества питьевой воды из распределительной сети централизованного водоснабжения</w:t>
      </w:r>
    </w:p>
    <w:p w:rsidR="00572669" w:rsidRPr="0066263B" w:rsidRDefault="00572669" w:rsidP="0057266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Из распределительной сети </w:t>
      </w:r>
      <w:r w:rsidR="000C0684" w:rsidRPr="0066263B">
        <w:rPr>
          <w:rFonts w:ascii="Times New Roman" w:eastAsia="Times New Roman" w:hAnsi="Times New Roman" w:cs="Times New Roman"/>
          <w:sz w:val="24"/>
          <w:szCs w:val="24"/>
          <w:lang w:eastAsia="ru-RU"/>
        </w:rPr>
        <w:t>централизованного водоснабжения</w:t>
      </w:r>
      <w:r w:rsidRPr="0066263B">
        <w:rPr>
          <w:rFonts w:ascii="Times New Roman" w:eastAsia="Times New Roman" w:hAnsi="Times New Roman" w:cs="Times New Roman"/>
          <w:sz w:val="24"/>
          <w:szCs w:val="24"/>
          <w:lang w:eastAsia="ru-RU"/>
        </w:rPr>
        <w:t xml:space="preserve"> в 202</w:t>
      </w:r>
      <w:r w:rsidR="00DF305B"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отобрано и проанализировано</w:t>
      </w:r>
      <w:r w:rsidR="000274B7" w:rsidRPr="0066263B">
        <w:rPr>
          <w:rFonts w:ascii="Times New Roman" w:eastAsia="Times New Roman" w:hAnsi="Times New Roman" w:cs="Times New Roman"/>
          <w:sz w:val="24"/>
          <w:szCs w:val="24"/>
          <w:lang w:eastAsia="ru-RU"/>
        </w:rPr>
        <w:t xml:space="preserve"> 12 769 проб воды, из которых</w:t>
      </w:r>
      <w:r w:rsidRPr="0066263B">
        <w:rPr>
          <w:rFonts w:ascii="Times New Roman" w:eastAsia="Times New Roman" w:hAnsi="Times New Roman" w:cs="Times New Roman"/>
          <w:sz w:val="24"/>
          <w:szCs w:val="24"/>
          <w:lang w:eastAsia="ru-RU"/>
        </w:rPr>
        <w:t>:</w:t>
      </w:r>
    </w:p>
    <w:p w:rsidR="00572669" w:rsidRPr="0066263B" w:rsidRDefault="00DF305B"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6</w:t>
      </w:r>
      <w:r w:rsidR="00572669"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425</w:t>
      </w:r>
      <w:r w:rsidR="00572669" w:rsidRPr="0066263B">
        <w:rPr>
          <w:rFonts w:ascii="Times New Roman" w:eastAsia="Times New Roman" w:hAnsi="Times New Roman" w:cs="Times New Roman"/>
          <w:sz w:val="24"/>
          <w:szCs w:val="24"/>
          <w:lang w:eastAsia="ru-RU"/>
        </w:rPr>
        <w:t xml:space="preserve"> проб воды по санитарно-химическим показателям, из них </w:t>
      </w:r>
      <w:r w:rsidR="000274B7" w:rsidRPr="0066263B">
        <w:rPr>
          <w:rFonts w:ascii="Times New Roman" w:eastAsia="Times New Roman" w:hAnsi="Times New Roman" w:cs="Times New Roman"/>
          <w:sz w:val="24"/>
          <w:szCs w:val="24"/>
          <w:lang w:eastAsia="ru-RU"/>
        </w:rPr>
        <w:t>579</w:t>
      </w:r>
      <w:r w:rsidR="00572669" w:rsidRPr="0066263B">
        <w:rPr>
          <w:rFonts w:ascii="Times New Roman" w:eastAsia="Times New Roman" w:hAnsi="Times New Roman" w:cs="Times New Roman"/>
          <w:sz w:val="24"/>
          <w:szCs w:val="24"/>
          <w:lang w:eastAsia="ru-RU"/>
        </w:rPr>
        <w:t xml:space="preserve"> проб не соответствовали санитарным требованиям, что составило </w:t>
      </w:r>
      <w:r w:rsidR="000274B7" w:rsidRPr="0066263B">
        <w:rPr>
          <w:rFonts w:ascii="Times New Roman" w:eastAsia="Times New Roman" w:hAnsi="Times New Roman" w:cs="Times New Roman"/>
          <w:sz w:val="24"/>
          <w:szCs w:val="24"/>
          <w:lang w:eastAsia="ru-RU"/>
        </w:rPr>
        <w:t>9,0</w:t>
      </w:r>
      <w:r w:rsidR="00572669"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7,3%; </w:t>
      </w:r>
      <w:r w:rsidR="00572669" w:rsidRPr="0066263B">
        <w:rPr>
          <w:rFonts w:ascii="Times New Roman" w:eastAsia="Times New Roman" w:hAnsi="Times New Roman" w:cs="Times New Roman"/>
          <w:sz w:val="24"/>
          <w:szCs w:val="24"/>
          <w:lang w:eastAsia="ru-RU"/>
        </w:rPr>
        <w:t>2019 – 7,8%; 2018 – 7,9%; РФ 20</w:t>
      </w:r>
      <w:r w:rsidRPr="0066263B">
        <w:rPr>
          <w:rFonts w:ascii="Times New Roman" w:eastAsia="Times New Roman" w:hAnsi="Times New Roman" w:cs="Times New Roman"/>
          <w:sz w:val="24"/>
          <w:szCs w:val="24"/>
          <w:lang w:eastAsia="ru-RU"/>
        </w:rPr>
        <w:t>20</w:t>
      </w:r>
      <w:r w:rsidR="00572669" w:rsidRPr="0066263B">
        <w:rPr>
          <w:rFonts w:ascii="Times New Roman" w:eastAsia="Times New Roman" w:hAnsi="Times New Roman" w:cs="Times New Roman"/>
          <w:sz w:val="24"/>
          <w:szCs w:val="24"/>
          <w:lang w:eastAsia="ru-RU"/>
        </w:rPr>
        <w:t xml:space="preserve"> – </w:t>
      </w:r>
      <w:r w:rsidR="00792498" w:rsidRPr="0066263B">
        <w:rPr>
          <w:rFonts w:ascii="Times New Roman" w:eastAsia="Times New Roman" w:hAnsi="Times New Roman" w:cs="Times New Roman"/>
          <w:sz w:val="24"/>
          <w:szCs w:val="24"/>
          <w:lang w:eastAsia="ru-RU"/>
        </w:rPr>
        <w:t>13,26</w:t>
      </w:r>
      <w:r w:rsidR="00572669" w:rsidRPr="0066263B">
        <w:rPr>
          <w:rFonts w:ascii="Times New Roman" w:eastAsia="Times New Roman" w:hAnsi="Times New Roman" w:cs="Times New Roman"/>
          <w:sz w:val="24"/>
          <w:szCs w:val="24"/>
          <w:lang w:eastAsia="ru-RU"/>
        </w:rPr>
        <w:t>%);</w:t>
      </w:r>
    </w:p>
    <w:p w:rsidR="00572669" w:rsidRPr="0066263B" w:rsidRDefault="00572669"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10 </w:t>
      </w:r>
      <w:r w:rsidR="00DF305B" w:rsidRPr="0066263B">
        <w:rPr>
          <w:rFonts w:ascii="Times New Roman" w:eastAsia="Times New Roman" w:hAnsi="Times New Roman" w:cs="Times New Roman"/>
          <w:sz w:val="24"/>
          <w:szCs w:val="24"/>
          <w:lang w:eastAsia="ru-RU"/>
        </w:rPr>
        <w:t>168</w:t>
      </w:r>
      <w:r w:rsidRPr="0066263B">
        <w:rPr>
          <w:rFonts w:ascii="Times New Roman" w:eastAsia="Times New Roman" w:hAnsi="Times New Roman" w:cs="Times New Roman"/>
          <w:sz w:val="24"/>
          <w:szCs w:val="24"/>
          <w:lang w:eastAsia="ru-RU"/>
        </w:rPr>
        <w:t xml:space="preserve"> проб воды по микробиологическим показателям, из них 244 пробы не соответствовали нормативным требованиям, что составило 2,2% (</w:t>
      </w:r>
      <w:r w:rsidR="00DF305B" w:rsidRPr="0066263B">
        <w:rPr>
          <w:rFonts w:ascii="Times New Roman" w:eastAsia="Times New Roman" w:hAnsi="Times New Roman" w:cs="Times New Roman"/>
          <w:sz w:val="24"/>
          <w:szCs w:val="24"/>
          <w:lang w:eastAsia="ru-RU"/>
        </w:rPr>
        <w:t xml:space="preserve">2020 – 2,2%; </w:t>
      </w:r>
      <w:r w:rsidRPr="0066263B">
        <w:rPr>
          <w:rFonts w:ascii="Times New Roman" w:eastAsia="Times New Roman" w:hAnsi="Times New Roman" w:cs="Times New Roman"/>
          <w:sz w:val="24"/>
          <w:szCs w:val="24"/>
          <w:lang w:eastAsia="ru-RU"/>
        </w:rPr>
        <w:t>2019 – 1,9%; 2018 – 2,3%; РФ 20</w:t>
      </w:r>
      <w:r w:rsidR="00DF305B"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 2,6</w:t>
      </w:r>
      <w:r w:rsidR="007C12CD"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w:t>
      </w:r>
    </w:p>
    <w:p w:rsidR="00572669" w:rsidRPr="0066263B" w:rsidRDefault="00D119EA"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16 проб воды по</w:t>
      </w:r>
      <w:r w:rsidR="00572669" w:rsidRPr="0066263B">
        <w:rPr>
          <w:rFonts w:ascii="Times New Roman" w:eastAsia="Times New Roman" w:hAnsi="Times New Roman" w:cs="Times New Roman"/>
          <w:sz w:val="24"/>
          <w:szCs w:val="24"/>
          <w:lang w:eastAsia="ru-RU"/>
        </w:rPr>
        <w:t xml:space="preserve"> паразитологически</w:t>
      </w:r>
      <w:r w:rsidRPr="0066263B">
        <w:rPr>
          <w:rFonts w:ascii="Times New Roman" w:eastAsia="Times New Roman" w:hAnsi="Times New Roman" w:cs="Times New Roman"/>
          <w:sz w:val="24"/>
          <w:szCs w:val="24"/>
          <w:lang w:eastAsia="ru-RU"/>
        </w:rPr>
        <w:t>м</w:t>
      </w:r>
      <w:r w:rsidR="00572669" w:rsidRPr="0066263B">
        <w:rPr>
          <w:rFonts w:ascii="Times New Roman" w:eastAsia="Times New Roman" w:hAnsi="Times New Roman" w:cs="Times New Roman"/>
          <w:sz w:val="24"/>
          <w:szCs w:val="24"/>
          <w:lang w:eastAsia="ru-RU"/>
        </w:rPr>
        <w:t xml:space="preserve"> показател</w:t>
      </w:r>
      <w:r w:rsidRPr="0066263B">
        <w:rPr>
          <w:rFonts w:ascii="Times New Roman" w:eastAsia="Times New Roman" w:hAnsi="Times New Roman" w:cs="Times New Roman"/>
          <w:sz w:val="24"/>
          <w:szCs w:val="24"/>
          <w:lang w:eastAsia="ru-RU"/>
        </w:rPr>
        <w:t>ям,</w:t>
      </w:r>
      <w:r w:rsidR="00572669"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несоответствий не обнаружено</w:t>
      </w:r>
      <w:r w:rsidR="00572669" w:rsidRPr="0066263B">
        <w:rPr>
          <w:rFonts w:ascii="Times New Roman" w:eastAsia="Times New Roman" w:hAnsi="Times New Roman" w:cs="Times New Roman"/>
          <w:sz w:val="24"/>
          <w:szCs w:val="24"/>
          <w:lang w:eastAsia="ru-RU"/>
        </w:rPr>
        <w:t xml:space="preserve"> (201</w:t>
      </w:r>
      <w:r w:rsidRPr="0066263B">
        <w:rPr>
          <w:rFonts w:ascii="Times New Roman" w:eastAsia="Times New Roman" w:hAnsi="Times New Roman" w:cs="Times New Roman"/>
          <w:sz w:val="24"/>
          <w:szCs w:val="24"/>
          <w:lang w:eastAsia="ru-RU"/>
        </w:rPr>
        <w:t>8</w:t>
      </w:r>
      <w:r w:rsidR="00572669"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20 г.г.</w:t>
      </w:r>
      <w:r w:rsidR="00572669" w:rsidRPr="0066263B">
        <w:rPr>
          <w:rFonts w:ascii="Times New Roman" w:eastAsia="Times New Roman" w:hAnsi="Times New Roman" w:cs="Times New Roman"/>
          <w:sz w:val="24"/>
          <w:szCs w:val="24"/>
          <w:lang w:eastAsia="ru-RU"/>
        </w:rPr>
        <w:t xml:space="preserve"> – несоответствий не обнаружено) (табл. 1</w:t>
      </w:r>
      <w:r w:rsidR="00222578" w:rsidRPr="0066263B">
        <w:rPr>
          <w:rFonts w:ascii="Times New Roman" w:eastAsia="Times New Roman" w:hAnsi="Times New Roman" w:cs="Times New Roman"/>
          <w:sz w:val="24"/>
          <w:szCs w:val="24"/>
          <w:lang w:eastAsia="ru-RU"/>
        </w:rPr>
        <w:t>2</w:t>
      </w:r>
      <w:r w:rsidR="00572669" w:rsidRPr="0066263B">
        <w:rPr>
          <w:rFonts w:ascii="Times New Roman" w:eastAsia="Times New Roman" w:hAnsi="Times New Roman" w:cs="Times New Roman"/>
          <w:sz w:val="24"/>
          <w:szCs w:val="24"/>
          <w:lang w:eastAsia="ru-RU"/>
        </w:rPr>
        <w:t>).</w:t>
      </w:r>
    </w:p>
    <w:p w:rsidR="00DF305B" w:rsidRPr="0066263B" w:rsidRDefault="00DF305B" w:rsidP="000C0684">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воды из распределительной сети централизованного водоснабжения,</w:t>
      </w:r>
      <w:r w:rsidRPr="0066263B">
        <w:rPr>
          <w:rFonts w:ascii="Times New Roman" w:eastAsia="TimesNewRomanPS-BoldMT" w:hAnsi="Times New Roman" w:cs="Times New Roman"/>
          <w:b/>
          <w:bCs/>
        </w:rPr>
        <w:br/>
        <w:t>не отвечающих гигиеническим нормативам, %</w:t>
      </w:r>
    </w:p>
    <w:p w:rsidR="00324483" w:rsidRPr="0066263B" w:rsidRDefault="00324483" w:rsidP="00324483">
      <w:pPr>
        <w:spacing w:before="0" w:after="0"/>
        <w:jc w:val="center"/>
        <w:rPr>
          <w:rFonts w:ascii="Times New Roman" w:eastAsia="TimesNewRomanPS-BoldMT" w:hAnsi="Times New Roman" w:cs="Times New Roman"/>
          <w:b/>
          <w:bC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5"/>
        <w:gridCol w:w="1042"/>
        <w:gridCol w:w="1041"/>
        <w:gridCol w:w="1041"/>
        <w:gridCol w:w="2823"/>
      </w:tblGrid>
      <w:tr w:rsidR="007C12CD" w:rsidRPr="0066263B" w:rsidTr="001F1432">
        <w:trPr>
          <w:trHeight w:val="279"/>
        </w:trPr>
        <w:tc>
          <w:tcPr>
            <w:tcW w:w="1722" w:type="pct"/>
            <w:vAlign w:val="center"/>
          </w:tcPr>
          <w:p w:rsidR="007C12CD" w:rsidRPr="0066263B" w:rsidRDefault="007C12CD" w:rsidP="00324483">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Исследуемые показатели</w:t>
            </w:r>
          </w:p>
        </w:tc>
        <w:tc>
          <w:tcPr>
            <w:tcW w:w="574" w:type="pct"/>
            <w:vAlign w:val="center"/>
          </w:tcPr>
          <w:p w:rsidR="007C12CD" w:rsidRPr="0066263B" w:rsidRDefault="007C12CD" w:rsidP="003563F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2019</w:t>
            </w:r>
          </w:p>
        </w:tc>
        <w:tc>
          <w:tcPr>
            <w:tcW w:w="574" w:type="pct"/>
            <w:vAlign w:val="center"/>
          </w:tcPr>
          <w:p w:rsidR="007C12CD" w:rsidRPr="0066263B" w:rsidRDefault="007C12CD" w:rsidP="003563F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2020</w:t>
            </w:r>
          </w:p>
        </w:tc>
        <w:tc>
          <w:tcPr>
            <w:tcW w:w="574" w:type="pct"/>
            <w:vAlign w:val="center"/>
          </w:tcPr>
          <w:p w:rsidR="007C12CD" w:rsidRPr="0066263B" w:rsidRDefault="007C12CD" w:rsidP="00C15F8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2021</w:t>
            </w:r>
          </w:p>
        </w:tc>
        <w:tc>
          <w:tcPr>
            <w:tcW w:w="1556" w:type="pct"/>
          </w:tcPr>
          <w:p w:rsidR="007C12CD" w:rsidRPr="0066263B" w:rsidRDefault="007C12CD" w:rsidP="007C12CD">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Темп прироста к 2019</w:t>
            </w:r>
            <w:r w:rsidRPr="0066263B">
              <w:rPr>
                <w:rFonts w:ascii="Times New Roman" w:eastAsia="Times New Roman" w:hAnsi="Times New Roman" w:cs="Times New Roman"/>
                <w:b/>
                <w:i/>
                <w:lang w:eastAsia="ru-RU"/>
              </w:rPr>
              <w:t>, %</w:t>
            </w:r>
          </w:p>
        </w:tc>
      </w:tr>
      <w:tr w:rsidR="001F1432" w:rsidRPr="0066263B" w:rsidTr="001F1432">
        <w:tc>
          <w:tcPr>
            <w:tcW w:w="1722" w:type="pct"/>
            <w:vAlign w:val="center"/>
          </w:tcPr>
          <w:p w:rsidR="001F1432" w:rsidRPr="0066263B" w:rsidRDefault="001F1432"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Санитарно-химические</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7,8</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7,3</w:t>
            </w:r>
          </w:p>
        </w:tc>
        <w:tc>
          <w:tcPr>
            <w:tcW w:w="574" w:type="pct"/>
            <w:vAlign w:val="center"/>
          </w:tcPr>
          <w:p w:rsidR="001F1432" w:rsidRPr="0066263B" w:rsidRDefault="001F1432" w:rsidP="00C15F8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w:t>
            </w:r>
          </w:p>
        </w:tc>
        <w:tc>
          <w:tcPr>
            <w:tcW w:w="1556"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15,38</w:t>
            </w:r>
          </w:p>
        </w:tc>
      </w:tr>
      <w:tr w:rsidR="001F1432" w:rsidRPr="0066263B" w:rsidTr="001F1432">
        <w:tc>
          <w:tcPr>
            <w:tcW w:w="1722" w:type="pct"/>
          </w:tcPr>
          <w:p w:rsidR="001F1432" w:rsidRPr="0066263B" w:rsidRDefault="001F1432"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Микробиологические</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w:t>
            </w:r>
          </w:p>
        </w:tc>
        <w:tc>
          <w:tcPr>
            <w:tcW w:w="574" w:type="pct"/>
            <w:vAlign w:val="center"/>
          </w:tcPr>
          <w:p w:rsidR="001F1432" w:rsidRPr="0066263B" w:rsidRDefault="001F1432" w:rsidP="003563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c>
          <w:tcPr>
            <w:tcW w:w="574" w:type="pct"/>
            <w:vAlign w:val="center"/>
          </w:tcPr>
          <w:p w:rsidR="001F1432" w:rsidRPr="0066263B" w:rsidRDefault="001F1432" w:rsidP="00C15F8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c>
          <w:tcPr>
            <w:tcW w:w="1556"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15,79</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4C4DCA" w:rsidRPr="0066263B" w:rsidRDefault="004C4DCA" w:rsidP="004C4DCA">
      <w:pPr>
        <w:spacing w:before="0" w:after="0"/>
        <w:ind w:firstLine="709"/>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iCs/>
          <w:sz w:val="24"/>
          <w:szCs w:val="24"/>
          <w:lang w:eastAsia="ru-RU"/>
        </w:rPr>
        <w:t xml:space="preserve">Таким образом, </w:t>
      </w:r>
      <w:r w:rsidR="000274B7" w:rsidRPr="0066263B">
        <w:rPr>
          <w:rFonts w:ascii="Times New Roman" w:eastAsia="Times New Roman" w:hAnsi="Times New Roman" w:cs="Times New Roman"/>
          <w:iCs/>
          <w:sz w:val="24"/>
          <w:szCs w:val="24"/>
          <w:lang w:eastAsia="ru-RU"/>
        </w:rPr>
        <w:t xml:space="preserve">в 2021 году наблюдается некоторое увеличение доли проб воды из распределительной сети централизованного водоснабжения, не соответствующих санитарным требованиям по санитарно-химическим показателям, в то время как доля </w:t>
      </w:r>
      <w:r w:rsidR="000274B7" w:rsidRPr="0066263B">
        <w:rPr>
          <w:rFonts w:ascii="Times New Roman" w:eastAsia="Times New Roman" w:hAnsi="Times New Roman" w:cs="Times New Roman"/>
          <w:iCs/>
          <w:sz w:val="24"/>
          <w:szCs w:val="24"/>
          <w:lang w:eastAsia="ru-RU"/>
        </w:rPr>
        <w:lastRenderedPageBreak/>
        <w:t>несоответствующих проб по микробиологическим показателям осталась на уровне 2020 года.</w:t>
      </w:r>
    </w:p>
    <w:p w:rsidR="000274B7" w:rsidRPr="0066263B" w:rsidRDefault="000274B7" w:rsidP="000274B7">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261042" cy="3759200"/>
            <wp:effectExtent l="19050" t="0" r="6158" b="0"/>
            <wp:docPr id="5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7" cstate="print"/>
                    <a:srcRect/>
                    <a:stretch>
                      <a:fillRect/>
                    </a:stretch>
                  </pic:blipFill>
                  <pic:spPr bwMode="auto">
                    <a:xfrm>
                      <a:off x="0" y="0"/>
                      <a:ext cx="4263117" cy="3761030"/>
                    </a:xfrm>
                    <a:prstGeom prst="rect">
                      <a:avLst/>
                    </a:prstGeom>
                    <a:noFill/>
                    <a:ln w="9525">
                      <a:noFill/>
                      <a:miter lim="800000"/>
                      <a:headEnd/>
                      <a:tailEnd/>
                    </a:ln>
                  </pic:spPr>
                </pic:pic>
              </a:graphicData>
            </a:graphic>
          </wp:inline>
        </w:drawing>
      </w:r>
    </w:p>
    <w:p w:rsidR="000274B7" w:rsidRPr="0066263B" w:rsidRDefault="000274B7" w:rsidP="000274B7">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20</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распределительной сети</w:t>
      </w:r>
      <w:r w:rsidRPr="0066263B">
        <w:rPr>
          <w:rFonts w:ascii="Times New Roman" w:eastAsia="Times New Roman" w:hAnsi="Times New Roman" w:cs="Times New Roman"/>
          <w:lang w:eastAsia="ru-RU"/>
        </w:rPr>
        <w:br/>
        <w:t>централизованного водоснабжения с превышением гигиенических нормативов</w:t>
      </w:r>
      <w:r w:rsidRPr="0066263B">
        <w:rPr>
          <w:rFonts w:ascii="Times New Roman" w:eastAsia="Times New Roman" w:hAnsi="Times New Roman" w:cs="Times New Roman"/>
          <w:lang w:eastAsia="ru-RU"/>
        </w:rPr>
        <w:br/>
        <w:t>по санитарно-химическим показателям</w:t>
      </w:r>
    </w:p>
    <w:p w:rsidR="001F63A5" w:rsidRPr="0066263B" w:rsidRDefault="001F63A5" w:rsidP="001F63A5">
      <w:pPr>
        <w:spacing w:before="0" w:after="0"/>
        <w:jc w:val="center"/>
        <w:rPr>
          <w:rFonts w:ascii="Times New Roman" w:eastAsia="Times New Roman" w:hAnsi="Times New Roman" w:cs="Times New Roman"/>
          <w:sz w:val="28"/>
          <w:szCs w:val="28"/>
          <w:lang w:eastAsia="ru-RU"/>
        </w:rPr>
      </w:pPr>
      <w:r w:rsidRPr="0066263B">
        <w:rPr>
          <w:noProof/>
          <w:lang w:eastAsia="ru-RU"/>
        </w:rPr>
        <w:drawing>
          <wp:inline distT="0" distB="0" distL="0" distR="0">
            <wp:extent cx="4312285" cy="3827611"/>
            <wp:effectExtent l="19050" t="0" r="0" b="0"/>
            <wp:docPr id="1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8" cstate="print"/>
                    <a:srcRect/>
                    <a:stretch>
                      <a:fillRect/>
                    </a:stretch>
                  </pic:blipFill>
                  <pic:spPr bwMode="auto">
                    <a:xfrm>
                      <a:off x="0" y="0"/>
                      <a:ext cx="4313849" cy="3828999"/>
                    </a:xfrm>
                    <a:prstGeom prst="rect">
                      <a:avLst/>
                    </a:prstGeom>
                    <a:noFill/>
                    <a:ln w="9525">
                      <a:noFill/>
                      <a:miter lim="800000"/>
                      <a:headEnd/>
                      <a:tailEnd/>
                    </a:ln>
                  </pic:spPr>
                </pic:pic>
              </a:graphicData>
            </a:graphic>
          </wp:inline>
        </w:drawing>
      </w:r>
    </w:p>
    <w:p w:rsidR="001F63A5" w:rsidRPr="0066263B" w:rsidRDefault="001F63A5" w:rsidP="001F63A5">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21</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распределительной сети</w:t>
      </w:r>
      <w:r w:rsidRPr="0066263B">
        <w:rPr>
          <w:rFonts w:ascii="Times New Roman" w:eastAsia="Times New Roman" w:hAnsi="Times New Roman" w:cs="Times New Roman"/>
          <w:lang w:eastAsia="ru-RU"/>
        </w:rPr>
        <w:br/>
        <w:t>централизованного водоснабжения с превышением гигиенических нормативов</w:t>
      </w:r>
      <w:r w:rsidRPr="0066263B">
        <w:rPr>
          <w:rFonts w:ascii="Times New Roman" w:eastAsia="Times New Roman" w:hAnsi="Times New Roman" w:cs="Times New Roman"/>
          <w:lang w:eastAsia="ru-RU"/>
        </w:rPr>
        <w:br/>
        <w:t>по микробиологическим показателям</w:t>
      </w:r>
    </w:p>
    <w:p w:rsidR="000274B7" w:rsidRPr="0066263B" w:rsidRDefault="000274B7" w:rsidP="000274B7">
      <w:pPr>
        <w:spacing w:before="0" w:after="0"/>
        <w:ind w:firstLine="708"/>
        <w:outlineLvl w:val="1"/>
        <w:rPr>
          <w:rFonts w:ascii="Times New Roman" w:eastAsia="Times New Roman" w:hAnsi="Times New Roman" w:cs="Times New Roman"/>
          <w:bCs/>
          <w:sz w:val="24"/>
          <w:szCs w:val="24"/>
          <w:lang w:eastAsia="ru-RU"/>
        </w:rPr>
      </w:pPr>
      <w:proofErr w:type="gramStart"/>
      <w:r w:rsidRPr="0066263B">
        <w:rPr>
          <w:rFonts w:ascii="Times New Roman" w:eastAsia="Times New Roman" w:hAnsi="Times New Roman" w:cs="Times New Roman"/>
          <w:sz w:val="24"/>
          <w:szCs w:val="24"/>
          <w:lang w:eastAsia="ru-RU"/>
        </w:rPr>
        <w:lastRenderedPageBreak/>
        <w:t xml:space="preserve">В 2021 году наибольшая доля проб воды из распределительной сети централизованного водоснабжения, не соответствующих санитарным требованиям по санитарно-химическим показателям, и превышающая среднеобластной показатель (9,0%) на территориях: </w:t>
      </w:r>
      <w:r w:rsidRPr="0066263B">
        <w:rPr>
          <w:rFonts w:ascii="Times New Roman" w:eastAsia="Times New Roman" w:hAnsi="Times New Roman" w:cs="Times New Roman"/>
          <w:bCs/>
          <w:sz w:val="24"/>
          <w:szCs w:val="24"/>
          <w:lang w:eastAsia="ru-RU"/>
        </w:rPr>
        <w:t xml:space="preserve">г.г. Брянска, Сельцо, Брянского, </w:t>
      </w:r>
      <w:r w:rsidR="002D470F" w:rsidRPr="0066263B">
        <w:rPr>
          <w:rFonts w:ascii="Times New Roman" w:eastAsia="Times New Roman" w:hAnsi="Times New Roman" w:cs="Times New Roman"/>
          <w:bCs/>
          <w:sz w:val="24"/>
          <w:szCs w:val="24"/>
          <w:lang w:eastAsia="ru-RU"/>
        </w:rPr>
        <w:t>Жирятинского,</w:t>
      </w:r>
      <w:r w:rsidRPr="0066263B">
        <w:rPr>
          <w:rFonts w:ascii="Times New Roman" w:eastAsia="Times New Roman" w:hAnsi="Times New Roman" w:cs="Times New Roman"/>
          <w:bCs/>
          <w:sz w:val="24"/>
          <w:szCs w:val="24"/>
          <w:lang w:eastAsia="ru-RU"/>
        </w:rPr>
        <w:t xml:space="preserve"> Злынковского, Карачевского, </w:t>
      </w:r>
      <w:r w:rsidR="002D470F" w:rsidRPr="0066263B">
        <w:rPr>
          <w:rFonts w:ascii="Times New Roman" w:eastAsia="Times New Roman" w:hAnsi="Times New Roman" w:cs="Times New Roman"/>
          <w:iCs/>
          <w:sz w:val="24"/>
          <w:szCs w:val="24"/>
          <w:lang w:eastAsia="ru-RU"/>
        </w:rPr>
        <w:t xml:space="preserve">Клетнянского, </w:t>
      </w:r>
      <w:r w:rsidRPr="0066263B">
        <w:rPr>
          <w:rFonts w:ascii="Times New Roman" w:eastAsia="Times New Roman" w:hAnsi="Times New Roman" w:cs="Times New Roman"/>
          <w:bCs/>
          <w:sz w:val="24"/>
          <w:szCs w:val="24"/>
          <w:lang w:eastAsia="ru-RU"/>
        </w:rPr>
        <w:t xml:space="preserve">Климовского, Комаричского, </w:t>
      </w:r>
      <w:r w:rsidR="002D470F" w:rsidRPr="0066263B">
        <w:rPr>
          <w:rFonts w:ascii="Times New Roman" w:eastAsia="Times New Roman" w:hAnsi="Times New Roman" w:cs="Times New Roman"/>
          <w:iCs/>
          <w:sz w:val="24"/>
          <w:szCs w:val="24"/>
          <w:lang w:eastAsia="ru-RU"/>
        </w:rPr>
        <w:t xml:space="preserve">Красногорского, </w:t>
      </w:r>
      <w:r w:rsidRPr="0066263B">
        <w:rPr>
          <w:rFonts w:ascii="Times New Roman" w:eastAsia="Times New Roman" w:hAnsi="Times New Roman" w:cs="Times New Roman"/>
          <w:bCs/>
          <w:sz w:val="24"/>
          <w:szCs w:val="24"/>
          <w:lang w:eastAsia="ru-RU"/>
        </w:rPr>
        <w:t xml:space="preserve">Навлинского, Почепского, Погарского, </w:t>
      </w:r>
      <w:r w:rsidR="002D470F" w:rsidRPr="0066263B">
        <w:rPr>
          <w:rFonts w:ascii="Times New Roman" w:eastAsia="Times New Roman" w:hAnsi="Times New Roman" w:cs="Times New Roman"/>
          <w:iCs/>
          <w:sz w:val="24"/>
          <w:szCs w:val="24"/>
          <w:lang w:eastAsia="ru-RU"/>
        </w:rPr>
        <w:t xml:space="preserve">Рогнединского, </w:t>
      </w:r>
      <w:r w:rsidRPr="0066263B">
        <w:rPr>
          <w:rFonts w:ascii="Times New Roman" w:eastAsia="Times New Roman" w:hAnsi="Times New Roman" w:cs="Times New Roman"/>
          <w:bCs/>
          <w:sz w:val="24"/>
          <w:szCs w:val="24"/>
          <w:lang w:eastAsia="ru-RU"/>
        </w:rPr>
        <w:t xml:space="preserve">Суземского </w:t>
      </w:r>
      <w:r w:rsidR="002D470F" w:rsidRPr="0066263B">
        <w:rPr>
          <w:rFonts w:ascii="Times New Roman" w:eastAsia="Times New Roman" w:hAnsi="Times New Roman" w:cs="Times New Roman"/>
          <w:bCs/>
          <w:sz w:val="24"/>
          <w:szCs w:val="24"/>
          <w:lang w:eastAsia="ru-RU"/>
        </w:rPr>
        <w:t xml:space="preserve">и </w:t>
      </w:r>
      <w:r w:rsidR="002D470F" w:rsidRPr="0066263B">
        <w:rPr>
          <w:rFonts w:ascii="Times New Roman" w:eastAsia="Times New Roman" w:hAnsi="Times New Roman" w:cs="Times New Roman"/>
          <w:iCs/>
          <w:sz w:val="24"/>
          <w:szCs w:val="24"/>
          <w:lang w:eastAsia="ru-RU"/>
        </w:rPr>
        <w:t>Трубчевского</w:t>
      </w:r>
      <w:r w:rsidR="002D470F" w:rsidRPr="0066263B">
        <w:rPr>
          <w:rFonts w:ascii="Times New Roman" w:eastAsia="Times New Roman" w:hAnsi="Times New Roman" w:cs="Times New Roman"/>
          <w:bCs/>
          <w:sz w:val="24"/>
          <w:szCs w:val="24"/>
          <w:lang w:eastAsia="ru-RU"/>
        </w:rPr>
        <w:t xml:space="preserve"> </w:t>
      </w:r>
      <w:r w:rsidRPr="0066263B">
        <w:rPr>
          <w:rFonts w:ascii="Times New Roman" w:eastAsia="Times New Roman" w:hAnsi="Times New Roman" w:cs="Times New Roman"/>
          <w:bCs/>
          <w:sz w:val="24"/>
          <w:szCs w:val="24"/>
          <w:lang w:eastAsia="ru-RU"/>
        </w:rPr>
        <w:t>районов (табл. 1</w:t>
      </w:r>
      <w:r w:rsidR="00222578" w:rsidRPr="0066263B">
        <w:rPr>
          <w:rFonts w:ascii="Times New Roman" w:eastAsia="Times New Roman" w:hAnsi="Times New Roman" w:cs="Times New Roman"/>
          <w:bCs/>
          <w:sz w:val="24"/>
          <w:szCs w:val="24"/>
          <w:lang w:eastAsia="ru-RU"/>
        </w:rPr>
        <w:t>3</w:t>
      </w:r>
      <w:r w:rsidRPr="0066263B">
        <w:rPr>
          <w:rFonts w:ascii="Times New Roman" w:eastAsia="Times New Roman" w:hAnsi="Times New Roman" w:cs="Times New Roman"/>
          <w:bCs/>
          <w:sz w:val="24"/>
          <w:szCs w:val="24"/>
          <w:lang w:eastAsia="ru-RU"/>
        </w:rPr>
        <w:t>).</w:t>
      </w:r>
      <w:proofErr w:type="gramEnd"/>
    </w:p>
    <w:p w:rsidR="001F63A5" w:rsidRPr="0066263B" w:rsidRDefault="001F63A5" w:rsidP="000274B7">
      <w:pPr>
        <w:spacing w:before="0" w:after="0"/>
        <w:ind w:firstLine="708"/>
        <w:outlineLvl w:val="1"/>
        <w:rPr>
          <w:rFonts w:ascii="Times New Roman" w:eastAsia="Times New Roman" w:hAnsi="Times New Roman" w:cs="Times New Roman"/>
          <w:bCs/>
          <w:sz w:val="24"/>
          <w:szCs w:val="24"/>
          <w:lang w:eastAsia="ru-RU"/>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13</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воды из распределительной сети централизованного водоснабжения,</w:t>
      </w:r>
      <w:r w:rsidRPr="0066263B">
        <w:rPr>
          <w:rFonts w:ascii="Times New Roman" w:eastAsia="TimesNewRomanPS-BoldMT" w:hAnsi="Times New Roman" w:cs="Times New Roman"/>
          <w:b/>
          <w:bCs/>
        </w:rPr>
        <w:br/>
        <w:t xml:space="preserve">не отвечающих гигиеническим нормативам по </w:t>
      </w:r>
      <w:r w:rsidRPr="0066263B">
        <w:rPr>
          <w:rFonts w:ascii="Times New Roman" w:eastAsia="Times New Roman" w:hAnsi="Times New Roman" w:cs="Times New Roman"/>
          <w:b/>
          <w:bCs/>
          <w:lang w:eastAsia="ru-RU"/>
        </w:rPr>
        <w:t>санитарно-химическим показателям</w:t>
      </w:r>
      <w:r w:rsidRPr="0066263B">
        <w:rPr>
          <w:rFonts w:ascii="Times New Roman" w:eastAsia="TimesNewRomanPS-BoldMT" w:hAnsi="Times New Roman" w:cs="Times New Roman"/>
          <w:b/>
          <w:bCs/>
        </w:rPr>
        <w:t>,</w:t>
      </w:r>
      <w:r w:rsidRPr="0066263B">
        <w:rPr>
          <w:rFonts w:ascii="Times New Roman" w:eastAsia="TimesNewRomanPS-BoldMT" w:hAnsi="Times New Roman" w:cs="Times New Roman"/>
          <w:b/>
          <w:bCs/>
        </w:rPr>
        <w:br/>
        <w:t>по административным территориям, %</w:t>
      </w:r>
    </w:p>
    <w:p w:rsidR="00324483" w:rsidRPr="0066263B" w:rsidRDefault="00324483" w:rsidP="00324483">
      <w:pPr>
        <w:spacing w:before="0" w:after="0"/>
        <w:jc w:val="center"/>
        <w:rPr>
          <w:rFonts w:ascii="Times New Roman" w:eastAsia="TimesNewRomanPS-BoldMT" w:hAnsi="Times New Roman" w:cs="Times New Roman"/>
          <w:b/>
          <w:bCs/>
        </w:rPr>
      </w:pPr>
    </w:p>
    <w:tbl>
      <w:tblPr>
        <w:tblW w:w="4917"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5"/>
        <w:gridCol w:w="1295"/>
        <w:gridCol w:w="1295"/>
      </w:tblGrid>
      <w:tr w:rsidR="002D470F" w:rsidRPr="0066263B" w:rsidTr="003A0626">
        <w:trPr>
          <w:jc w:val="center"/>
        </w:trPr>
        <w:tc>
          <w:tcPr>
            <w:tcW w:w="2873" w:type="pct"/>
            <w:vAlign w:val="center"/>
          </w:tcPr>
          <w:p w:rsidR="002D470F" w:rsidRPr="0066263B" w:rsidRDefault="002D470F" w:rsidP="00324483">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Административная территория</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09" w:type="pct"/>
            <w:vAlign w:val="center"/>
          </w:tcPr>
          <w:p w:rsidR="002D470F" w:rsidRPr="0066263B" w:rsidRDefault="002D470F" w:rsidP="00C15F8A">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Брянск</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9,9</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10,7</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12,3</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Клинцы</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2,7</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3,4</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3,4</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Сельцо</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36,1</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32,2</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45,0</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Брасовский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4,0</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22,1</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22,0</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20,1</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Выгоничский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7,1</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2,6</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14,5</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14,0</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6,5</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Дубровский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7,3</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6,5</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Дятьковский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4,6</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4,1</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11,5</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7,3</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55,2</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Жуковский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11,9</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1,2</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Злынковский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32,9</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20,6</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10,9</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Карачевский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35,5</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28,7</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24,4</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Клетнянский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8,0</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19,2</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Климовский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4,5</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7,8</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15,2</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19,2</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6,8</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Комаричский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44,1</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26,8</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18,7</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5,9</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13,3</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Мглинский район</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1,6</w:t>
            </w:r>
          </w:p>
        </w:tc>
        <w:tc>
          <w:tcPr>
            <w:tcW w:w="709" w:type="pct"/>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3,0</w:t>
            </w:r>
          </w:p>
        </w:tc>
      </w:tr>
      <w:tr w:rsidR="002D470F" w:rsidRPr="0066263B" w:rsidTr="003A0626">
        <w:trPr>
          <w:jc w:val="center"/>
        </w:trPr>
        <w:tc>
          <w:tcPr>
            <w:tcW w:w="2873" w:type="pct"/>
            <w:vAlign w:val="center"/>
          </w:tcPr>
          <w:p w:rsidR="002D470F" w:rsidRPr="0066263B" w:rsidRDefault="002D470F"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Навлинский район</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15,0</w:t>
            </w:r>
          </w:p>
        </w:tc>
        <w:tc>
          <w:tcPr>
            <w:tcW w:w="709" w:type="pct"/>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21,5</w:t>
            </w:r>
          </w:p>
        </w:tc>
        <w:tc>
          <w:tcPr>
            <w:tcW w:w="709" w:type="pct"/>
            <w:vAlign w:val="center"/>
          </w:tcPr>
          <w:p w:rsidR="002D470F" w:rsidRPr="0066263B" w:rsidRDefault="002D470F" w:rsidP="002D470F">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18,2</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16,3</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8,2</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10,3</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10,5</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8,1</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11,8</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Почепский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15,7</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8,9</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29,3</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Рогнединский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8,3</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26,0</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10,1</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0,4</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0,2</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0,5</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14,7</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10,3</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13,5</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0,2</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0,2</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Трубчевский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14,3</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5,9</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21,6</w:t>
            </w:r>
          </w:p>
        </w:tc>
      </w:tr>
      <w:tr w:rsidR="002D470F" w:rsidRPr="0066263B" w:rsidTr="003A0626">
        <w:trPr>
          <w:jc w:val="center"/>
        </w:trPr>
        <w:tc>
          <w:tcPr>
            <w:tcW w:w="2873" w:type="pct"/>
            <w:vAlign w:val="center"/>
          </w:tcPr>
          <w:p w:rsidR="002D470F" w:rsidRPr="0066263B" w:rsidRDefault="002D470F"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8,6</w:t>
            </w:r>
          </w:p>
        </w:tc>
        <w:tc>
          <w:tcPr>
            <w:tcW w:w="709" w:type="pct"/>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2,0</w:t>
            </w:r>
          </w:p>
        </w:tc>
        <w:tc>
          <w:tcPr>
            <w:tcW w:w="709" w:type="pct"/>
            <w:vAlign w:val="center"/>
          </w:tcPr>
          <w:p w:rsidR="002D470F" w:rsidRPr="0066263B" w:rsidRDefault="002D470F"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6,9</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0C0684" w:rsidRPr="0066263B" w:rsidRDefault="00C15F8A" w:rsidP="00C15F8A">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По микробиологическим показателям наибольшая доля проб воды из распределительной сети централизованного водоснабжения, не соответствующих гигиеническим требованиям по микробиологическим показателям, и превышающая </w:t>
      </w:r>
      <w:r w:rsidRPr="0066263B">
        <w:rPr>
          <w:rFonts w:ascii="Times New Roman" w:eastAsia="Times New Roman" w:hAnsi="Times New Roman" w:cs="Times New Roman"/>
          <w:sz w:val="24"/>
          <w:szCs w:val="24"/>
          <w:lang w:eastAsia="ru-RU"/>
        </w:rPr>
        <w:lastRenderedPageBreak/>
        <w:t>среднеобластной показатель (2,2%) в 202</w:t>
      </w:r>
      <w:r w:rsidR="002D470F"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на территориях: </w:t>
      </w:r>
      <w:r w:rsidR="002D470F" w:rsidRPr="0066263B">
        <w:rPr>
          <w:rFonts w:ascii="Times New Roman" w:eastAsia="Times New Roman" w:hAnsi="Times New Roman" w:cs="Times New Roman"/>
          <w:sz w:val="24"/>
          <w:szCs w:val="24"/>
          <w:lang w:eastAsia="ru-RU"/>
        </w:rPr>
        <w:t>г.</w:t>
      </w:r>
      <w:r w:rsidRPr="0066263B">
        <w:rPr>
          <w:rFonts w:ascii="Times New Roman" w:eastAsia="Times New Roman" w:hAnsi="Times New Roman" w:cs="Times New Roman"/>
          <w:sz w:val="24"/>
          <w:szCs w:val="24"/>
          <w:lang w:eastAsia="ru-RU"/>
        </w:rPr>
        <w:t>г. </w:t>
      </w:r>
      <w:r w:rsidR="002D470F" w:rsidRPr="0066263B">
        <w:rPr>
          <w:rFonts w:ascii="Times New Roman" w:eastAsia="Times New Roman" w:hAnsi="Times New Roman" w:cs="Times New Roman"/>
          <w:sz w:val="24"/>
          <w:szCs w:val="24"/>
          <w:lang w:eastAsia="ru-RU"/>
        </w:rPr>
        <w:t xml:space="preserve">Брянск, Клинцы, </w:t>
      </w:r>
      <w:r w:rsidRPr="0066263B">
        <w:rPr>
          <w:rFonts w:ascii="Times New Roman" w:eastAsia="Times New Roman" w:hAnsi="Times New Roman" w:cs="Times New Roman"/>
          <w:sz w:val="24"/>
          <w:szCs w:val="24"/>
          <w:lang w:eastAsia="ru-RU"/>
        </w:rPr>
        <w:t xml:space="preserve">Сельцо, Брасовского, Брянского, </w:t>
      </w:r>
      <w:r w:rsidR="002D470F" w:rsidRPr="0066263B">
        <w:rPr>
          <w:rFonts w:ascii="Times New Roman" w:eastAsia="Times New Roman" w:hAnsi="Times New Roman" w:cs="Times New Roman"/>
          <w:sz w:val="24"/>
          <w:szCs w:val="24"/>
          <w:lang w:eastAsia="ru-RU"/>
        </w:rPr>
        <w:t xml:space="preserve">Гордеевского, </w:t>
      </w:r>
      <w:r w:rsidRPr="0066263B">
        <w:rPr>
          <w:rFonts w:ascii="Times New Roman" w:eastAsia="Times New Roman" w:hAnsi="Times New Roman" w:cs="Times New Roman"/>
          <w:sz w:val="24"/>
          <w:szCs w:val="24"/>
          <w:lang w:eastAsia="ru-RU"/>
        </w:rPr>
        <w:t xml:space="preserve">Дубровского, Дятьковского, Карачевского, Клетнянского, </w:t>
      </w:r>
      <w:r w:rsidR="002D470F" w:rsidRPr="0066263B">
        <w:rPr>
          <w:rFonts w:ascii="Times New Roman" w:eastAsia="Times New Roman" w:hAnsi="Times New Roman" w:cs="Times New Roman"/>
          <w:sz w:val="24"/>
          <w:szCs w:val="24"/>
          <w:lang w:eastAsia="ru-RU"/>
        </w:rPr>
        <w:t xml:space="preserve">Климовского, Клинцовского, Красногорского, </w:t>
      </w:r>
      <w:r w:rsidRPr="0066263B">
        <w:rPr>
          <w:rFonts w:ascii="Times New Roman" w:eastAsia="Times New Roman" w:hAnsi="Times New Roman" w:cs="Times New Roman"/>
          <w:sz w:val="24"/>
          <w:szCs w:val="24"/>
          <w:lang w:eastAsia="ru-RU"/>
        </w:rPr>
        <w:t>Навлинского, Рогнединского и Суземского районов (табл. 1</w:t>
      </w:r>
      <w:r w:rsidR="00222578"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w:t>
      </w:r>
      <w:proofErr w:type="gramEnd"/>
    </w:p>
    <w:p w:rsidR="001F63A5" w:rsidRPr="0066263B" w:rsidRDefault="001F63A5" w:rsidP="00C15F8A">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воды из распределительной сети централизованного водоснабжения,</w:t>
      </w:r>
      <w:r w:rsidRPr="0066263B">
        <w:rPr>
          <w:rFonts w:ascii="Times New Roman" w:eastAsia="TimesNewRomanPS-BoldMT" w:hAnsi="Times New Roman" w:cs="Times New Roman"/>
          <w:b/>
          <w:bCs/>
        </w:rPr>
        <w:br/>
        <w:t xml:space="preserve">не отвечающих гигиеническим нормативам по </w:t>
      </w:r>
      <w:r w:rsidRPr="0066263B">
        <w:rPr>
          <w:rFonts w:ascii="Times New Roman" w:eastAsia="Times New Roman" w:hAnsi="Times New Roman" w:cs="Times New Roman"/>
          <w:b/>
          <w:bCs/>
          <w:lang w:eastAsia="ru-RU"/>
        </w:rPr>
        <w:t>микробиологическим показателям</w:t>
      </w:r>
      <w:r w:rsidRPr="0066263B">
        <w:rPr>
          <w:rFonts w:ascii="Times New Roman" w:eastAsia="TimesNewRomanPS-BoldMT" w:hAnsi="Times New Roman" w:cs="Times New Roman"/>
          <w:b/>
          <w:bCs/>
        </w:rPr>
        <w:t>,</w:t>
      </w:r>
      <w:r w:rsidRPr="0066263B">
        <w:rPr>
          <w:rFonts w:ascii="Times New Roman" w:eastAsia="TimesNewRomanPS-BoldMT" w:hAnsi="Times New Roman" w:cs="Times New Roman"/>
          <w:b/>
          <w:bCs/>
        </w:rPr>
        <w:br/>
        <w:t>по административным территориям, %</w:t>
      </w:r>
    </w:p>
    <w:p w:rsidR="00324483" w:rsidRPr="0066263B" w:rsidRDefault="00324483" w:rsidP="00324483">
      <w:pPr>
        <w:spacing w:before="0" w:after="0"/>
        <w:jc w:val="center"/>
        <w:rPr>
          <w:rFonts w:ascii="Times New Roman" w:eastAsia="TimesNewRomanPS-BoldMT" w:hAnsi="Times New Roman" w:cs="Times New Roman"/>
          <w:b/>
          <w:bCs/>
        </w:rPr>
      </w:pPr>
    </w:p>
    <w:tbl>
      <w:tblPr>
        <w:tblW w:w="4917"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5"/>
        <w:gridCol w:w="1295"/>
        <w:gridCol w:w="1295"/>
      </w:tblGrid>
      <w:tr w:rsidR="006157F6" w:rsidRPr="0066263B" w:rsidTr="003A0626">
        <w:trPr>
          <w:jc w:val="center"/>
        </w:trPr>
        <w:tc>
          <w:tcPr>
            <w:tcW w:w="2873" w:type="pct"/>
            <w:vAlign w:val="center"/>
          </w:tcPr>
          <w:p w:rsidR="006157F6" w:rsidRPr="0066263B" w:rsidRDefault="006157F6" w:rsidP="00324483">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Административная территория</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09" w:type="pct"/>
            <w:vAlign w:val="center"/>
          </w:tcPr>
          <w:p w:rsidR="006157F6" w:rsidRPr="0066263B" w:rsidRDefault="006157F6" w:rsidP="00C15F8A">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Брянск</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1,6</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3,7</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Клинцы</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0,8</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0,9</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Сельцо</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1,9</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5,1</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Брасовский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7,0</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6,2</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6,0</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w:t>
            </w:r>
            <w:r w:rsidR="00B80DF9">
              <w:rPr>
                <w:rFonts w:ascii="Times New Roman" w:eastAsia="Times New Roman" w:hAnsi="Times New Roman" w:cs="Times New Roman"/>
                <w:bCs/>
                <w:lang w:eastAsia="ru-RU"/>
              </w:rPr>
              <w:t>,0</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Выгоничский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4,7</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12,6</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0,6</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4,5</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3,2</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Дубровский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3,1</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8,3</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w:t>
            </w:r>
            <w:r w:rsidR="00B80DF9">
              <w:rPr>
                <w:rFonts w:ascii="Times New Roman" w:eastAsia="Times New Roman" w:hAnsi="Times New Roman" w:cs="Times New Roman"/>
                <w:bCs/>
                <w:lang w:eastAsia="ru-RU"/>
              </w:rPr>
              <w:t>,0</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Дятьковский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3,8</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2,6</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3,1</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Жуковский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1,5</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1,6</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w:t>
            </w:r>
            <w:r w:rsidR="00B80DF9">
              <w:rPr>
                <w:rFonts w:ascii="Times New Roman" w:eastAsia="Times New Roman" w:hAnsi="Times New Roman" w:cs="Times New Roman"/>
                <w:bCs/>
                <w:lang w:eastAsia="ru-RU"/>
              </w:rPr>
              <w:t>,0</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Злынковский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4,5</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Карачевский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5,8</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4,1</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Клетнянский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3,4</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9,8</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4,8</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Климовский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0,9</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0,8</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2,2</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2,9</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1,7</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8,9</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Комаричский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10,7</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1,2</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14,6</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Мглинский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1,5</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0,6</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Навлинский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6,1</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3,0</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5,6</w:t>
            </w:r>
          </w:p>
        </w:tc>
      </w:tr>
      <w:tr w:rsidR="006157F6" w:rsidRPr="0066263B" w:rsidTr="003A0626">
        <w:trPr>
          <w:jc w:val="center"/>
        </w:trPr>
        <w:tc>
          <w:tcPr>
            <w:tcW w:w="2873" w:type="pct"/>
            <w:vAlign w:val="center"/>
          </w:tcPr>
          <w:p w:rsidR="006157F6" w:rsidRPr="0066263B" w:rsidRDefault="006157F6" w:rsidP="00053F3B">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3,1</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0,3</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1,2</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0,5</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Почепский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0,4</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Рогнединский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2,0</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9,4</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4,9</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4,3</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w:t>
            </w:r>
            <w:r w:rsidR="00B80DF9">
              <w:rPr>
                <w:rFonts w:ascii="Times New Roman" w:eastAsia="Times New Roman" w:hAnsi="Times New Roman" w:cs="Times New Roman"/>
                <w:bCs/>
                <w:lang w:eastAsia="ru-RU"/>
              </w:rPr>
              <w:t>,0,</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1,6</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1,8</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w:t>
            </w:r>
            <w:r w:rsidR="00B80DF9">
              <w:rPr>
                <w:rFonts w:ascii="Times New Roman" w:eastAsia="Times New Roman" w:hAnsi="Times New Roman" w:cs="Times New Roman"/>
                <w:bCs/>
                <w:lang w:eastAsia="ru-RU"/>
              </w:rPr>
              <w:t>,0</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3,0</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4,7</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6,3</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0,4</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1,9</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Трубчевский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0,5</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0,6</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6157F6" w:rsidRPr="0066263B" w:rsidTr="003A0626">
        <w:trPr>
          <w:jc w:val="center"/>
        </w:trPr>
        <w:tc>
          <w:tcPr>
            <w:tcW w:w="2873" w:type="pct"/>
            <w:vAlign w:val="center"/>
          </w:tcPr>
          <w:p w:rsidR="006157F6" w:rsidRPr="0066263B" w:rsidRDefault="006157F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09" w:type="pct"/>
            <w:vAlign w:val="center"/>
          </w:tcPr>
          <w:p w:rsidR="006157F6" w:rsidRPr="0066263B" w:rsidRDefault="006157F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1,4</w:t>
            </w:r>
          </w:p>
        </w:tc>
        <w:tc>
          <w:tcPr>
            <w:tcW w:w="709" w:type="pct"/>
            <w:vAlign w:val="center"/>
          </w:tcPr>
          <w:p w:rsidR="006157F6" w:rsidRPr="0066263B" w:rsidRDefault="006157F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w:t>
            </w:r>
          </w:p>
        </w:tc>
        <w:tc>
          <w:tcPr>
            <w:tcW w:w="709" w:type="pct"/>
            <w:vAlign w:val="center"/>
          </w:tcPr>
          <w:p w:rsidR="006157F6" w:rsidRPr="0066263B" w:rsidRDefault="006157F6" w:rsidP="006157F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0,4</w:t>
            </w:r>
          </w:p>
        </w:tc>
      </w:tr>
    </w:tbl>
    <w:p w:rsidR="001F63A5" w:rsidRPr="0066263B" w:rsidRDefault="001F63A5" w:rsidP="00324483">
      <w:pPr>
        <w:spacing w:before="0" w:after="0"/>
        <w:jc w:val="center"/>
        <w:rPr>
          <w:rFonts w:ascii="Times New Roman" w:eastAsia="TimesNewRomanPS-BoldMT" w:hAnsi="Times New Roman" w:cs="Times New Roman"/>
          <w:bCs/>
          <w:i/>
          <w:sz w:val="24"/>
          <w:szCs w:val="24"/>
        </w:rPr>
      </w:pPr>
    </w:p>
    <w:p w:rsidR="001F63A5" w:rsidRPr="0066263B" w:rsidRDefault="001F63A5">
      <w:pP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br w:type="page"/>
      </w: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lastRenderedPageBreak/>
        <w:t>Состояние питьевой воды систем нецентрализованного хозяйственно-питьевого</w:t>
      </w:r>
      <w:r w:rsidRPr="0066263B">
        <w:rPr>
          <w:rFonts w:ascii="Times New Roman" w:eastAsia="TimesNewRomanPS-BoldMT" w:hAnsi="Times New Roman" w:cs="Times New Roman"/>
          <w:bCs/>
          <w:i/>
          <w:sz w:val="24"/>
          <w:szCs w:val="24"/>
        </w:rPr>
        <w:br/>
        <w:t>водоснабжения и её влияние на здоровье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Гигиеническая характеристика воды систем нецентрализованного</w:t>
      </w:r>
      <w:r w:rsidR="003452EC" w:rsidRPr="0066263B">
        <w:rPr>
          <w:rFonts w:ascii="Times New Roman" w:eastAsia="Times New Roman" w:hAnsi="Times New Roman" w:cs="Times New Roman"/>
          <w:i/>
          <w:sz w:val="24"/>
          <w:szCs w:val="24"/>
          <w:u w:val="single"/>
          <w:lang w:eastAsia="ru-RU"/>
        </w:rPr>
        <w:t xml:space="preserve"> </w:t>
      </w:r>
      <w:r w:rsidRPr="0066263B">
        <w:rPr>
          <w:rFonts w:ascii="Times New Roman" w:eastAsia="Times New Roman" w:hAnsi="Times New Roman" w:cs="Times New Roman"/>
          <w:i/>
          <w:sz w:val="24"/>
          <w:szCs w:val="24"/>
          <w:u w:val="single"/>
          <w:lang w:eastAsia="ru-RU"/>
        </w:rPr>
        <w:t>водоснабжения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 нецентрализованных источников водоснабжения в 20</w:t>
      </w:r>
      <w:r w:rsidR="004C4DCA" w:rsidRPr="0066263B">
        <w:rPr>
          <w:rFonts w:ascii="Times New Roman" w:eastAsia="Times New Roman" w:hAnsi="Times New Roman" w:cs="Times New Roman"/>
          <w:sz w:val="24"/>
          <w:szCs w:val="24"/>
          <w:lang w:eastAsia="ru-RU"/>
        </w:rPr>
        <w:t>2</w:t>
      </w:r>
      <w:r w:rsidR="003452EC"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отобрано и исследовано:</w:t>
      </w:r>
    </w:p>
    <w:p w:rsidR="00324483" w:rsidRPr="0066263B" w:rsidRDefault="003452EC"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211</w:t>
      </w:r>
      <w:r w:rsidR="00324483" w:rsidRPr="0066263B">
        <w:rPr>
          <w:rFonts w:ascii="Times New Roman" w:eastAsia="Times New Roman" w:hAnsi="Times New Roman" w:cs="Times New Roman"/>
          <w:sz w:val="24"/>
          <w:szCs w:val="24"/>
          <w:lang w:eastAsia="ru-RU"/>
        </w:rPr>
        <w:t xml:space="preserve"> проб воды по санитарно-химическим показателям, из них </w:t>
      </w:r>
      <w:r w:rsidR="0025250E" w:rsidRPr="0066263B">
        <w:rPr>
          <w:rFonts w:ascii="Times New Roman" w:eastAsia="Times New Roman" w:hAnsi="Times New Roman" w:cs="Times New Roman"/>
          <w:sz w:val="24"/>
          <w:szCs w:val="24"/>
          <w:lang w:eastAsia="ru-RU"/>
        </w:rPr>
        <w:t>10</w:t>
      </w:r>
      <w:r w:rsidRPr="0066263B">
        <w:rPr>
          <w:rFonts w:ascii="Times New Roman" w:eastAsia="Times New Roman" w:hAnsi="Times New Roman" w:cs="Times New Roman"/>
          <w:sz w:val="24"/>
          <w:szCs w:val="24"/>
          <w:lang w:eastAsia="ru-RU"/>
        </w:rPr>
        <w:t>2</w:t>
      </w:r>
      <w:r w:rsidR="00324483" w:rsidRPr="0066263B">
        <w:rPr>
          <w:rFonts w:ascii="Times New Roman" w:eastAsia="Times New Roman" w:hAnsi="Times New Roman" w:cs="Times New Roman"/>
          <w:sz w:val="24"/>
          <w:szCs w:val="24"/>
          <w:lang w:eastAsia="ru-RU"/>
        </w:rPr>
        <w:t xml:space="preserve"> проб</w:t>
      </w:r>
      <w:r w:rsidR="0025250E" w:rsidRPr="0066263B">
        <w:rPr>
          <w:rFonts w:ascii="Times New Roman" w:eastAsia="Times New Roman" w:hAnsi="Times New Roman" w:cs="Times New Roman"/>
          <w:sz w:val="24"/>
          <w:szCs w:val="24"/>
          <w:lang w:eastAsia="ru-RU"/>
        </w:rPr>
        <w:t>ы</w:t>
      </w:r>
      <w:r w:rsidR="00324483" w:rsidRPr="0066263B">
        <w:rPr>
          <w:rFonts w:ascii="Times New Roman" w:eastAsia="Times New Roman" w:hAnsi="Times New Roman" w:cs="Times New Roman"/>
          <w:sz w:val="24"/>
          <w:szCs w:val="24"/>
          <w:lang w:eastAsia="ru-RU"/>
        </w:rPr>
        <w:t xml:space="preserve"> не соответствовали санитарным требованиям, что составило </w:t>
      </w:r>
      <w:r w:rsidRPr="0066263B">
        <w:rPr>
          <w:rFonts w:ascii="Times New Roman" w:eastAsia="Times New Roman" w:hAnsi="Times New Roman" w:cs="Times New Roman"/>
          <w:sz w:val="24"/>
          <w:szCs w:val="24"/>
          <w:lang w:eastAsia="ru-RU"/>
        </w:rPr>
        <w:t>48</w:t>
      </w:r>
      <w:r w:rsidR="0025250E" w:rsidRPr="0066263B">
        <w:rPr>
          <w:rFonts w:ascii="Times New Roman" w:eastAsia="Times New Roman" w:hAnsi="Times New Roman" w:cs="Times New Roman"/>
          <w:sz w:val="24"/>
          <w:szCs w:val="24"/>
          <w:lang w:eastAsia="ru-RU"/>
        </w:rPr>
        <w:t>,3</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31,3%; </w:t>
      </w:r>
      <w:r w:rsidR="0025250E" w:rsidRPr="0066263B">
        <w:rPr>
          <w:rFonts w:ascii="Times New Roman" w:eastAsia="Times New Roman" w:hAnsi="Times New Roman" w:cs="Times New Roman"/>
          <w:sz w:val="24"/>
          <w:szCs w:val="24"/>
          <w:lang w:eastAsia="ru-RU"/>
        </w:rPr>
        <w:t xml:space="preserve">2019 – 50,5%; </w:t>
      </w:r>
      <w:r w:rsidR="00324483" w:rsidRPr="0066263B">
        <w:rPr>
          <w:rFonts w:ascii="Times New Roman" w:eastAsia="Times New Roman" w:hAnsi="Times New Roman" w:cs="Times New Roman"/>
          <w:sz w:val="24"/>
          <w:szCs w:val="24"/>
          <w:lang w:eastAsia="ru-RU"/>
        </w:rPr>
        <w:t>2018 – 35,3%</w:t>
      </w:r>
      <w:r w:rsidRPr="0066263B">
        <w:rPr>
          <w:rFonts w:ascii="Times New Roman" w:eastAsia="Times New Roman" w:hAnsi="Times New Roman" w:cs="Times New Roman"/>
          <w:sz w:val="24"/>
          <w:szCs w:val="24"/>
          <w:lang w:eastAsia="ru-RU"/>
        </w:rPr>
        <w:t>; РФ 2020 – 29,88%</w:t>
      </w:r>
      <w:r w:rsidR="00324483" w:rsidRPr="0066263B">
        <w:rPr>
          <w:rFonts w:ascii="Times New Roman" w:eastAsia="Times New Roman" w:hAnsi="Times New Roman" w:cs="Times New Roman"/>
          <w:sz w:val="24"/>
          <w:szCs w:val="24"/>
          <w:lang w:eastAsia="ru-RU"/>
        </w:rPr>
        <w:t>);</w:t>
      </w:r>
    </w:p>
    <w:p w:rsidR="00324483" w:rsidRPr="0066263B" w:rsidRDefault="003452EC"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220</w:t>
      </w:r>
      <w:r w:rsidR="00324483" w:rsidRPr="0066263B">
        <w:rPr>
          <w:rFonts w:ascii="Times New Roman" w:eastAsia="Times New Roman" w:hAnsi="Times New Roman" w:cs="Times New Roman"/>
          <w:sz w:val="24"/>
          <w:szCs w:val="24"/>
          <w:lang w:eastAsia="ru-RU"/>
        </w:rPr>
        <w:t xml:space="preserve"> проб воды по микробиологическим показателям, из них </w:t>
      </w:r>
      <w:r w:rsidRPr="0066263B">
        <w:rPr>
          <w:rFonts w:ascii="Times New Roman" w:eastAsia="Times New Roman" w:hAnsi="Times New Roman" w:cs="Times New Roman"/>
          <w:sz w:val="24"/>
          <w:szCs w:val="24"/>
          <w:lang w:eastAsia="ru-RU"/>
        </w:rPr>
        <w:t>74</w:t>
      </w:r>
      <w:r w:rsidR="00324483" w:rsidRPr="0066263B">
        <w:rPr>
          <w:rFonts w:ascii="Times New Roman" w:eastAsia="Times New Roman" w:hAnsi="Times New Roman" w:cs="Times New Roman"/>
          <w:sz w:val="24"/>
          <w:szCs w:val="24"/>
          <w:lang w:eastAsia="ru-RU"/>
        </w:rPr>
        <w:t xml:space="preserve"> проб</w:t>
      </w:r>
      <w:r w:rsidRPr="0066263B">
        <w:rPr>
          <w:rFonts w:ascii="Times New Roman" w:eastAsia="Times New Roman" w:hAnsi="Times New Roman" w:cs="Times New Roman"/>
          <w:sz w:val="24"/>
          <w:szCs w:val="24"/>
          <w:lang w:eastAsia="ru-RU"/>
        </w:rPr>
        <w:t>ы</w:t>
      </w:r>
      <w:r w:rsidR="00324483" w:rsidRPr="0066263B">
        <w:rPr>
          <w:rFonts w:ascii="Times New Roman" w:eastAsia="Times New Roman" w:hAnsi="Times New Roman" w:cs="Times New Roman"/>
          <w:sz w:val="24"/>
          <w:szCs w:val="24"/>
          <w:lang w:eastAsia="ru-RU"/>
        </w:rPr>
        <w:t xml:space="preserve"> не соответство</w:t>
      </w:r>
      <w:r w:rsidR="00B80DF9">
        <w:rPr>
          <w:rFonts w:ascii="Times New Roman" w:eastAsia="Times New Roman" w:hAnsi="Times New Roman" w:cs="Times New Roman"/>
          <w:sz w:val="24"/>
          <w:szCs w:val="24"/>
          <w:lang w:eastAsia="ru-RU"/>
        </w:rPr>
        <w:t>в</w:t>
      </w:r>
      <w:r w:rsidR="00324483" w:rsidRPr="0066263B">
        <w:rPr>
          <w:rFonts w:ascii="Times New Roman" w:eastAsia="Times New Roman" w:hAnsi="Times New Roman" w:cs="Times New Roman"/>
          <w:sz w:val="24"/>
          <w:szCs w:val="24"/>
          <w:lang w:eastAsia="ru-RU"/>
        </w:rPr>
        <w:t>ал</w:t>
      </w:r>
      <w:r w:rsidR="00B80DF9">
        <w:rPr>
          <w:rFonts w:ascii="Times New Roman" w:eastAsia="Times New Roman" w:hAnsi="Times New Roman" w:cs="Times New Roman"/>
          <w:sz w:val="24"/>
          <w:szCs w:val="24"/>
          <w:lang w:eastAsia="ru-RU"/>
        </w:rPr>
        <w:t>и</w:t>
      </w:r>
      <w:r w:rsidR="00324483" w:rsidRPr="0066263B">
        <w:rPr>
          <w:rFonts w:ascii="Times New Roman" w:eastAsia="Times New Roman" w:hAnsi="Times New Roman" w:cs="Times New Roman"/>
          <w:sz w:val="24"/>
          <w:szCs w:val="24"/>
          <w:lang w:eastAsia="ru-RU"/>
        </w:rPr>
        <w:t xml:space="preserve"> санитарным требованиям, что составило </w:t>
      </w:r>
      <w:r w:rsidRPr="0066263B">
        <w:rPr>
          <w:rFonts w:ascii="Times New Roman" w:eastAsia="Times New Roman" w:hAnsi="Times New Roman" w:cs="Times New Roman"/>
          <w:sz w:val="24"/>
          <w:szCs w:val="24"/>
          <w:lang w:eastAsia="ru-RU"/>
        </w:rPr>
        <w:t>33,6</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45,2%; </w:t>
      </w:r>
      <w:r w:rsidR="0025250E" w:rsidRPr="0066263B">
        <w:rPr>
          <w:rFonts w:ascii="Times New Roman" w:eastAsia="Times New Roman" w:hAnsi="Times New Roman" w:cs="Times New Roman"/>
          <w:iCs/>
          <w:sz w:val="24"/>
          <w:szCs w:val="24"/>
          <w:lang w:eastAsia="ru-RU"/>
        </w:rPr>
        <w:t xml:space="preserve">2019 – 40,5%; </w:t>
      </w:r>
      <w:r w:rsidR="00324483" w:rsidRPr="0066263B">
        <w:rPr>
          <w:rFonts w:ascii="Times New Roman" w:eastAsia="Times New Roman" w:hAnsi="Times New Roman" w:cs="Times New Roman"/>
          <w:sz w:val="24"/>
          <w:szCs w:val="24"/>
          <w:lang w:eastAsia="ru-RU"/>
        </w:rPr>
        <w:t>2018 – 55,2%;</w:t>
      </w:r>
      <w:r w:rsidRPr="0066263B">
        <w:rPr>
          <w:rFonts w:ascii="Times New Roman" w:eastAsia="Times New Roman" w:hAnsi="Times New Roman" w:cs="Times New Roman"/>
          <w:sz w:val="24"/>
          <w:szCs w:val="24"/>
          <w:lang w:eastAsia="ru-RU"/>
        </w:rPr>
        <w:t xml:space="preserve"> РФ 2020 – 17,59%</w:t>
      </w:r>
      <w:r w:rsidR="00324483" w:rsidRPr="0066263B">
        <w:rPr>
          <w:rFonts w:ascii="Times New Roman" w:eastAsia="Times New Roman" w:hAnsi="Times New Roman" w:cs="Times New Roman"/>
          <w:sz w:val="24"/>
          <w:szCs w:val="24"/>
          <w:lang w:eastAsia="ru-RU"/>
        </w:rPr>
        <w:t>);</w:t>
      </w:r>
    </w:p>
    <w:p w:rsidR="00324483" w:rsidRPr="0066263B" w:rsidRDefault="003452EC"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51</w:t>
      </w:r>
      <w:r w:rsidR="0025250E"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проб</w:t>
      </w:r>
      <w:r w:rsidRPr="0066263B">
        <w:rPr>
          <w:rFonts w:ascii="Times New Roman" w:eastAsia="Times New Roman" w:hAnsi="Times New Roman" w:cs="Times New Roman"/>
          <w:sz w:val="24"/>
          <w:szCs w:val="24"/>
          <w:lang w:eastAsia="ru-RU"/>
        </w:rPr>
        <w:t>а</w:t>
      </w:r>
      <w:r w:rsidR="00324483" w:rsidRPr="0066263B">
        <w:rPr>
          <w:rFonts w:ascii="Times New Roman" w:eastAsia="Times New Roman" w:hAnsi="Times New Roman" w:cs="Times New Roman"/>
          <w:sz w:val="24"/>
          <w:szCs w:val="24"/>
          <w:lang w:eastAsia="ru-RU"/>
        </w:rPr>
        <w:t xml:space="preserve"> воды по паразитологическим показателям</w:t>
      </w:r>
      <w:r w:rsidR="0025250E" w:rsidRPr="0066263B">
        <w:rPr>
          <w:rFonts w:ascii="Times New Roman" w:eastAsia="Times New Roman" w:hAnsi="Times New Roman" w:cs="Times New Roman"/>
          <w:sz w:val="24"/>
          <w:szCs w:val="24"/>
          <w:lang w:eastAsia="ru-RU"/>
        </w:rPr>
        <w:t xml:space="preserve">, </w:t>
      </w:r>
      <w:r w:rsidR="0025250E" w:rsidRPr="0066263B">
        <w:rPr>
          <w:rFonts w:ascii="Times New Roman" w:eastAsia="Times New Roman" w:hAnsi="Times New Roman" w:cs="Times New Roman"/>
          <w:bCs/>
          <w:sz w:val="24"/>
          <w:szCs w:val="24"/>
          <w:lang w:eastAsia="ru-RU"/>
        </w:rPr>
        <w:t>несоответствий не выявлено</w:t>
      </w:r>
      <w:r w:rsidR="00324483"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2020 – </w:t>
      </w:r>
      <w:r w:rsidRPr="0066263B">
        <w:rPr>
          <w:rFonts w:ascii="Times New Roman" w:eastAsia="Times New Roman" w:hAnsi="Times New Roman" w:cs="Times New Roman"/>
          <w:bCs/>
          <w:sz w:val="24"/>
          <w:szCs w:val="24"/>
          <w:lang w:eastAsia="ru-RU"/>
        </w:rPr>
        <w:t>не выявлено</w:t>
      </w:r>
      <w:r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201</w:t>
      </w:r>
      <w:r w:rsidRPr="0066263B">
        <w:rPr>
          <w:rFonts w:ascii="Times New Roman" w:eastAsia="Times New Roman" w:hAnsi="Times New Roman" w:cs="Times New Roman"/>
          <w:sz w:val="24"/>
          <w:szCs w:val="24"/>
          <w:lang w:eastAsia="ru-RU"/>
        </w:rPr>
        <w:t>8</w:t>
      </w:r>
      <w:r w:rsidR="0025250E" w:rsidRPr="0066263B">
        <w:rPr>
          <w:rFonts w:ascii="Times New Roman" w:eastAsia="Times New Roman" w:hAnsi="Times New Roman" w:cs="Times New Roman"/>
          <w:sz w:val="24"/>
          <w:szCs w:val="24"/>
          <w:lang w:eastAsia="ru-RU"/>
        </w:rPr>
        <w:t>-</w:t>
      </w:r>
      <w:r w:rsidR="00324483" w:rsidRPr="0066263B">
        <w:rPr>
          <w:rFonts w:ascii="Times New Roman" w:eastAsia="Times New Roman" w:hAnsi="Times New Roman" w:cs="Times New Roman"/>
          <w:sz w:val="24"/>
          <w:szCs w:val="24"/>
          <w:lang w:eastAsia="ru-RU"/>
        </w:rPr>
        <w:t>201</w:t>
      </w:r>
      <w:r w:rsidR="0025250E" w:rsidRPr="0066263B">
        <w:rPr>
          <w:rFonts w:ascii="Times New Roman" w:eastAsia="Times New Roman" w:hAnsi="Times New Roman" w:cs="Times New Roman"/>
          <w:sz w:val="24"/>
          <w:szCs w:val="24"/>
          <w:lang w:eastAsia="ru-RU"/>
        </w:rPr>
        <w:t>9 г.г.</w:t>
      </w:r>
      <w:r w:rsidR="00324483" w:rsidRPr="0066263B">
        <w:rPr>
          <w:rFonts w:ascii="Times New Roman" w:eastAsia="Times New Roman" w:hAnsi="Times New Roman" w:cs="Times New Roman"/>
          <w:sz w:val="24"/>
          <w:szCs w:val="24"/>
          <w:lang w:eastAsia="ru-RU"/>
        </w:rPr>
        <w:t xml:space="preserve"> </w:t>
      </w:r>
      <w:r w:rsidR="0025250E"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исследования не проводились) (рис. 2</w:t>
      </w:r>
      <w:r w:rsidR="00921A39" w:rsidRPr="0066263B">
        <w:rPr>
          <w:rFonts w:ascii="Times New Roman" w:eastAsia="Times New Roman" w:hAnsi="Times New Roman" w:cs="Times New Roman"/>
          <w:sz w:val="24"/>
          <w:szCs w:val="24"/>
          <w:lang w:eastAsia="ru-RU"/>
        </w:rPr>
        <w:t>2</w:t>
      </w:r>
      <w:r w:rsidR="00324483" w:rsidRPr="0066263B">
        <w:rPr>
          <w:rFonts w:ascii="Times New Roman" w:eastAsia="Times New Roman" w:hAnsi="Times New Roman" w:cs="Times New Roman"/>
          <w:sz w:val="24"/>
          <w:szCs w:val="24"/>
          <w:lang w:eastAsia="ru-RU"/>
        </w:rPr>
        <w:t>).</w:t>
      </w:r>
    </w:p>
    <w:p w:rsidR="003702B6" w:rsidRPr="0066263B" w:rsidRDefault="003702B6" w:rsidP="00B47DEA">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518205" cy="3085106"/>
            <wp:effectExtent l="0" t="0" r="0" b="0"/>
            <wp:docPr id="149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22</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Доля неудовлетворительных проб питьевой воды из источников</w:t>
      </w:r>
      <w:r w:rsidRPr="0066263B">
        <w:rPr>
          <w:rFonts w:ascii="Times New Roman" w:eastAsia="Times New Roman" w:hAnsi="Times New Roman" w:cs="Times New Roman"/>
          <w:lang w:eastAsia="ru-RU"/>
        </w:rPr>
        <w:br/>
        <w:t>нецентрализованного водоснабжения, %</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A0626" w:rsidRPr="0066263B" w:rsidRDefault="003A0626" w:rsidP="003A062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наблюдается значительное увеличение доли проб воды из систем нецентрализованного водоснабжения, не соответствующих санитарным требованиям по санитарно-химическим показателям практически до уровня показателя 2019 года, в тоже время наблюдается существенное снижение доли аналогичных проб воды по микробиологическим показателям.</w:t>
      </w:r>
    </w:p>
    <w:p w:rsidR="003A0626" w:rsidRPr="0066263B" w:rsidRDefault="003A0626" w:rsidP="003A0626">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15</w:t>
      </w:r>
      <w:r w:rsidR="006C34E2" w:rsidRPr="0066263B">
        <w:rPr>
          <w:rFonts w:ascii="Times New Roman" w:eastAsia="Calibri" w:hAnsi="Times New Roman" w:cs="Times New Roman"/>
        </w:rPr>
        <w:fldChar w:fldCharType="end"/>
      </w:r>
    </w:p>
    <w:p w:rsidR="003A0626" w:rsidRPr="0066263B" w:rsidRDefault="003A0626" w:rsidP="003A0626">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воды из источников нецентрализованного водоснабжения,</w:t>
      </w:r>
      <w:r w:rsidRPr="0066263B">
        <w:rPr>
          <w:rFonts w:ascii="Times New Roman" w:eastAsia="TimesNewRomanPS-BoldMT" w:hAnsi="Times New Roman" w:cs="Times New Roman"/>
          <w:b/>
          <w:bCs/>
        </w:rPr>
        <w:br/>
        <w:t>не отвечающих гигиеническим нормативам, %</w:t>
      </w:r>
    </w:p>
    <w:p w:rsidR="003A0626" w:rsidRPr="0066263B" w:rsidRDefault="003A0626" w:rsidP="003A0626">
      <w:pPr>
        <w:spacing w:before="0" w:after="0"/>
        <w:jc w:val="center"/>
        <w:rPr>
          <w:rFonts w:ascii="Times New Roman" w:eastAsia="TimesNewRomanPS-BoldMT" w:hAnsi="Times New Roman" w:cs="Times New Roman"/>
          <w:b/>
          <w:bC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1040"/>
        <w:gridCol w:w="1040"/>
        <w:gridCol w:w="1040"/>
        <w:gridCol w:w="2693"/>
      </w:tblGrid>
      <w:tr w:rsidR="003A0626" w:rsidRPr="0066263B" w:rsidTr="003A0626">
        <w:trPr>
          <w:trHeight w:val="279"/>
        </w:trPr>
        <w:tc>
          <w:tcPr>
            <w:tcW w:w="1796" w:type="pct"/>
            <w:vAlign w:val="center"/>
          </w:tcPr>
          <w:p w:rsidR="003A0626" w:rsidRPr="0066263B" w:rsidRDefault="003A0626" w:rsidP="003A0626">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Исследуемые показатели</w:t>
            </w:r>
          </w:p>
        </w:tc>
        <w:tc>
          <w:tcPr>
            <w:tcW w:w="573" w:type="pct"/>
            <w:vAlign w:val="center"/>
          </w:tcPr>
          <w:p w:rsidR="003A0626" w:rsidRPr="0066263B" w:rsidRDefault="003A0626" w:rsidP="003A0626">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2019</w:t>
            </w:r>
          </w:p>
        </w:tc>
        <w:tc>
          <w:tcPr>
            <w:tcW w:w="573" w:type="pct"/>
            <w:vAlign w:val="center"/>
          </w:tcPr>
          <w:p w:rsidR="003A0626" w:rsidRPr="0066263B" w:rsidRDefault="003A0626" w:rsidP="003A0626">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2020</w:t>
            </w:r>
          </w:p>
        </w:tc>
        <w:tc>
          <w:tcPr>
            <w:tcW w:w="573" w:type="pct"/>
            <w:vAlign w:val="center"/>
          </w:tcPr>
          <w:p w:rsidR="003A0626" w:rsidRPr="0066263B" w:rsidRDefault="003A0626" w:rsidP="003A0626">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2021</w:t>
            </w:r>
          </w:p>
        </w:tc>
        <w:tc>
          <w:tcPr>
            <w:tcW w:w="1484" w:type="pct"/>
          </w:tcPr>
          <w:p w:rsidR="003A0626" w:rsidRPr="0066263B" w:rsidRDefault="003A0626" w:rsidP="003A0626">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Темп прироста к 2019</w:t>
            </w:r>
            <w:r w:rsidRPr="0066263B">
              <w:rPr>
                <w:rFonts w:ascii="Times New Roman" w:eastAsia="Times New Roman" w:hAnsi="Times New Roman" w:cs="Times New Roman"/>
                <w:b/>
                <w:i/>
                <w:lang w:eastAsia="ru-RU"/>
              </w:rPr>
              <w:t>, %</w:t>
            </w:r>
          </w:p>
        </w:tc>
      </w:tr>
      <w:tr w:rsidR="001F1432" w:rsidRPr="0066263B" w:rsidTr="003A0626">
        <w:tc>
          <w:tcPr>
            <w:tcW w:w="1796" w:type="pct"/>
            <w:vAlign w:val="center"/>
          </w:tcPr>
          <w:p w:rsidR="001F1432" w:rsidRPr="0066263B" w:rsidRDefault="001F1432"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Санитарно-химические</w:t>
            </w:r>
          </w:p>
        </w:tc>
        <w:tc>
          <w:tcPr>
            <w:tcW w:w="573" w:type="pct"/>
            <w:vAlign w:val="center"/>
          </w:tcPr>
          <w:p w:rsidR="001F1432" w:rsidRPr="0066263B" w:rsidRDefault="001F1432" w:rsidP="003A0626">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50,5</w:t>
            </w:r>
          </w:p>
        </w:tc>
        <w:tc>
          <w:tcPr>
            <w:tcW w:w="573" w:type="pct"/>
            <w:vAlign w:val="center"/>
          </w:tcPr>
          <w:p w:rsidR="001F1432" w:rsidRPr="0066263B" w:rsidRDefault="001F1432" w:rsidP="003A0626">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31,3</w:t>
            </w:r>
          </w:p>
        </w:tc>
        <w:tc>
          <w:tcPr>
            <w:tcW w:w="573" w:type="pct"/>
            <w:vAlign w:val="center"/>
          </w:tcPr>
          <w:p w:rsidR="001F1432" w:rsidRPr="0066263B" w:rsidRDefault="001F1432" w:rsidP="003A0626">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48,3</w:t>
            </w:r>
          </w:p>
        </w:tc>
        <w:tc>
          <w:tcPr>
            <w:tcW w:w="1484"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-4,36</w:t>
            </w:r>
          </w:p>
        </w:tc>
      </w:tr>
      <w:tr w:rsidR="001F1432" w:rsidRPr="0066263B" w:rsidTr="003A0626">
        <w:tc>
          <w:tcPr>
            <w:tcW w:w="1796" w:type="pct"/>
          </w:tcPr>
          <w:p w:rsidR="001F1432" w:rsidRPr="0066263B" w:rsidRDefault="001F1432"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Микробиологические</w:t>
            </w:r>
          </w:p>
        </w:tc>
        <w:tc>
          <w:tcPr>
            <w:tcW w:w="573" w:type="pct"/>
            <w:vAlign w:val="center"/>
          </w:tcPr>
          <w:p w:rsidR="001F1432" w:rsidRPr="0066263B" w:rsidRDefault="001F1432" w:rsidP="003A0626">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40,5</w:t>
            </w:r>
          </w:p>
        </w:tc>
        <w:tc>
          <w:tcPr>
            <w:tcW w:w="573" w:type="pct"/>
            <w:vAlign w:val="center"/>
          </w:tcPr>
          <w:p w:rsidR="001F1432" w:rsidRPr="0066263B" w:rsidRDefault="001F1432" w:rsidP="003A0626">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45,2</w:t>
            </w:r>
          </w:p>
        </w:tc>
        <w:tc>
          <w:tcPr>
            <w:tcW w:w="573" w:type="pct"/>
            <w:vAlign w:val="center"/>
          </w:tcPr>
          <w:p w:rsidR="001F1432" w:rsidRPr="0066263B" w:rsidRDefault="001F1432" w:rsidP="003A0626">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33,6</w:t>
            </w:r>
          </w:p>
        </w:tc>
        <w:tc>
          <w:tcPr>
            <w:tcW w:w="1484"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-17,03</w:t>
            </w:r>
          </w:p>
        </w:tc>
      </w:tr>
    </w:tbl>
    <w:p w:rsidR="003A0626" w:rsidRPr="0066263B" w:rsidRDefault="003A0626" w:rsidP="00324483">
      <w:pPr>
        <w:spacing w:before="0" w:after="0"/>
        <w:ind w:firstLine="709"/>
        <w:rPr>
          <w:rFonts w:ascii="Times New Roman" w:eastAsia="Times New Roman" w:hAnsi="Times New Roman" w:cs="Times New Roman"/>
          <w:sz w:val="24"/>
          <w:szCs w:val="24"/>
          <w:lang w:eastAsia="ru-RU"/>
        </w:rPr>
      </w:pPr>
    </w:p>
    <w:p w:rsidR="00324483" w:rsidRPr="0066263B" w:rsidRDefault="003702B6" w:rsidP="00324483">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061310" cy="3632200"/>
            <wp:effectExtent l="19050" t="0" r="0" b="0"/>
            <wp:docPr id="4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0" cstate="print"/>
                    <a:srcRect/>
                    <a:stretch>
                      <a:fillRect/>
                    </a:stretch>
                  </pic:blipFill>
                  <pic:spPr bwMode="auto">
                    <a:xfrm>
                      <a:off x="0" y="0"/>
                      <a:ext cx="4064839" cy="3635357"/>
                    </a:xfrm>
                    <a:prstGeom prst="rect">
                      <a:avLst/>
                    </a:prstGeom>
                    <a:noFill/>
                    <a:ln w="9525">
                      <a:noFill/>
                      <a:miter lim="800000"/>
                      <a:headEnd/>
                      <a:tailEnd/>
                    </a:ln>
                  </pic:spPr>
                </pic:pic>
              </a:graphicData>
            </a:graphic>
          </wp:inline>
        </w:drawing>
      </w:r>
    </w:p>
    <w:p w:rsidR="001F63A5" w:rsidRPr="0066263B" w:rsidRDefault="001F63A5"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23</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источников</w:t>
      </w:r>
      <w:r w:rsidRPr="0066263B">
        <w:rPr>
          <w:rFonts w:ascii="Times New Roman" w:eastAsia="Times New Roman" w:hAnsi="Times New Roman" w:cs="Times New Roman"/>
          <w:lang w:eastAsia="ru-RU"/>
        </w:rPr>
        <w:br/>
        <w:t>нецентрализованного водоснабжения с превышением гигиенических нормативов</w:t>
      </w:r>
      <w:r w:rsidRPr="0066263B">
        <w:rPr>
          <w:rFonts w:ascii="Times New Roman" w:eastAsia="Times New Roman" w:hAnsi="Times New Roman" w:cs="Times New Roman"/>
          <w:lang w:eastAsia="ru-RU"/>
        </w:rPr>
        <w:br/>
        <w:t>по санитарно-химическим показателям</w:t>
      </w:r>
    </w:p>
    <w:p w:rsidR="001F63A5" w:rsidRPr="0066263B" w:rsidRDefault="001F63A5" w:rsidP="001F63A5">
      <w:pPr>
        <w:spacing w:before="0" w:after="0"/>
        <w:ind w:firstLine="709"/>
        <w:rPr>
          <w:rFonts w:ascii="Times New Roman" w:eastAsia="Times New Roman" w:hAnsi="Times New Roman" w:cs="Times New Roman"/>
          <w:sz w:val="24"/>
          <w:szCs w:val="24"/>
          <w:lang w:eastAsia="ru-RU"/>
        </w:rPr>
      </w:pPr>
    </w:p>
    <w:p w:rsidR="001F63A5" w:rsidRPr="0066263B" w:rsidRDefault="001F63A5" w:rsidP="001F63A5">
      <w:pPr>
        <w:spacing w:before="0" w:after="0"/>
        <w:jc w:val="center"/>
        <w:rPr>
          <w:rFonts w:ascii="Times New Roman" w:eastAsia="Times New Roman" w:hAnsi="Times New Roman" w:cs="Times New Roman"/>
          <w:lang w:eastAsia="ru-RU"/>
        </w:rPr>
      </w:pPr>
      <w:r w:rsidRPr="0066263B">
        <w:rPr>
          <w:noProof/>
          <w:lang w:eastAsia="ru-RU"/>
        </w:rPr>
        <w:drawing>
          <wp:inline distT="0" distB="0" distL="0" distR="0">
            <wp:extent cx="4184650" cy="3686930"/>
            <wp:effectExtent l="19050" t="0" r="6350" b="0"/>
            <wp:docPr id="1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1" cstate="print"/>
                    <a:srcRect/>
                    <a:stretch>
                      <a:fillRect/>
                    </a:stretch>
                  </pic:blipFill>
                  <pic:spPr bwMode="auto">
                    <a:xfrm>
                      <a:off x="0" y="0"/>
                      <a:ext cx="4185299" cy="3687502"/>
                    </a:xfrm>
                    <a:prstGeom prst="rect">
                      <a:avLst/>
                    </a:prstGeom>
                    <a:noFill/>
                    <a:ln w="9525">
                      <a:noFill/>
                      <a:miter lim="800000"/>
                      <a:headEnd/>
                      <a:tailEnd/>
                    </a:ln>
                  </pic:spPr>
                </pic:pic>
              </a:graphicData>
            </a:graphic>
          </wp:inline>
        </w:drawing>
      </w:r>
    </w:p>
    <w:p w:rsidR="001F63A5" w:rsidRPr="0066263B" w:rsidRDefault="001F63A5" w:rsidP="001F63A5">
      <w:pPr>
        <w:spacing w:before="0" w:after="0"/>
        <w:jc w:val="center"/>
        <w:rPr>
          <w:rFonts w:ascii="Times New Roman" w:eastAsia="Calibri" w:hAnsi="Times New Roman" w:cs="Times New Roman"/>
          <w:b/>
          <w:bCs/>
        </w:rPr>
      </w:pPr>
    </w:p>
    <w:p w:rsidR="001F63A5" w:rsidRPr="0066263B" w:rsidRDefault="001F63A5" w:rsidP="001F63A5">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24</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источников</w:t>
      </w:r>
      <w:r w:rsidRPr="0066263B">
        <w:rPr>
          <w:rFonts w:ascii="Times New Roman" w:eastAsia="Times New Roman" w:hAnsi="Times New Roman" w:cs="Times New Roman"/>
          <w:lang w:eastAsia="ru-RU"/>
        </w:rPr>
        <w:br/>
        <w:t>нецентрализованного водоснабжения с превышением гигиенических нормативов</w:t>
      </w:r>
      <w:r w:rsidRPr="0066263B">
        <w:rPr>
          <w:rFonts w:ascii="Times New Roman" w:eastAsia="Times New Roman" w:hAnsi="Times New Roman" w:cs="Times New Roman"/>
          <w:lang w:eastAsia="ru-RU"/>
        </w:rPr>
        <w:br/>
        <w:t>по микробиологическим показателям</w:t>
      </w:r>
    </w:p>
    <w:p w:rsidR="003A0626" w:rsidRPr="0066263B" w:rsidRDefault="003A0626" w:rsidP="003A0626">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lastRenderedPageBreak/>
        <w:t>В ходе проведённого анализа результатов исследований за 202</w:t>
      </w:r>
      <w:r w:rsidR="00B80DF9">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 по административным территориям установлено, что на территориях: г. Брянска, Брянского, Гордеевского, Дубровского, Дятьковского, Жирятинского, Карачевского, Климовского, Комаричского, Красногорского, Севского и Суземского районов отмечается наибольшая доля проб воды из систем нецентрализованного водоснабжения, превышающая среднеобластной показатель (48,3%), не соответствующих санитарным требованиям по санитарно-химическим показателям (табл. 1</w:t>
      </w:r>
      <w:r w:rsidR="00222578" w:rsidRPr="0066263B">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w:t>
      </w:r>
      <w:proofErr w:type="gramEnd"/>
    </w:p>
    <w:p w:rsidR="003A0626" w:rsidRPr="0066263B" w:rsidRDefault="003A0626" w:rsidP="003A0626">
      <w:pPr>
        <w:spacing w:before="0" w:after="0"/>
        <w:ind w:firstLine="709"/>
        <w:rPr>
          <w:rFonts w:ascii="Times New Roman" w:eastAsia="Times New Roman" w:hAnsi="Times New Roman" w:cs="Times New Roman"/>
          <w:sz w:val="24"/>
          <w:szCs w:val="24"/>
          <w:lang w:eastAsia="ru-RU"/>
        </w:rPr>
      </w:pPr>
    </w:p>
    <w:p w:rsidR="003A0626" w:rsidRPr="0066263B" w:rsidRDefault="003A0626" w:rsidP="003A0626">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16</w:t>
      </w:r>
      <w:r w:rsidR="006C34E2" w:rsidRPr="0066263B">
        <w:rPr>
          <w:rFonts w:ascii="Times New Roman" w:eastAsia="Calibri" w:hAnsi="Times New Roman" w:cs="Times New Roman"/>
        </w:rPr>
        <w:fldChar w:fldCharType="end"/>
      </w:r>
    </w:p>
    <w:p w:rsidR="003A0626" w:rsidRPr="0066263B" w:rsidRDefault="003A0626" w:rsidP="003A0626">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 xml:space="preserve">Доля проб воды из </w:t>
      </w:r>
      <w:r w:rsidRPr="0066263B">
        <w:rPr>
          <w:rFonts w:ascii="Times New Roman" w:eastAsia="Times New Roman" w:hAnsi="Times New Roman" w:cs="Times New Roman"/>
          <w:b/>
          <w:bCs/>
          <w:lang w:eastAsia="ru-RU"/>
        </w:rPr>
        <w:t xml:space="preserve">систем нецентрализованного </w:t>
      </w:r>
      <w:r w:rsidRPr="0066263B">
        <w:rPr>
          <w:rFonts w:ascii="Times New Roman" w:eastAsia="TimesNewRomanPS-BoldMT" w:hAnsi="Times New Roman" w:cs="Times New Roman"/>
          <w:b/>
          <w:bCs/>
        </w:rPr>
        <w:t>водоснабжения,</w:t>
      </w:r>
      <w:r w:rsidRPr="0066263B">
        <w:rPr>
          <w:rFonts w:ascii="Times New Roman" w:eastAsia="TimesNewRomanPS-BoldMT" w:hAnsi="Times New Roman" w:cs="Times New Roman"/>
          <w:b/>
          <w:bCs/>
        </w:rPr>
        <w:br/>
        <w:t xml:space="preserve">не отвечающих гигиеническим нормативам по </w:t>
      </w:r>
      <w:r w:rsidRPr="0066263B">
        <w:rPr>
          <w:rFonts w:ascii="Times New Roman" w:eastAsia="Times New Roman" w:hAnsi="Times New Roman" w:cs="Times New Roman"/>
          <w:b/>
          <w:bCs/>
          <w:lang w:eastAsia="ru-RU"/>
        </w:rPr>
        <w:t>санитарно-химическим показателям</w:t>
      </w:r>
      <w:r w:rsidRPr="0066263B">
        <w:rPr>
          <w:rFonts w:ascii="Times New Roman" w:eastAsia="TimesNewRomanPS-BoldMT" w:hAnsi="Times New Roman" w:cs="Times New Roman"/>
          <w:b/>
          <w:bCs/>
        </w:rPr>
        <w:t>,</w:t>
      </w:r>
      <w:r w:rsidRPr="0066263B">
        <w:rPr>
          <w:rFonts w:ascii="Times New Roman" w:eastAsia="TimesNewRomanPS-BoldMT" w:hAnsi="Times New Roman" w:cs="Times New Roman"/>
          <w:b/>
          <w:bCs/>
        </w:rPr>
        <w:br/>
        <w:t>по административным территориям, %</w:t>
      </w:r>
    </w:p>
    <w:p w:rsidR="003A0626" w:rsidRPr="0066263B" w:rsidRDefault="003A0626" w:rsidP="003A0626">
      <w:pPr>
        <w:spacing w:before="0" w:after="0"/>
        <w:jc w:val="center"/>
        <w:rPr>
          <w:rFonts w:ascii="Times New Roman" w:eastAsia="TimesNewRomanPS-BoldMT" w:hAnsi="Times New Roman" w:cs="Times New Roman"/>
          <w:b/>
          <w:bCs/>
        </w:rPr>
      </w:pPr>
    </w:p>
    <w:tbl>
      <w:tblPr>
        <w:tblW w:w="4917"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5"/>
        <w:gridCol w:w="1295"/>
        <w:gridCol w:w="1295"/>
      </w:tblGrid>
      <w:tr w:rsidR="003A0626" w:rsidRPr="0066263B" w:rsidTr="003A0626">
        <w:trPr>
          <w:jc w:val="center"/>
        </w:trPr>
        <w:tc>
          <w:tcPr>
            <w:tcW w:w="2873" w:type="pct"/>
            <w:vAlign w:val="center"/>
          </w:tcPr>
          <w:p w:rsidR="003A0626" w:rsidRPr="0066263B" w:rsidRDefault="003A0626" w:rsidP="003A0626">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Административная территория</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Брянск</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88,9</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Клинцы</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44,4</w:t>
            </w:r>
          </w:p>
        </w:tc>
        <w:tc>
          <w:tcPr>
            <w:tcW w:w="709" w:type="pct"/>
            <w:vAlign w:val="center"/>
          </w:tcPr>
          <w:p w:rsidR="003A0626" w:rsidRPr="0066263B" w:rsidRDefault="003A062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6,8</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Сельцо</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Брасовский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68,9</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75,0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69,6</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Выгоничский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36,3</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11,1</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Дубровский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Дятьковский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28,6</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44,4</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Жуковский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Злынковский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Карачевский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66,7</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Клетнянский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Климовский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60,0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34,1</w:t>
            </w:r>
          </w:p>
        </w:tc>
        <w:tc>
          <w:tcPr>
            <w:tcW w:w="709" w:type="pct"/>
            <w:vAlign w:val="center"/>
          </w:tcPr>
          <w:p w:rsidR="003A0626" w:rsidRPr="0066263B" w:rsidRDefault="003A062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24,1</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4,6</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Комаричский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66,7</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52,3</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35,5</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92,3</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Мглинский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57,1</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16,7</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Навлинский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Почепский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Рогнединский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60,0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90,0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55,5</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3,7</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36,3</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42,9</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Трубчевский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A0626">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62,5</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34,8</w:t>
            </w:r>
          </w:p>
        </w:tc>
      </w:tr>
    </w:tbl>
    <w:p w:rsidR="00C838C3" w:rsidRPr="0066263B" w:rsidRDefault="00C838C3" w:rsidP="00324483">
      <w:pPr>
        <w:spacing w:before="0" w:after="0"/>
        <w:ind w:firstLine="709"/>
        <w:rPr>
          <w:rFonts w:ascii="Times New Roman" w:eastAsia="Times New Roman" w:hAnsi="Times New Roman" w:cs="Times New Roman"/>
          <w:sz w:val="24"/>
          <w:szCs w:val="24"/>
          <w:lang w:eastAsia="ru-RU"/>
        </w:rPr>
      </w:pPr>
    </w:p>
    <w:p w:rsidR="00CB5A28" w:rsidRPr="0066263B" w:rsidRDefault="00324483" w:rsidP="00CB5A28">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По микробиологическим показателям </w:t>
      </w:r>
      <w:r w:rsidR="00CB5A28" w:rsidRPr="0066263B">
        <w:rPr>
          <w:rFonts w:ascii="Times New Roman" w:eastAsia="Times New Roman" w:hAnsi="Times New Roman" w:cs="Times New Roman"/>
          <w:sz w:val="24"/>
          <w:szCs w:val="24"/>
          <w:lang w:eastAsia="ru-RU"/>
        </w:rPr>
        <w:t>в 202</w:t>
      </w:r>
      <w:r w:rsidR="003A0626" w:rsidRPr="0066263B">
        <w:rPr>
          <w:rFonts w:ascii="Times New Roman" w:eastAsia="Times New Roman" w:hAnsi="Times New Roman" w:cs="Times New Roman"/>
          <w:sz w:val="24"/>
          <w:szCs w:val="24"/>
          <w:lang w:eastAsia="ru-RU"/>
        </w:rPr>
        <w:t>1</w:t>
      </w:r>
      <w:r w:rsidR="00CB5A28" w:rsidRPr="0066263B">
        <w:rPr>
          <w:rFonts w:ascii="Times New Roman" w:eastAsia="Times New Roman" w:hAnsi="Times New Roman" w:cs="Times New Roman"/>
          <w:sz w:val="24"/>
          <w:szCs w:val="24"/>
          <w:lang w:eastAsia="ru-RU"/>
        </w:rPr>
        <w:t xml:space="preserve"> году </w:t>
      </w:r>
      <w:r w:rsidRPr="0066263B">
        <w:rPr>
          <w:rFonts w:ascii="Times New Roman" w:eastAsia="Times New Roman" w:hAnsi="Times New Roman" w:cs="Times New Roman"/>
          <w:sz w:val="24"/>
          <w:szCs w:val="24"/>
          <w:lang w:eastAsia="ru-RU"/>
        </w:rPr>
        <w:t xml:space="preserve">наибольшая доля проб воды из распределительной сети централизованного водоснабжения, не соответствующих </w:t>
      </w:r>
      <w:r w:rsidRPr="0066263B">
        <w:rPr>
          <w:rFonts w:ascii="Times New Roman" w:eastAsia="Times New Roman" w:hAnsi="Times New Roman" w:cs="Times New Roman"/>
          <w:sz w:val="24"/>
          <w:szCs w:val="24"/>
          <w:lang w:eastAsia="ru-RU"/>
        </w:rPr>
        <w:lastRenderedPageBreak/>
        <w:t>гигиеническим требованиям и превышающая среднеобластной показатель (</w:t>
      </w:r>
      <w:r w:rsidR="003A0626" w:rsidRPr="0066263B">
        <w:rPr>
          <w:rFonts w:ascii="Times New Roman" w:eastAsia="Times New Roman" w:hAnsi="Times New Roman" w:cs="Times New Roman"/>
          <w:sz w:val="24"/>
          <w:szCs w:val="24"/>
          <w:lang w:eastAsia="ru-RU"/>
        </w:rPr>
        <w:t>33,6</w:t>
      </w:r>
      <w:r w:rsidRPr="0066263B">
        <w:rPr>
          <w:rFonts w:ascii="Times New Roman" w:eastAsia="Times New Roman" w:hAnsi="Times New Roman" w:cs="Times New Roman"/>
          <w:sz w:val="24"/>
          <w:szCs w:val="24"/>
          <w:lang w:eastAsia="ru-RU"/>
        </w:rPr>
        <w:t>%) на территориях:</w:t>
      </w:r>
      <w:r w:rsidR="00CB5A28" w:rsidRPr="0066263B">
        <w:rPr>
          <w:rFonts w:ascii="Times New Roman" w:eastAsia="Times New Roman" w:hAnsi="Times New Roman" w:cs="Times New Roman"/>
          <w:sz w:val="24"/>
          <w:szCs w:val="24"/>
          <w:lang w:eastAsia="ru-RU"/>
        </w:rPr>
        <w:t xml:space="preserve"> г. Брянск</w:t>
      </w:r>
      <w:r w:rsidR="00A11798" w:rsidRPr="0066263B">
        <w:rPr>
          <w:rFonts w:ascii="Times New Roman" w:eastAsia="Times New Roman" w:hAnsi="Times New Roman" w:cs="Times New Roman"/>
          <w:sz w:val="24"/>
          <w:szCs w:val="24"/>
          <w:lang w:eastAsia="ru-RU"/>
        </w:rPr>
        <w:t>а</w:t>
      </w:r>
      <w:r w:rsidR="00CB5A28" w:rsidRPr="0066263B">
        <w:rPr>
          <w:rFonts w:ascii="Times New Roman" w:eastAsia="Times New Roman" w:hAnsi="Times New Roman" w:cs="Times New Roman"/>
          <w:sz w:val="24"/>
          <w:szCs w:val="24"/>
          <w:lang w:eastAsia="ru-RU"/>
        </w:rPr>
        <w:t xml:space="preserve">, Жирятинского, </w:t>
      </w:r>
      <w:r w:rsidR="003A0626" w:rsidRPr="0066263B">
        <w:rPr>
          <w:rFonts w:ascii="Times New Roman" w:eastAsia="Times New Roman" w:hAnsi="Times New Roman" w:cs="Times New Roman"/>
          <w:sz w:val="24"/>
          <w:szCs w:val="24"/>
          <w:lang w:eastAsia="ru-RU"/>
        </w:rPr>
        <w:t xml:space="preserve">Жуковского, Карачевского, Клинцовского, </w:t>
      </w:r>
      <w:r w:rsidR="00CB5A28" w:rsidRPr="0066263B">
        <w:rPr>
          <w:rFonts w:ascii="Times New Roman" w:eastAsia="Times New Roman" w:hAnsi="Times New Roman" w:cs="Times New Roman"/>
          <w:sz w:val="24"/>
          <w:szCs w:val="24"/>
          <w:lang w:eastAsia="ru-RU"/>
        </w:rPr>
        <w:t xml:space="preserve">Красногорского, </w:t>
      </w:r>
      <w:r w:rsidR="003A0626" w:rsidRPr="0066263B">
        <w:rPr>
          <w:rFonts w:ascii="Times New Roman" w:eastAsia="Times New Roman" w:hAnsi="Times New Roman" w:cs="Times New Roman"/>
          <w:sz w:val="24"/>
          <w:szCs w:val="24"/>
          <w:lang w:eastAsia="ru-RU"/>
        </w:rPr>
        <w:t xml:space="preserve">Новозыбковского, Рогнединского и </w:t>
      </w:r>
      <w:r w:rsidR="00CB5A28" w:rsidRPr="0066263B">
        <w:rPr>
          <w:rFonts w:ascii="Times New Roman" w:eastAsia="Times New Roman" w:hAnsi="Times New Roman" w:cs="Times New Roman"/>
          <w:sz w:val="24"/>
          <w:szCs w:val="24"/>
          <w:lang w:eastAsia="ru-RU"/>
        </w:rPr>
        <w:t>Севского районов (табл. 1</w:t>
      </w:r>
      <w:r w:rsidR="00222578" w:rsidRPr="0066263B">
        <w:rPr>
          <w:rFonts w:ascii="Times New Roman" w:eastAsia="Times New Roman" w:hAnsi="Times New Roman" w:cs="Times New Roman"/>
          <w:sz w:val="24"/>
          <w:szCs w:val="24"/>
          <w:lang w:eastAsia="ru-RU"/>
        </w:rPr>
        <w:t>7</w:t>
      </w:r>
      <w:r w:rsidR="00CB5A28" w:rsidRPr="0066263B">
        <w:rPr>
          <w:rFonts w:ascii="Times New Roman" w:eastAsia="Times New Roman" w:hAnsi="Times New Roman" w:cs="Times New Roman"/>
          <w:sz w:val="24"/>
          <w:szCs w:val="24"/>
          <w:lang w:eastAsia="ru-RU"/>
        </w:rPr>
        <w:t>).</w:t>
      </w:r>
      <w:proofErr w:type="gramEnd"/>
    </w:p>
    <w:p w:rsidR="001F63A5" w:rsidRPr="0066263B" w:rsidRDefault="001F63A5" w:rsidP="00CB5A28">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17</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 xml:space="preserve">Доля проб воды из </w:t>
      </w:r>
      <w:r w:rsidRPr="0066263B">
        <w:rPr>
          <w:rFonts w:ascii="Times New Roman" w:eastAsia="Times New Roman" w:hAnsi="Times New Roman" w:cs="Times New Roman"/>
          <w:b/>
          <w:bCs/>
          <w:lang w:eastAsia="ru-RU"/>
        </w:rPr>
        <w:t xml:space="preserve">систем нецентрализованного </w:t>
      </w:r>
      <w:r w:rsidRPr="0066263B">
        <w:rPr>
          <w:rFonts w:ascii="Times New Roman" w:eastAsia="TimesNewRomanPS-BoldMT" w:hAnsi="Times New Roman" w:cs="Times New Roman"/>
          <w:b/>
          <w:bCs/>
        </w:rPr>
        <w:t>водоснабжения,</w:t>
      </w:r>
      <w:r w:rsidRPr="0066263B">
        <w:rPr>
          <w:rFonts w:ascii="Times New Roman" w:eastAsia="TimesNewRomanPS-BoldMT" w:hAnsi="Times New Roman" w:cs="Times New Roman"/>
          <w:b/>
          <w:bCs/>
        </w:rPr>
        <w:br/>
        <w:t xml:space="preserve">не отвечающих гигиеническим нормативам по </w:t>
      </w:r>
      <w:r w:rsidRPr="0066263B">
        <w:rPr>
          <w:rFonts w:ascii="Times New Roman" w:eastAsia="Times New Roman" w:hAnsi="Times New Roman" w:cs="Times New Roman"/>
          <w:b/>
          <w:bCs/>
          <w:lang w:eastAsia="ru-RU"/>
        </w:rPr>
        <w:t>микробиологическим показателям</w:t>
      </w:r>
      <w:r w:rsidRPr="0066263B">
        <w:rPr>
          <w:rFonts w:ascii="Times New Roman" w:eastAsia="TimesNewRomanPS-BoldMT" w:hAnsi="Times New Roman" w:cs="Times New Roman"/>
          <w:b/>
          <w:bCs/>
        </w:rPr>
        <w:t>,</w:t>
      </w:r>
      <w:r w:rsidRPr="0066263B">
        <w:rPr>
          <w:rFonts w:ascii="Times New Roman" w:eastAsia="TimesNewRomanPS-BoldMT" w:hAnsi="Times New Roman" w:cs="Times New Roman"/>
          <w:b/>
          <w:bCs/>
        </w:rPr>
        <w:br/>
        <w:t>по административным территориям, %</w:t>
      </w:r>
    </w:p>
    <w:p w:rsidR="00324483" w:rsidRPr="0066263B" w:rsidRDefault="00324483" w:rsidP="00324483">
      <w:pPr>
        <w:spacing w:before="0" w:after="0"/>
        <w:jc w:val="center"/>
        <w:rPr>
          <w:rFonts w:ascii="Times New Roman" w:eastAsia="TimesNewRomanPS-BoldMT" w:hAnsi="Times New Roman" w:cs="Times New Roman"/>
          <w:b/>
          <w:bCs/>
        </w:rPr>
      </w:pPr>
    </w:p>
    <w:tbl>
      <w:tblPr>
        <w:tblW w:w="4917"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5"/>
        <w:gridCol w:w="1295"/>
        <w:gridCol w:w="1295"/>
      </w:tblGrid>
      <w:tr w:rsidR="003A0626" w:rsidRPr="0066263B" w:rsidTr="003A0626">
        <w:trPr>
          <w:jc w:val="center"/>
        </w:trPr>
        <w:tc>
          <w:tcPr>
            <w:tcW w:w="2873" w:type="pct"/>
            <w:vAlign w:val="center"/>
          </w:tcPr>
          <w:p w:rsidR="003A0626" w:rsidRPr="0066263B" w:rsidRDefault="003A0626" w:rsidP="00324483">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Административная территория</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09" w:type="pct"/>
            <w:vAlign w:val="center"/>
          </w:tcPr>
          <w:p w:rsidR="003A0626" w:rsidRPr="0066263B" w:rsidRDefault="003A0626" w:rsidP="00AF5DD1">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Брянск</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88,9</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66,7</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Клинцы</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23,1</w:t>
            </w:r>
          </w:p>
        </w:tc>
        <w:tc>
          <w:tcPr>
            <w:tcW w:w="709" w:type="pct"/>
            <w:vAlign w:val="center"/>
          </w:tcPr>
          <w:p w:rsidR="003A0626" w:rsidRPr="0066263B" w:rsidRDefault="003A0626" w:rsidP="003A0626">
            <w:pPr>
              <w:spacing w:before="0" w:after="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35,8</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22,2</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Сельцо</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Брасовский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31,8</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Выгоничский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37,5</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3,2</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Дубровский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Дятьковский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66,7</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58,0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Жуковский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57,1</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54,5</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Злынковский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Карачевский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88,9</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Клетнянский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55,5</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Климовский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16,7</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37,5</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44,5</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39,1</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Комаричский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2,1</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48,4</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38,5</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Мглинский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Навлинский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053F3B">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Почепский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Рогнединский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40,0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55,5</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5,8</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11,1</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Трубчевский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A0626" w:rsidRPr="0066263B" w:rsidTr="003A0626">
        <w:trPr>
          <w:jc w:val="center"/>
        </w:trPr>
        <w:tc>
          <w:tcPr>
            <w:tcW w:w="2873" w:type="pct"/>
            <w:vAlign w:val="center"/>
          </w:tcPr>
          <w:p w:rsidR="003A0626" w:rsidRPr="0066263B" w:rsidRDefault="003A0626"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18,4</w:t>
            </w:r>
          </w:p>
        </w:tc>
        <w:tc>
          <w:tcPr>
            <w:tcW w:w="709" w:type="pct"/>
            <w:vAlign w:val="center"/>
          </w:tcPr>
          <w:p w:rsidR="003A0626" w:rsidRPr="0066263B" w:rsidRDefault="003A0626" w:rsidP="003A0626">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 xml:space="preserve">Гигиеническая характеристика воды систем </w:t>
      </w:r>
      <w:proofErr w:type="gramStart"/>
      <w:r w:rsidRPr="0066263B">
        <w:rPr>
          <w:rFonts w:ascii="Times New Roman" w:eastAsia="Times New Roman" w:hAnsi="Times New Roman" w:cs="Times New Roman"/>
          <w:i/>
          <w:sz w:val="24"/>
          <w:szCs w:val="24"/>
          <w:u w:val="single"/>
          <w:lang w:eastAsia="ru-RU"/>
        </w:rPr>
        <w:t>нецентрализованного</w:t>
      </w:r>
      <w:proofErr w:type="gramEnd"/>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водоснабжения в сельских поселениях</w:t>
      </w:r>
    </w:p>
    <w:p w:rsidR="00AF5DD1"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Немалая часть сельского населения использует в питьевых целях воду из нецентрализованных источников водоснабжения.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AF5DD1" w:rsidRPr="0066263B">
        <w:rPr>
          <w:rFonts w:ascii="Times New Roman" w:eastAsia="Times New Roman" w:hAnsi="Times New Roman" w:cs="Times New Roman"/>
          <w:sz w:val="24"/>
          <w:szCs w:val="24"/>
          <w:lang w:eastAsia="ru-RU"/>
        </w:rPr>
        <w:t>2</w:t>
      </w:r>
      <w:r w:rsidR="00714BA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в сельских поселениях не отвечали требованиям санитарных правил </w:t>
      </w:r>
      <w:r w:rsidR="0096529E" w:rsidRPr="0066263B">
        <w:rPr>
          <w:rFonts w:ascii="Times New Roman" w:eastAsia="Times New Roman" w:hAnsi="Times New Roman" w:cs="Times New Roman"/>
          <w:sz w:val="24"/>
          <w:szCs w:val="24"/>
          <w:lang w:eastAsia="ru-RU"/>
        </w:rPr>
        <w:t>1</w:t>
      </w:r>
      <w:r w:rsidR="003F7740" w:rsidRPr="0066263B">
        <w:rPr>
          <w:rFonts w:ascii="Times New Roman" w:eastAsia="Times New Roman" w:hAnsi="Times New Roman" w:cs="Times New Roman"/>
          <w:sz w:val="24"/>
          <w:szCs w:val="24"/>
          <w:lang w:eastAsia="ru-RU"/>
        </w:rPr>
        <w:t>0,9</w:t>
      </w:r>
      <w:r w:rsidRPr="0066263B">
        <w:rPr>
          <w:rFonts w:ascii="Times New Roman" w:eastAsia="Times New Roman" w:hAnsi="Times New Roman" w:cs="Times New Roman"/>
          <w:sz w:val="24"/>
          <w:szCs w:val="24"/>
          <w:lang w:eastAsia="ru-RU"/>
        </w:rPr>
        <w:t>% колодцев (</w:t>
      </w:r>
      <w:r w:rsidR="00714BA4" w:rsidRPr="0066263B">
        <w:rPr>
          <w:rFonts w:ascii="Times New Roman" w:eastAsia="Times New Roman" w:hAnsi="Times New Roman" w:cs="Times New Roman"/>
          <w:sz w:val="24"/>
          <w:szCs w:val="24"/>
          <w:lang w:eastAsia="ru-RU"/>
        </w:rPr>
        <w:t xml:space="preserve">2020 – 11,8%; </w:t>
      </w:r>
      <w:r w:rsidR="00AF5DD1" w:rsidRPr="0066263B">
        <w:rPr>
          <w:rFonts w:ascii="Times New Roman" w:eastAsia="Times New Roman" w:hAnsi="Times New Roman" w:cs="Times New Roman"/>
          <w:sz w:val="24"/>
          <w:szCs w:val="24"/>
          <w:lang w:eastAsia="ru-RU"/>
        </w:rPr>
        <w:t xml:space="preserve">2019 – 10,6%; </w:t>
      </w:r>
      <w:r w:rsidRPr="0066263B">
        <w:rPr>
          <w:rFonts w:ascii="Times New Roman" w:eastAsia="Times New Roman" w:hAnsi="Times New Roman" w:cs="Times New Roman"/>
          <w:sz w:val="24"/>
          <w:szCs w:val="24"/>
          <w:lang w:eastAsia="ru-RU"/>
        </w:rPr>
        <w:t>2018 – 11,9%</w:t>
      </w:r>
      <w:r w:rsidR="00714BA4" w:rsidRPr="0066263B">
        <w:rPr>
          <w:rFonts w:ascii="Times New Roman" w:eastAsia="Times New Roman" w:hAnsi="Times New Roman" w:cs="Times New Roman"/>
          <w:sz w:val="24"/>
          <w:szCs w:val="24"/>
          <w:lang w:eastAsia="ru-RU"/>
        </w:rPr>
        <w:t>; РФ 2020 – 15,25%)</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Всего в течение года было отобрано и проанализировано проб воды из источников нецентрализованного водоснабжения в сельских поселениях:</w:t>
      </w:r>
    </w:p>
    <w:p w:rsidR="00324483" w:rsidRPr="0066263B" w:rsidRDefault="00714BA4" w:rsidP="00324483">
      <w:pPr>
        <w:numPr>
          <w:ilvl w:val="0"/>
          <w:numId w:val="3"/>
        </w:numPr>
        <w:tabs>
          <w:tab w:val="num" w:pos="993"/>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112</w:t>
      </w:r>
      <w:r w:rsidR="00324483" w:rsidRPr="0066263B">
        <w:rPr>
          <w:rFonts w:ascii="Times New Roman" w:eastAsia="Times New Roman" w:hAnsi="Times New Roman" w:cs="Times New Roman"/>
          <w:sz w:val="24"/>
          <w:szCs w:val="24"/>
          <w:lang w:eastAsia="ru-RU"/>
        </w:rPr>
        <w:t xml:space="preserve"> проб воды на санитарно-химические показатели, из них </w:t>
      </w:r>
      <w:r w:rsidRPr="0066263B">
        <w:rPr>
          <w:rFonts w:ascii="Times New Roman" w:eastAsia="Times New Roman" w:hAnsi="Times New Roman" w:cs="Times New Roman"/>
          <w:sz w:val="24"/>
          <w:szCs w:val="24"/>
          <w:lang w:eastAsia="ru-RU"/>
        </w:rPr>
        <w:t>67</w:t>
      </w:r>
      <w:r w:rsidR="00324483" w:rsidRPr="0066263B">
        <w:rPr>
          <w:rFonts w:ascii="Times New Roman" w:eastAsia="Times New Roman" w:hAnsi="Times New Roman" w:cs="Times New Roman"/>
          <w:sz w:val="24"/>
          <w:szCs w:val="24"/>
          <w:lang w:eastAsia="ru-RU"/>
        </w:rPr>
        <w:t xml:space="preserve"> проб не соответствовал</w:t>
      </w:r>
      <w:r w:rsidR="00B80DF9">
        <w:rPr>
          <w:rFonts w:ascii="Times New Roman" w:eastAsia="Times New Roman" w:hAnsi="Times New Roman" w:cs="Times New Roman"/>
          <w:sz w:val="24"/>
          <w:szCs w:val="24"/>
          <w:lang w:eastAsia="ru-RU"/>
        </w:rPr>
        <w:t>и</w:t>
      </w:r>
      <w:r w:rsidR="00324483" w:rsidRPr="0066263B">
        <w:rPr>
          <w:rFonts w:ascii="Times New Roman" w:eastAsia="Times New Roman" w:hAnsi="Times New Roman" w:cs="Times New Roman"/>
          <w:sz w:val="24"/>
          <w:szCs w:val="24"/>
          <w:lang w:eastAsia="ru-RU"/>
        </w:rPr>
        <w:t xml:space="preserve"> санитарным требованиям, что составило </w:t>
      </w:r>
      <w:r w:rsidRPr="0066263B">
        <w:rPr>
          <w:rFonts w:ascii="Times New Roman" w:eastAsia="Times New Roman" w:hAnsi="Times New Roman" w:cs="Times New Roman"/>
          <w:sz w:val="24"/>
          <w:szCs w:val="24"/>
          <w:lang w:eastAsia="ru-RU"/>
        </w:rPr>
        <w:t>59,8</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32,7%; </w:t>
      </w:r>
      <w:r w:rsidR="00AF5DD1" w:rsidRPr="0066263B">
        <w:rPr>
          <w:rFonts w:ascii="Times New Roman" w:eastAsia="Times New Roman" w:hAnsi="Times New Roman" w:cs="Times New Roman"/>
          <w:sz w:val="24"/>
          <w:szCs w:val="24"/>
          <w:lang w:eastAsia="ru-RU"/>
        </w:rPr>
        <w:t xml:space="preserve">2019 – 51,7%; </w:t>
      </w:r>
      <w:r w:rsidR="00324483" w:rsidRPr="0066263B">
        <w:rPr>
          <w:rFonts w:ascii="Times New Roman" w:eastAsia="Times New Roman" w:hAnsi="Times New Roman" w:cs="Times New Roman"/>
          <w:sz w:val="24"/>
          <w:szCs w:val="24"/>
          <w:lang w:eastAsia="ru-RU"/>
        </w:rPr>
        <w:t>2018 – 47,7%);</w:t>
      </w:r>
    </w:p>
    <w:p w:rsidR="00324483" w:rsidRPr="0066263B" w:rsidRDefault="00714BA4" w:rsidP="00324483">
      <w:pPr>
        <w:numPr>
          <w:ilvl w:val="0"/>
          <w:numId w:val="3"/>
        </w:numPr>
        <w:tabs>
          <w:tab w:val="num" w:pos="993"/>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123</w:t>
      </w:r>
      <w:r w:rsidR="00324483" w:rsidRPr="0066263B">
        <w:rPr>
          <w:rFonts w:ascii="Times New Roman" w:eastAsia="Times New Roman" w:hAnsi="Times New Roman" w:cs="Times New Roman"/>
          <w:sz w:val="24"/>
          <w:szCs w:val="24"/>
          <w:lang w:eastAsia="ru-RU"/>
        </w:rPr>
        <w:t xml:space="preserve"> проб</w:t>
      </w:r>
      <w:r w:rsidRPr="0066263B">
        <w:rPr>
          <w:rFonts w:ascii="Times New Roman" w:eastAsia="Times New Roman" w:hAnsi="Times New Roman" w:cs="Times New Roman"/>
          <w:sz w:val="24"/>
          <w:szCs w:val="24"/>
          <w:lang w:eastAsia="ru-RU"/>
        </w:rPr>
        <w:t>ы</w:t>
      </w:r>
      <w:r w:rsidR="00324483" w:rsidRPr="0066263B">
        <w:rPr>
          <w:rFonts w:ascii="Times New Roman" w:eastAsia="Times New Roman" w:hAnsi="Times New Roman" w:cs="Times New Roman"/>
          <w:sz w:val="24"/>
          <w:szCs w:val="24"/>
          <w:lang w:eastAsia="ru-RU"/>
        </w:rPr>
        <w:t xml:space="preserve"> воды на микробиологические показатели, из них </w:t>
      </w:r>
      <w:r w:rsidRPr="0066263B">
        <w:rPr>
          <w:rFonts w:ascii="Times New Roman" w:eastAsia="Times New Roman" w:hAnsi="Times New Roman" w:cs="Times New Roman"/>
          <w:sz w:val="24"/>
          <w:szCs w:val="24"/>
          <w:lang w:eastAsia="ru-RU"/>
        </w:rPr>
        <w:t>34</w:t>
      </w:r>
      <w:r w:rsidR="00324483" w:rsidRPr="0066263B">
        <w:rPr>
          <w:rFonts w:ascii="Times New Roman" w:eastAsia="Times New Roman" w:hAnsi="Times New Roman" w:cs="Times New Roman"/>
          <w:sz w:val="24"/>
          <w:szCs w:val="24"/>
          <w:lang w:eastAsia="ru-RU"/>
        </w:rPr>
        <w:t xml:space="preserve"> пробы не соответствовали санитарным требованиям, что составило </w:t>
      </w:r>
      <w:r w:rsidRPr="0066263B">
        <w:rPr>
          <w:rFonts w:ascii="Times New Roman" w:eastAsia="Times New Roman" w:hAnsi="Times New Roman" w:cs="Times New Roman"/>
          <w:sz w:val="24"/>
          <w:szCs w:val="24"/>
          <w:lang w:eastAsia="ru-RU"/>
        </w:rPr>
        <w:t>27,6</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45,9%; </w:t>
      </w:r>
      <w:r w:rsidR="00AF5DD1" w:rsidRPr="0066263B">
        <w:rPr>
          <w:rFonts w:ascii="Times New Roman" w:eastAsia="Times New Roman" w:hAnsi="Times New Roman" w:cs="Times New Roman"/>
          <w:sz w:val="24"/>
          <w:szCs w:val="24"/>
          <w:lang w:eastAsia="ru-RU"/>
        </w:rPr>
        <w:t xml:space="preserve">2019 – 41,2%; </w:t>
      </w:r>
      <w:r w:rsidR="00324483" w:rsidRPr="0066263B">
        <w:rPr>
          <w:rFonts w:ascii="Times New Roman" w:eastAsia="Times New Roman" w:hAnsi="Times New Roman" w:cs="Times New Roman"/>
          <w:sz w:val="24"/>
          <w:szCs w:val="24"/>
          <w:lang w:eastAsia="ru-RU"/>
        </w:rPr>
        <w:t>2018 – 43,3%);</w:t>
      </w:r>
    </w:p>
    <w:p w:rsidR="00324483" w:rsidRPr="0066263B" w:rsidRDefault="00714BA4" w:rsidP="00324483">
      <w:pPr>
        <w:numPr>
          <w:ilvl w:val="0"/>
          <w:numId w:val="3"/>
        </w:numPr>
        <w:tabs>
          <w:tab w:val="num" w:pos="993"/>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11</w:t>
      </w:r>
      <w:r w:rsidR="00AF5DD1"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проб воды на паразитологические показатели</w:t>
      </w:r>
      <w:r w:rsidR="00AF5DD1" w:rsidRPr="0066263B">
        <w:rPr>
          <w:rFonts w:ascii="Times New Roman" w:eastAsia="Times New Roman" w:hAnsi="Times New Roman" w:cs="Times New Roman"/>
          <w:sz w:val="24"/>
          <w:szCs w:val="24"/>
          <w:lang w:eastAsia="ru-RU"/>
        </w:rPr>
        <w:t>,</w:t>
      </w:r>
      <w:r w:rsidR="00324483" w:rsidRPr="0066263B">
        <w:rPr>
          <w:rFonts w:ascii="Times New Roman" w:eastAsia="Times New Roman" w:hAnsi="Times New Roman" w:cs="Times New Roman"/>
          <w:sz w:val="24"/>
          <w:szCs w:val="24"/>
          <w:lang w:eastAsia="ru-RU"/>
        </w:rPr>
        <w:t xml:space="preserve"> </w:t>
      </w:r>
      <w:r w:rsidR="00AF5DD1" w:rsidRPr="0066263B">
        <w:rPr>
          <w:rFonts w:ascii="Times New Roman" w:eastAsia="Times New Roman" w:hAnsi="Times New Roman" w:cs="Times New Roman"/>
          <w:sz w:val="24"/>
          <w:szCs w:val="24"/>
          <w:lang w:eastAsia="ru-RU"/>
        </w:rPr>
        <w:t xml:space="preserve">несоответствий не выявлено </w:t>
      </w:r>
      <w:r w:rsidR="00324483"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2020 – несоответствий не выявлено </w:t>
      </w:r>
      <w:r w:rsidR="00324483" w:rsidRPr="0066263B">
        <w:rPr>
          <w:rFonts w:ascii="Times New Roman" w:eastAsia="Times New Roman" w:hAnsi="Times New Roman" w:cs="Times New Roman"/>
          <w:sz w:val="24"/>
          <w:szCs w:val="24"/>
          <w:lang w:eastAsia="ru-RU"/>
        </w:rPr>
        <w:t>201</w:t>
      </w:r>
      <w:r w:rsidRPr="0066263B">
        <w:rPr>
          <w:rFonts w:ascii="Times New Roman" w:eastAsia="Times New Roman" w:hAnsi="Times New Roman" w:cs="Times New Roman"/>
          <w:sz w:val="24"/>
          <w:szCs w:val="24"/>
          <w:lang w:eastAsia="ru-RU"/>
        </w:rPr>
        <w:t>8</w:t>
      </w:r>
      <w:r w:rsidR="00324483" w:rsidRPr="0066263B">
        <w:rPr>
          <w:rFonts w:ascii="Times New Roman" w:eastAsia="Times New Roman" w:hAnsi="Times New Roman" w:cs="Times New Roman"/>
          <w:sz w:val="24"/>
          <w:szCs w:val="24"/>
          <w:lang w:eastAsia="ru-RU"/>
        </w:rPr>
        <w:t>-201</w:t>
      </w:r>
      <w:r w:rsidR="00AF5DD1" w:rsidRPr="0066263B">
        <w:rPr>
          <w:rFonts w:ascii="Times New Roman" w:eastAsia="Times New Roman" w:hAnsi="Times New Roman" w:cs="Times New Roman"/>
          <w:sz w:val="24"/>
          <w:szCs w:val="24"/>
          <w:lang w:eastAsia="ru-RU"/>
        </w:rPr>
        <w:t>9</w:t>
      </w:r>
      <w:r w:rsidR="00A11798" w:rsidRPr="0066263B">
        <w:rPr>
          <w:rFonts w:ascii="Times New Roman" w:eastAsia="Times New Roman" w:hAnsi="Times New Roman" w:cs="Times New Roman"/>
          <w:sz w:val="24"/>
          <w:szCs w:val="24"/>
          <w:lang w:eastAsia="ru-RU"/>
        </w:rPr>
        <w:t> г.г.</w:t>
      </w:r>
      <w:r w:rsidR="00324483" w:rsidRPr="0066263B">
        <w:rPr>
          <w:rFonts w:ascii="Times New Roman" w:eastAsia="Times New Roman" w:hAnsi="Times New Roman" w:cs="Times New Roman"/>
          <w:sz w:val="24"/>
          <w:szCs w:val="24"/>
          <w:lang w:eastAsia="ru-RU"/>
        </w:rPr>
        <w:t xml:space="preserve"> – </w:t>
      </w:r>
      <w:r w:rsidR="00AF5DD1" w:rsidRPr="0066263B">
        <w:rPr>
          <w:rFonts w:ascii="Times New Roman" w:eastAsia="Times New Roman" w:hAnsi="Times New Roman" w:cs="Times New Roman"/>
          <w:sz w:val="24"/>
          <w:szCs w:val="24"/>
          <w:lang w:eastAsia="ru-RU"/>
        </w:rPr>
        <w:t>исследования не проводились</w:t>
      </w:r>
      <w:r w:rsidR="00324483" w:rsidRPr="0066263B">
        <w:rPr>
          <w:rFonts w:ascii="Times New Roman" w:eastAsia="Times New Roman" w:hAnsi="Times New Roman" w:cs="Times New Roman"/>
          <w:sz w:val="24"/>
          <w:szCs w:val="24"/>
          <w:lang w:eastAsia="ru-RU"/>
        </w:rPr>
        <w:t>) (табл. 1</w:t>
      </w:r>
      <w:r w:rsidR="00222578" w:rsidRPr="0066263B">
        <w:rPr>
          <w:rFonts w:ascii="Times New Roman" w:eastAsia="Times New Roman" w:hAnsi="Times New Roman" w:cs="Times New Roman"/>
          <w:sz w:val="24"/>
          <w:szCs w:val="24"/>
          <w:lang w:eastAsia="ru-RU"/>
        </w:rPr>
        <w:t>8</w:t>
      </w:r>
      <w:r w:rsidR="00324483" w:rsidRPr="0066263B">
        <w:rPr>
          <w:rFonts w:ascii="Times New Roman" w:eastAsia="Times New Roman" w:hAnsi="Times New Roman" w:cs="Times New Roman"/>
          <w:sz w:val="24"/>
          <w:szCs w:val="24"/>
          <w:lang w:eastAsia="ru-RU"/>
        </w:rPr>
        <w:t>).</w:t>
      </w:r>
    </w:p>
    <w:p w:rsidR="0096529E" w:rsidRPr="0066263B" w:rsidRDefault="0096529E" w:rsidP="00B47DEA">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18</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воды из источников нецентрализованного водоснабжения в сельских</w:t>
      </w:r>
      <w:r w:rsidRPr="0066263B">
        <w:rPr>
          <w:rFonts w:ascii="Times New Roman" w:eastAsia="TimesNewRomanPS-BoldMT" w:hAnsi="Times New Roman" w:cs="Times New Roman"/>
          <w:b/>
          <w:bCs/>
        </w:rPr>
        <w:br/>
        <w:t>поселениях, не отвечающих гигиеническим нормативам, %</w:t>
      </w:r>
    </w:p>
    <w:p w:rsidR="00324483" w:rsidRPr="0066263B" w:rsidRDefault="00324483" w:rsidP="00324483">
      <w:pPr>
        <w:spacing w:before="0" w:after="0"/>
        <w:jc w:val="center"/>
        <w:rPr>
          <w:rFonts w:ascii="Times New Roman" w:eastAsia="TimesNewRomanPS-BoldMT" w:hAnsi="Times New Roman" w:cs="Times New Roman"/>
          <w:b/>
          <w:bC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1040"/>
        <w:gridCol w:w="1040"/>
        <w:gridCol w:w="1040"/>
        <w:gridCol w:w="2693"/>
      </w:tblGrid>
      <w:tr w:rsidR="00714BA4" w:rsidRPr="0066263B" w:rsidTr="002B3A14">
        <w:trPr>
          <w:trHeight w:val="279"/>
        </w:trPr>
        <w:tc>
          <w:tcPr>
            <w:tcW w:w="1796" w:type="pct"/>
            <w:vAlign w:val="center"/>
          </w:tcPr>
          <w:p w:rsidR="00714BA4" w:rsidRPr="0066263B" w:rsidRDefault="00714BA4" w:rsidP="00324483">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Исследуемые показатели</w:t>
            </w:r>
          </w:p>
        </w:tc>
        <w:tc>
          <w:tcPr>
            <w:tcW w:w="573" w:type="pct"/>
            <w:vAlign w:val="center"/>
          </w:tcPr>
          <w:p w:rsidR="00714BA4" w:rsidRPr="0066263B" w:rsidRDefault="00714BA4" w:rsidP="002B3A14">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2019</w:t>
            </w:r>
          </w:p>
        </w:tc>
        <w:tc>
          <w:tcPr>
            <w:tcW w:w="573" w:type="pct"/>
            <w:vAlign w:val="center"/>
          </w:tcPr>
          <w:p w:rsidR="00714BA4" w:rsidRPr="0066263B" w:rsidRDefault="00714BA4" w:rsidP="002B3A14">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2020</w:t>
            </w:r>
          </w:p>
        </w:tc>
        <w:tc>
          <w:tcPr>
            <w:tcW w:w="573" w:type="pct"/>
            <w:vAlign w:val="center"/>
          </w:tcPr>
          <w:p w:rsidR="00714BA4" w:rsidRPr="0066263B" w:rsidRDefault="00714BA4" w:rsidP="00AF5DD1">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2021</w:t>
            </w:r>
          </w:p>
        </w:tc>
        <w:tc>
          <w:tcPr>
            <w:tcW w:w="1484" w:type="pct"/>
          </w:tcPr>
          <w:p w:rsidR="00714BA4" w:rsidRPr="0066263B" w:rsidRDefault="00714BA4" w:rsidP="00714BA4">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Темп прироста к 2019</w:t>
            </w:r>
            <w:r w:rsidRPr="0066263B">
              <w:rPr>
                <w:rFonts w:ascii="Times New Roman" w:eastAsia="Times New Roman" w:hAnsi="Times New Roman" w:cs="Times New Roman"/>
                <w:b/>
                <w:i/>
                <w:lang w:eastAsia="ru-RU"/>
              </w:rPr>
              <w:t>, %</w:t>
            </w:r>
          </w:p>
        </w:tc>
      </w:tr>
      <w:tr w:rsidR="001F1432" w:rsidRPr="0066263B" w:rsidTr="002B3A14">
        <w:tc>
          <w:tcPr>
            <w:tcW w:w="1796" w:type="pct"/>
            <w:vAlign w:val="center"/>
          </w:tcPr>
          <w:p w:rsidR="001F1432" w:rsidRPr="0066263B" w:rsidRDefault="001F1432"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Санитарно-химические</w:t>
            </w:r>
          </w:p>
        </w:tc>
        <w:tc>
          <w:tcPr>
            <w:tcW w:w="573"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51,7</w:t>
            </w:r>
          </w:p>
        </w:tc>
        <w:tc>
          <w:tcPr>
            <w:tcW w:w="573"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32,7</w:t>
            </w:r>
          </w:p>
        </w:tc>
        <w:tc>
          <w:tcPr>
            <w:tcW w:w="573" w:type="pct"/>
            <w:vAlign w:val="center"/>
          </w:tcPr>
          <w:p w:rsidR="001F1432" w:rsidRPr="0066263B" w:rsidRDefault="001F1432" w:rsidP="00AF5DD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59,8</w:t>
            </w:r>
          </w:p>
        </w:tc>
        <w:tc>
          <w:tcPr>
            <w:tcW w:w="1484"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15,67</w:t>
            </w:r>
          </w:p>
        </w:tc>
      </w:tr>
      <w:tr w:rsidR="001F1432" w:rsidRPr="0066263B" w:rsidTr="002B3A14">
        <w:tc>
          <w:tcPr>
            <w:tcW w:w="1796" w:type="pct"/>
          </w:tcPr>
          <w:p w:rsidR="001F1432" w:rsidRPr="0066263B" w:rsidRDefault="001F1432"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Микробиологические</w:t>
            </w:r>
          </w:p>
        </w:tc>
        <w:tc>
          <w:tcPr>
            <w:tcW w:w="573"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41,2</w:t>
            </w:r>
          </w:p>
        </w:tc>
        <w:tc>
          <w:tcPr>
            <w:tcW w:w="573"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45,9</w:t>
            </w:r>
          </w:p>
        </w:tc>
        <w:tc>
          <w:tcPr>
            <w:tcW w:w="573" w:type="pct"/>
            <w:vAlign w:val="center"/>
          </w:tcPr>
          <w:p w:rsidR="001F1432" w:rsidRPr="0066263B" w:rsidRDefault="001F1432" w:rsidP="00AF5DD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27,6</w:t>
            </w:r>
          </w:p>
        </w:tc>
        <w:tc>
          <w:tcPr>
            <w:tcW w:w="1484"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-33,01</w:t>
            </w:r>
          </w:p>
        </w:tc>
      </w:tr>
    </w:tbl>
    <w:p w:rsidR="00324483" w:rsidRPr="0066263B" w:rsidRDefault="00324483" w:rsidP="00AF5DD1">
      <w:pPr>
        <w:spacing w:before="0" w:after="0"/>
        <w:ind w:firstLine="709"/>
        <w:rPr>
          <w:rFonts w:ascii="Times New Roman" w:eastAsia="Times New Roman" w:hAnsi="Times New Roman" w:cs="Times New Roman"/>
          <w:sz w:val="24"/>
          <w:szCs w:val="24"/>
          <w:lang w:eastAsia="ru-RU"/>
        </w:rPr>
      </w:pPr>
    </w:p>
    <w:p w:rsidR="00714BA4" w:rsidRPr="0066263B" w:rsidRDefault="00714BA4" w:rsidP="00714BA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наблюдается значительное увеличение доли проб воды из систем нецентрализованного водоснабжения в сельских поселениях, не соответствующих санитарным требованиям по санитарно-химическим показателям, на фоне одновременного снижения доли аналогичных проб воды, несоответствующих гигиеническим требованиям по микробиологическим показателям, по сравнению с предыдущими годами.</w:t>
      </w:r>
    </w:p>
    <w:p w:rsidR="00AF5DD1" w:rsidRPr="0066263B" w:rsidRDefault="00AF5DD1"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324483" w:rsidRPr="0066263B" w:rsidRDefault="003702B6" w:rsidP="00324483">
      <w:pPr>
        <w:autoSpaceDE w:val="0"/>
        <w:autoSpaceDN w:val="0"/>
        <w:adjustRightInd w:val="0"/>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362450" cy="3687216"/>
            <wp:effectExtent l="19050" t="0" r="0" b="0"/>
            <wp:docPr id="4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2" cstate="print"/>
                    <a:srcRect/>
                    <a:stretch>
                      <a:fillRect/>
                    </a:stretch>
                  </pic:blipFill>
                  <pic:spPr bwMode="auto">
                    <a:xfrm>
                      <a:off x="0" y="0"/>
                      <a:ext cx="4364696" cy="3689114"/>
                    </a:xfrm>
                    <a:prstGeom prst="rect">
                      <a:avLst/>
                    </a:prstGeom>
                    <a:noFill/>
                    <a:ln w="9525">
                      <a:noFill/>
                      <a:miter lim="800000"/>
                      <a:headEnd/>
                      <a:tailEnd/>
                    </a:ln>
                  </pic:spPr>
                </pic:pic>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25</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систем нецентрализованного водоснабжения в сельских поселениях, не соответствующих</w:t>
      </w:r>
      <w:r w:rsidRPr="0066263B">
        <w:rPr>
          <w:rFonts w:ascii="Times New Roman" w:eastAsia="Times New Roman" w:hAnsi="Times New Roman" w:cs="Times New Roman"/>
          <w:lang w:eastAsia="ru-RU"/>
        </w:rPr>
        <w:br/>
        <w:t>санитарным требованиям по санитарно-химическим показателям</w:t>
      </w:r>
    </w:p>
    <w:p w:rsidR="00714BA4" w:rsidRPr="0066263B" w:rsidRDefault="00714BA4" w:rsidP="00714BA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2021 году наибольшая доля проб воды, не соответствующих гигиеническим требованиям по санитарно-химическим показателям, и превышающая среднеобластной показатель (59,8%) на территориях: Брянского, Гордеевского, Жирятинского, Комаричского, Красногорского, Севского и Суземского районов (табл. 1</w:t>
      </w:r>
      <w:r w:rsidR="00222578"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w:t>
      </w:r>
    </w:p>
    <w:p w:rsidR="00714BA4" w:rsidRPr="0066263B" w:rsidRDefault="00714BA4" w:rsidP="00714BA4">
      <w:pPr>
        <w:spacing w:before="0" w:after="0"/>
        <w:ind w:firstLine="709"/>
        <w:rPr>
          <w:rFonts w:ascii="Times New Roman" w:eastAsia="Times New Roman" w:hAnsi="Times New Roman" w:cs="Times New Roman"/>
          <w:sz w:val="24"/>
          <w:szCs w:val="24"/>
          <w:lang w:eastAsia="ru-RU"/>
        </w:rPr>
      </w:pPr>
    </w:p>
    <w:p w:rsidR="00714BA4" w:rsidRPr="0066263B" w:rsidRDefault="00714BA4" w:rsidP="00714BA4">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19</w:t>
      </w:r>
      <w:r w:rsidR="006C34E2" w:rsidRPr="0066263B">
        <w:rPr>
          <w:rFonts w:ascii="Times New Roman" w:eastAsia="Calibri" w:hAnsi="Times New Roman" w:cs="Times New Roman"/>
        </w:rPr>
        <w:fldChar w:fldCharType="end"/>
      </w:r>
    </w:p>
    <w:p w:rsidR="00714BA4" w:rsidRPr="0066263B" w:rsidRDefault="00714BA4" w:rsidP="00714BA4">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 xml:space="preserve">Доля проб воды из </w:t>
      </w:r>
      <w:r w:rsidRPr="0066263B">
        <w:rPr>
          <w:rFonts w:ascii="Times New Roman" w:eastAsia="Times New Roman" w:hAnsi="Times New Roman" w:cs="Times New Roman"/>
          <w:b/>
          <w:bCs/>
          <w:lang w:eastAsia="ru-RU"/>
        </w:rPr>
        <w:t xml:space="preserve">систем нецентрализованного </w:t>
      </w:r>
      <w:r w:rsidRPr="0066263B">
        <w:rPr>
          <w:rFonts w:ascii="Times New Roman" w:eastAsia="TimesNewRomanPS-BoldMT" w:hAnsi="Times New Roman" w:cs="Times New Roman"/>
          <w:b/>
          <w:bCs/>
        </w:rPr>
        <w:t>водоснабжения в сельских поселениях,</w:t>
      </w:r>
      <w:r w:rsidRPr="0066263B">
        <w:rPr>
          <w:rFonts w:ascii="Times New Roman" w:eastAsia="TimesNewRomanPS-BoldMT" w:hAnsi="Times New Roman" w:cs="Times New Roman"/>
          <w:b/>
          <w:bCs/>
        </w:rPr>
        <w:br/>
        <w:t xml:space="preserve">не отвечающих гигиеническим нормативам по </w:t>
      </w:r>
      <w:r w:rsidRPr="0066263B">
        <w:rPr>
          <w:rFonts w:ascii="Times New Roman" w:eastAsia="Times New Roman" w:hAnsi="Times New Roman" w:cs="Times New Roman"/>
          <w:b/>
          <w:bCs/>
          <w:lang w:eastAsia="ru-RU"/>
        </w:rPr>
        <w:t>санитарно-химическим показателям</w:t>
      </w:r>
      <w:r w:rsidRPr="0066263B">
        <w:rPr>
          <w:rFonts w:ascii="Times New Roman" w:eastAsia="TimesNewRomanPS-BoldMT" w:hAnsi="Times New Roman" w:cs="Times New Roman"/>
          <w:b/>
          <w:bCs/>
        </w:rPr>
        <w:t>,</w:t>
      </w:r>
      <w:r w:rsidRPr="0066263B">
        <w:rPr>
          <w:rFonts w:ascii="Times New Roman" w:eastAsia="TimesNewRomanPS-BoldMT" w:hAnsi="Times New Roman" w:cs="Times New Roman"/>
          <w:b/>
          <w:bCs/>
        </w:rPr>
        <w:br/>
        <w:t>по административным территориям, %</w:t>
      </w:r>
    </w:p>
    <w:p w:rsidR="00714BA4" w:rsidRPr="0066263B" w:rsidRDefault="00714BA4" w:rsidP="00714BA4">
      <w:pPr>
        <w:spacing w:before="0" w:after="0"/>
        <w:jc w:val="center"/>
        <w:rPr>
          <w:rFonts w:ascii="Times New Roman" w:eastAsia="TimesNewRomanPS-BoldMT" w:hAnsi="Times New Roman" w:cs="Times New Roman"/>
          <w:b/>
          <w:bCs/>
        </w:rPr>
      </w:pPr>
    </w:p>
    <w:tbl>
      <w:tblPr>
        <w:tblW w:w="4917"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5"/>
        <w:gridCol w:w="1295"/>
        <w:gridCol w:w="1295"/>
      </w:tblGrid>
      <w:tr w:rsidR="00714BA4" w:rsidRPr="0066263B" w:rsidTr="002B3A14">
        <w:trPr>
          <w:jc w:val="center"/>
        </w:trPr>
        <w:tc>
          <w:tcPr>
            <w:tcW w:w="2873" w:type="pct"/>
            <w:vAlign w:val="center"/>
          </w:tcPr>
          <w:p w:rsidR="00714BA4" w:rsidRPr="0066263B" w:rsidRDefault="00714BA4" w:rsidP="002B3A14">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Административная территория</w:t>
            </w:r>
          </w:p>
        </w:tc>
        <w:tc>
          <w:tcPr>
            <w:tcW w:w="709" w:type="pct"/>
            <w:vAlign w:val="center"/>
          </w:tcPr>
          <w:p w:rsidR="00714BA4" w:rsidRPr="0066263B" w:rsidRDefault="00714BA4" w:rsidP="002B3A14">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09" w:type="pct"/>
            <w:vAlign w:val="center"/>
          </w:tcPr>
          <w:p w:rsidR="00714BA4" w:rsidRPr="0066263B" w:rsidRDefault="00714BA4" w:rsidP="002B3A14">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09" w:type="pct"/>
            <w:vAlign w:val="center"/>
          </w:tcPr>
          <w:p w:rsidR="00714BA4" w:rsidRPr="0066263B" w:rsidRDefault="00714BA4" w:rsidP="002B3A14">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714BA4" w:rsidRPr="0066263B" w:rsidTr="002B3A14">
        <w:trPr>
          <w:jc w:val="center"/>
        </w:trPr>
        <w:tc>
          <w:tcPr>
            <w:tcW w:w="2873" w:type="pct"/>
            <w:vAlign w:val="center"/>
          </w:tcPr>
          <w:p w:rsidR="00714BA4" w:rsidRPr="0066263B" w:rsidRDefault="00714BA4"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 Сельцо</w:t>
            </w:r>
          </w:p>
        </w:tc>
        <w:tc>
          <w:tcPr>
            <w:tcW w:w="709" w:type="pct"/>
            <w:vAlign w:val="center"/>
          </w:tcPr>
          <w:p w:rsidR="00714BA4" w:rsidRPr="0066263B" w:rsidRDefault="00714BA4"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714BA4" w:rsidRPr="0066263B" w:rsidRDefault="00714BA4"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714BA4"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68,9</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75,0</w:t>
            </w:r>
          </w:p>
        </w:tc>
        <w:tc>
          <w:tcPr>
            <w:tcW w:w="709" w:type="pct"/>
            <w:vAlign w:val="center"/>
          </w:tcPr>
          <w:p w:rsidR="00335BC0" w:rsidRPr="0066263B" w:rsidRDefault="00335BC0" w:rsidP="00335BC0">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77,8</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36,3</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11,1</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44,4</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Карачевский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Климовский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34,1</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24,1</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39,1</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Комаричский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66,7</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52,3</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35,5</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92,3</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Мглинский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57,1</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16,7</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60,0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90,0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55,5</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36,3</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42,9</w:t>
            </w:r>
          </w:p>
        </w:tc>
      </w:tr>
      <w:tr w:rsidR="00335BC0" w:rsidRPr="0066263B" w:rsidTr="002B3A14">
        <w:trPr>
          <w:jc w:val="center"/>
        </w:trPr>
        <w:tc>
          <w:tcPr>
            <w:tcW w:w="2873" w:type="pct"/>
            <w:vAlign w:val="center"/>
          </w:tcPr>
          <w:p w:rsidR="00335BC0" w:rsidRPr="0066263B" w:rsidRDefault="00335BC0" w:rsidP="002B3A14">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75,0</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22,8</w:t>
            </w:r>
          </w:p>
        </w:tc>
        <w:tc>
          <w:tcPr>
            <w:tcW w:w="709" w:type="pct"/>
            <w:vAlign w:val="center"/>
          </w:tcPr>
          <w:p w:rsidR="00335BC0" w:rsidRPr="0066263B" w:rsidRDefault="00335BC0" w:rsidP="002B3A14">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r>
    </w:tbl>
    <w:p w:rsidR="00714BA4" w:rsidRPr="0066263B" w:rsidRDefault="00714BA4" w:rsidP="00714BA4">
      <w:pPr>
        <w:spacing w:before="0" w:after="0"/>
        <w:ind w:firstLine="709"/>
        <w:rPr>
          <w:rFonts w:ascii="Times New Roman" w:eastAsia="Times New Roman" w:hAnsi="Times New Roman" w:cs="Times New Roman"/>
          <w:sz w:val="24"/>
          <w:szCs w:val="24"/>
          <w:lang w:eastAsia="ru-RU"/>
        </w:rPr>
      </w:pPr>
    </w:p>
    <w:p w:rsidR="001F63A5" w:rsidRPr="0066263B" w:rsidRDefault="001F63A5" w:rsidP="001F63A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 микробиологическим показателям в 2021 году наибольшая доля проб воды, не соответствующих гигиеническим требованиям, и превышающая среднеобластной показатель (27,6%) на территориях: Гордеевского, Дубровского, Дятьковского, Жирятинского, Жуковского, Клинцовского, Красногорского, Новозыбковского, Рогнединского и Севского районов (табл. </w:t>
      </w:r>
      <w:r w:rsidR="00222578"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w:t>
      </w:r>
    </w:p>
    <w:p w:rsidR="001F63A5" w:rsidRPr="0066263B" w:rsidRDefault="001F63A5" w:rsidP="001F63A5">
      <w:pPr>
        <w:spacing w:before="0" w:after="0"/>
        <w:ind w:firstLine="709"/>
        <w:rPr>
          <w:rFonts w:ascii="Times New Roman" w:eastAsia="Times New Roman" w:hAnsi="Times New Roman" w:cs="Times New Roman"/>
          <w:sz w:val="24"/>
          <w:szCs w:val="24"/>
          <w:lang w:eastAsia="ru-RU"/>
        </w:rPr>
      </w:pPr>
    </w:p>
    <w:p w:rsidR="001F63A5" w:rsidRPr="0066263B" w:rsidRDefault="001F63A5" w:rsidP="001F63A5">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20</w:t>
      </w:r>
      <w:r w:rsidR="006C34E2" w:rsidRPr="0066263B">
        <w:rPr>
          <w:rFonts w:ascii="Times New Roman" w:eastAsia="Calibri" w:hAnsi="Times New Roman" w:cs="Times New Roman"/>
        </w:rPr>
        <w:fldChar w:fldCharType="end"/>
      </w:r>
    </w:p>
    <w:p w:rsidR="001F63A5" w:rsidRPr="0066263B" w:rsidRDefault="001F63A5" w:rsidP="001F63A5">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 xml:space="preserve">Доля проб воды из </w:t>
      </w:r>
      <w:r w:rsidRPr="0066263B">
        <w:rPr>
          <w:rFonts w:ascii="Times New Roman" w:eastAsia="Times New Roman" w:hAnsi="Times New Roman" w:cs="Times New Roman"/>
          <w:b/>
          <w:bCs/>
          <w:lang w:eastAsia="ru-RU"/>
        </w:rPr>
        <w:t xml:space="preserve">систем нецентрализованного </w:t>
      </w:r>
      <w:r w:rsidRPr="0066263B">
        <w:rPr>
          <w:rFonts w:ascii="Times New Roman" w:eastAsia="TimesNewRomanPS-BoldMT" w:hAnsi="Times New Roman" w:cs="Times New Roman"/>
          <w:b/>
          <w:bCs/>
        </w:rPr>
        <w:t>водоснабжения в сельских поселениях,</w:t>
      </w:r>
      <w:r w:rsidRPr="0066263B">
        <w:rPr>
          <w:rFonts w:ascii="Times New Roman" w:eastAsia="TimesNewRomanPS-BoldMT" w:hAnsi="Times New Roman" w:cs="Times New Roman"/>
          <w:b/>
          <w:bCs/>
        </w:rPr>
        <w:br/>
        <w:t xml:space="preserve">не отвечающих гигиеническим нормативам по </w:t>
      </w:r>
      <w:r w:rsidRPr="0066263B">
        <w:rPr>
          <w:rFonts w:ascii="Times New Roman" w:eastAsia="Times New Roman" w:hAnsi="Times New Roman" w:cs="Times New Roman"/>
          <w:b/>
          <w:bCs/>
          <w:lang w:eastAsia="ru-RU"/>
        </w:rPr>
        <w:t>микробиологическим показателям</w:t>
      </w:r>
      <w:r w:rsidRPr="0066263B">
        <w:rPr>
          <w:rFonts w:ascii="Times New Roman" w:eastAsia="TimesNewRomanPS-BoldMT" w:hAnsi="Times New Roman" w:cs="Times New Roman"/>
          <w:b/>
          <w:bCs/>
        </w:rPr>
        <w:t>,</w:t>
      </w:r>
      <w:r w:rsidRPr="0066263B">
        <w:rPr>
          <w:rFonts w:ascii="Times New Roman" w:eastAsia="TimesNewRomanPS-BoldMT" w:hAnsi="Times New Roman" w:cs="Times New Roman"/>
          <w:b/>
          <w:bCs/>
        </w:rPr>
        <w:br/>
        <w:t>по административным территориям, %</w:t>
      </w:r>
    </w:p>
    <w:p w:rsidR="001F63A5" w:rsidRPr="0066263B" w:rsidRDefault="001F63A5" w:rsidP="001F63A5">
      <w:pPr>
        <w:spacing w:before="0" w:after="0"/>
        <w:jc w:val="center"/>
        <w:rPr>
          <w:rFonts w:ascii="Times New Roman" w:eastAsia="TimesNewRomanPS-BoldMT" w:hAnsi="Times New Roman" w:cs="Times New Roman"/>
          <w:b/>
          <w:bCs/>
        </w:rPr>
      </w:pPr>
    </w:p>
    <w:tbl>
      <w:tblPr>
        <w:tblW w:w="4917"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5"/>
        <w:gridCol w:w="1295"/>
        <w:gridCol w:w="1295"/>
      </w:tblGrid>
      <w:tr w:rsidR="001F63A5" w:rsidRPr="0066263B" w:rsidTr="001F63A5">
        <w:trPr>
          <w:jc w:val="center"/>
        </w:trPr>
        <w:tc>
          <w:tcPr>
            <w:tcW w:w="2873" w:type="pct"/>
            <w:vAlign w:val="center"/>
          </w:tcPr>
          <w:p w:rsidR="001F63A5" w:rsidRPr="0066263B" w:rsidRDefault="001F63A5" w:rsidP="001F63A5">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Административная территория</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Брянский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11,1</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Гордеевский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37,5</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Дубровский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Дятьковский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66,7</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33,3</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Жирятинский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Жуковский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57,1</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60,0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Злынковский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Клинцовский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37,5</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44,5</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39,1</w:t>
            </w:r>
          </w:p>
        </w:tc>
      </w:tr>
    </w:tbl>
    <w:p w:rsidR="001F63A5" w:rsidRPr="0066263B" w:rsidRDefault="001F63A5" w:rsidP="00222578">
      <w:pPr>
        <w:spacing w:before="0" w:after="60"/>
        <w:ind w:firstLine="709"/>
        <w:jc w:val="righ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продолжение таблицы 20</w:t>
      </w:r>
    </w:p>
    <w:tbl>
      <w:tblPr>
        <w:tblW w:w="4917" w:type="pct"/>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7"/>
        <w:gridCol w:w="1295"/>
        <w:gridCol w:w="1295"/>
        <w:gridCol w:w="1295"/>
      </w:tblGrid>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Красногорский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40,0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48,4</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38,5</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Новозыбковский городской округ</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20,0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29,4</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Погарский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Рогнединский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Севский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50,0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40,0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Стародубский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25,0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Суземский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55,5</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Суражский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100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11,1</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r w:rsidR="001F63A5" w:rsidRPr="0066263B" w:rsidTr="001F63A5">
        <w:trPr>
          <w:jc w:val="center"/>
        </w:trPr>
        <w:tc>
          <w:tcPr>
            <w:tcW w:w="2873" w:type="pct"/>
            <w:vAlign w:val="center"/>
          </w:tcPr>
          <w:p w:rsidR="001F63A5" w:rsidRPr="0066263B" w:rsidRDefault="001F63A5" w:rsidP="001F63A5">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Унечский район</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c>
          <w:tcPr>
            <w:tcW w:w="709" w:type="pct"/>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31,8</w:t>
            </w:r>
          </w:p>
        </w:tc>
        <w:tc>
          <w:tcPr>
            <w:tcW w:w="709" w:type="pct"/>
            <w:vAlign w:val="center"/>
          </w:tcPr>
          <w:p w:rsidR="001F63A5" w:rsidRPr="0066263B" w:rsidRDefault="001F63A5" w:rsidP="001F63A5">
            <w:pPr>
              <w:spacing w:before="20" w:after="20"/>
              <w:jc w:val="center"/>
              <w:outlineLvl w:val="1"/>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w:t>
            </w:r>
          </w:p>
        </w:tc>
      </w:tr>
    </w:tbl>
    <w:p w:rsidR="00335BC0" w:rsidRPr="0066263B" w:rsidRDefault="00335BC0" w:rsidP="00335BC0">
      <w:pPr>
        <w:spacing w:before="0" w:after="0"/>
        <w:ind w:firstLine="709"/>
        <w:rPr>
          <w:rFonts w:ascii="Times New Roman" w:eastAsia="Times New Roman" w:hAnsi="Times New Roman" w:cs="Times New Roman"/>
          <w:sz w:val="24"/>
          <w:szCs w:val="24"/>
          <w:lang w:eastAsia="ru-RU"/>
        </w:rPr>
      </w:pPr>
    </w:p>
    <w:p w:rsidR="001F63A5" w:rsidRPr="0066263B" w:rsidRDefault="001F63A5" w:rsidP="00335BC0">
      <w:pPr>
        <w:spacing w:before="0" w:after="0"/>
        <w:ind w:firstLine="709"/>
        <w:rPr>
          <w:rFonts w:ascii="Times New Roman" w:eastAsia="Times New Roman" w:hAnsi="Times New Roman" w:cs="Times New Roman"/>
          <w:sz w:val="24"/>
          <w:szCs w:val="24"/>
          <w:lang w:eastAsia="ru-RU"/>
        </w:rPr>
      </w:pPr>
    </w:p>
    <w:p w:rsidR="00335BC0" w:rsidRPr="0066263B" w:rsidRDefault="00335BC0" w:rsidP="00335BC0">
      <w:pPr>
        <w:autoSpaceDE w:val="0"/>
        <w:autoSpaceDN w:val="0"/>
        <w:adjustRightInd w:val="0"/>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552950" cy="3962312"/>
            <wp:effectExtent l="19050" t="0" r="0" b="0"/>
            <wp:docPr id="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3" cstate="print"/>
                    <a:srcRect/>
                    <a:stretch>
                      <a:fillRect/>
                    </a:stretch>
                  </pic:blipFill>
                  <pic:spPr bwMode="auto">
                    <a:xfrm>
                      <a:off x="0" y="0"/>
                      <a:ext cx="4552950" cy="3962312"/>
                    </a:xfrm>
                    <a:prstGeom prst="rect">
                      <a:avLst/>
                    </a:prstGeom>
                    <a:noFill/>
                    <a:ln w="9525">
                      <a:noFill/>
                      <a:miter lim="800000"/>
                      <a:headEnd/>
                      <a:tailEnd/>
                    </a:ln>
                  </pic:spPr>
                </pic:pic>
              </a:graphicData>
            </a:graphic>
          </wp:inline>
        </w:drawing>
      </w:r>
    </w:p>
    <w:p w:rsidR="00335BC0" w:rsidRPr="0066263B" w:rsidRDefault="00335BC0" w:rsidP="00335BC0">
      <w:pPr>
        <w:autoSpaceDE w:val="0"/>
        <w:autoSpaceDN w:val="0"/>
        <w:adjustRightInd w:val="0"/>
        <w:spacing w:before="0" w:after="0"/>
        <w:jc w:val="center"/>
        <w:rPr>
          <w:rFonts w:ascii="Times New Roman" w:eastAsia="Times New Roman" w:hAnsi="Times New Roman" w:cs="Times New Roman"/>
          <w:sz w:val="24"/>
          <w:szCs w:val="24"/>
          <w:lang w:eastAsia="ru-RU"/>
        </w:rPr>
      </w:pPr>
    </w:p>
    <w:p w:rsidR="00335BC0" w:rsidRPr="0066263B" w:rsidRDefault="00335BC0" w:rsidP="00335BC0">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26</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систем нецентрализованного водоснабжения в сельских поселениях, не соответствующих</w:t>
      </w:r>
      <w:r w:rsidRPr="0066263B">
        <w:rPr>
          <w:rFonts w:ascii="Times New Roman" w:eastAsia="Times New Roman" w:hAnsi="Times New Roman" w:cs="Times New Roman"/>
          <w:lang w:eastAsia="ru-RU"/>
        </w:rPr>
        <w:br/>
        <w:t>санитарным требованиям по микробиологическим показателям</w:t>
      </w:r>
    </w:p>
    <w:p w:rsidR="00335BC0" w:rsidRPr="0066263B" w:rsidRDefault="00335BC0" w:rsidP="00714BA4">
      <w:pPr>
        <w:spacing w:before="0" w:after="0"/>
        <w:ind w:firstLine="709"/>
        <w:rPr>
          <w:rFonts w:ascii="Times New Roman" w:eastAsia="Times New Roman" w:hAnsi="Times New Roman" w:cs="Times New Roman"/>
          <w:sz w:val="24"/>
          <w:szCs w:val="24"/>
          <w:lang w:eastAsia="ru-RU"/>
        </w:rPr>
      </w:pPr>
    </w:p>
    <w:p w:rsidR="00AF40A2" w:rsidRPr="0066263B" w:rsidRDefault="00AF40A2" w:rsidP="00AF40A2">
      <w:pPr>
        <w:spacing w:before="0" w:after="0"/>
        <w:ind w:firstLine="709"/>
        <w:rPr>
          <w:rFonts w:ascii="Times New Roman" w:eastAsia="Times New Roman" w:hAnsi="Times New Roman" w:cs="Times New Roman"/>
          <w:sz w:val="24"/>
          <w:szCs w:val="24"/>
          <w:lang w:eastAsia="ru-RU"/>
        </w:rPr>
      </w:pPr>
    </w:p>
    <w:p w:rsidR="001F1432" w:rsidRPr="0066263B" w:rsidRDefault="001F1432" w:rsidP="001F143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Основными причинами столь высокого удельного веса проб воды систем нецентрализованного водоснабжения, не отвечающих гигиеническим нормативам, являются: несвоевременное проведение текущих и капитальных ремонтов колодцев и каптажей, малый водоотбор и слабая защищённость подземных водоносных горизонтов от загрязнения с поверхности территорий.</w:t>
      </w:r>
    </w:p>
    <w:p w:rsidR="001F63A5" w:rsidRPr="0066263B" w:rsidRDefault="001F63A5">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457B61" w:rsidRPr="0066263B" w:rsidRDefault="00457B61" w:rsidP="00AF40A2">
      <w:pPr>
        <w:spacing w:before="0" w:after="0"/>
        <w:ind w:firstLine="709"/>
        <w:rPr>
          <w:rFonts w:ascii="Times New Roman" w:eastAsia="Times New Roman" w:hAnsi="Times New Roman" w:cs="Times New Roman"/>
          <w:iCs/>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21</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Доля проб</w:t>
      </w:r>
      <w:r w:rsidRPr="0066263B">
        <w:rPr>
          <w:rFonts w:ascii="Times New Roman" w:eastAsia="Calibri" w:hAnsi="Times New Roman" w:cs="Times New Roman"/>
          <w:iCs/>
          <w:sz w:val="28"/>
          <w:szCs w:val="28"/>
          <w:lang w:eastAsia="ru-RU"/>
        </w:rPr>
        <w:t xml:space="preserve"> </w:t>
      </w:r>
      <w:r w:rsidRPr="0066263B">
        <w:rPr>
          <w:rFonts w:ascii="Times New Roman" w:eastAsia="Times New Roman" w:hAnsi="Times New Roman" w:cs="Times New Roman"/>
          <w:b/>
          <w:lang w:eastAsia="ru-RU"/>
        </w:rPr>
        <w:t>питьевой воды объектов нецентрализованного</w:t>
      </w:r>
      <w:r w:rsidRPr="0066263B">
        <w:rPr>
          <w:rFonts w:ascii="Times New Roman" w:eastAsia="Times New Roman" w:hAnsi="Times New Roman" w:cs="Times New Roman"/>
          <w:b/>
          <w:lang w:eastAsia="ru-RU"/>
        </w:rPr>
        <w:br/>
        <w:t>водоснабжения, не отвечающих гигиеническим нормативам, %</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756"/>
        <w:gridCol w:w="756"/>
        <w:gridCol w:w="757"/>
        <w:gridCol w:w="757"/>
        <w:gridCol w:w="757"/>
        <w:gridCol w:w="757"/>
        <w:gridCol w:w="991"/>
        <w:gridCol w:w="989"/>
      </w:tblGrid>
      <w:tr w:rsidR="0033142C" w:rsidRPr="0066263B" w:rsidTr="00C56F65">
        <w:tc>
          <w:tcPr>
            <w:tcW w:w="1407" w:type="pct"/>
            <w:vMerge w:val="restart"/>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Объекты</w:t>
            </w:r>
            <w:r w:rsidRPr="0066263B">
              <w:rPr>
                <w:rFonts w:ascii="Times New Roman" w:eastAsia="Times New Roman" w:hAnsi="Times New Roman" w:cs="Times New Roman"/>
                <w:b/>
                <w:i/>
                <w:lang w:eastAsia="ru-RU"/>
              </w:rPr>
              <w:br/>
              <w:t>водоснабжения</w:t>
            </w:r>
          </w:p>
        </w:tc>
        <w:tc>
          <w:tcPr>
            <w:tcW w:w="833" w:type="pct"/>
            <w:gridSpan w:val="2"/>
            <w:vAlign w:val="center"/>
          </w:tcPr>
          <w:p w:rsidR="0033142C" w:rsidRPr="0066263B" w:rsidRDefault="0033142C" w:rsidP="002B3A1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834" w:type="pct"/>
            <w:gridSpan w:val="2"/>
            <w:vAlign w:val="center"/>
          </w:tcPr>
          <w:p w:rsidR="0033142C" w:rsidRPr="0066263B" w:rsidRDefault="0033142C" w:rsidP="002B3A1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834" w:type="pct"/>
            <w:gridSpan w:val="2"/>
            <w:shd w:val="clear" w:color="auto" w:fill="auto"/>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c>
          <w:tcPr>
            <w:tcW w:w="1091" w:type="pct"/>
            <w:gridSpan w:val="2"/>
          </w:tcPr>
          <w:p w:rsidR="0033142C" w:rsidRPr="0066263B" w:rsidRDefault="0033142C" w:rsidP="0033142C">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Темп прироста</w:t>
            </w:r>
            <w:r w:rsidRPr="0066263B">
              <w:rPr>
                <w:rFonts w:ascii="Times New Roman" w:eastAsia="Times New Roman" w:hAnsi="Times New Roman" w:cs="Times New Roman"/>
                <w:b/>
                <w:i/>
                <w:lang w:eastAsia="ru-RU"/>
              </w:rPr>
              <w:br/>
              <w:t>к 2019, %</w:t>
            </w:r>
          </w:p>
        </w:tc>
      </w:tr>
      <w:tr w:rsidR="0033142C" w:rsidRPr="0066263B" w:rsidTr="00C56F65">
        <w:tc>
          <w:tcPr>
            <w:tcW w:w="1407" w:type="pct"/>
            <w:vMerge/>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p>
        </w:tc>
        <w:tc>
          <w:tcPr>
            <w:tcW w:w="417" w:type="pct"/>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сан/</w:t>
            </w:r>
            <w:r w:rsidRPr="0066263B">
              <w:rPr>
                <w:rFonts w:ascii="Times New Roman" w:eastAsia="Times New Roman" w:hAnsi="Times New Roman" w:cs="Times New Roman"/>
                <w:b/>
                <w:i/>
                <w:lang w:eastAsia="ru-RU"/>
              </w:rPr>
              <w:br/>
            </w:r>
            <w:proofErr w:type="spellStart"/>
            <w:proofErr w:type="gramStart"/>
            <w:r w:rsidRPr="0066263B">
              <w:rPr>
                <w:rFonts w:ascii="Times New Roman" w:eastAsia="Times New Roman" w:hAnsi="Times New Roman" w:cs="Times New Roman"/>
                <w:b/>
                <w:i/>
                <w:lang w:eastAsia="ru-RU"/>
              </w:rPr>
              <w:t>хим</w:t>
            </w:r>
            <w:proofErr w:type="spellEnd"/>
            <w:proofErr w:type="gramEnd"/>
          </w:p>
        </w:tc>
        <w:tc>
          <w:tcPr>
            <w:tcW w:w="417" w:type="pct"/>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сан/</w:t>
            </w:r>
            <w:r w:rsidRPr="0066263B">
              <w:rPr>
                <w:rFonts w:ascii="Times New Roman" w:eastAsia="Times New Roman" w:hAnsi="Times New Roman" w:cs="Times New Roman"/>
                <w:b/>
                <w:i/>
                <w:lang w:eastAsia="ru-RU"/>
              </w:rPr>
              <w:br/>
              <w:t>бак</w:t>
            </w:r>
          </w:p>
        </w:tc>
        <w:tc>
          <w:tcPr>
            <w:tcW w:w="417" w:type="pct"/>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сан/</w:t>
            </w:r>
            <w:r w:rsidRPr="0066263B">
              <w:rPr>
                <w:rFonts w:ascii="Times New Roman" w:eastAsia="Times New Roman" w:hAnsi="Times New Roman" w:cs="Times New Roman"/>
                <w:b/>
                <w:i/>
                <w:lang w:eastAsia="ru-RU"/>
              </w:rPr>
              <w:br/>
            </w:r>
            <w:proofErr w:type="spellStart"/>
            <w:proofErr w:type="gramStart"/>
            <w:r w:rsidRPr="0066263B">
              <w:rPr>
                <w:rFonts w:ascii="Times New Roman" w:eastAsia="Times New Roman" w:hAnsi="Times New Roman" w:cs="Times New Roman"/>
                <w:b/>
                <w:i/>
                <w:lang w:eastAsia="ru-RU"/>
              </w:rPr>
              <w:t>хим</w:t>
            </w:r>
            <w:proofErr w:type="spellEnd"/>
            <w:proofErr w:type="gramEnd"/>
          </w:p>
        </w:tc>
        <w:tc>
          <w:tcPr>
            <w:tcW w:w="417" w:type="pct"/>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сан/</w:t>
            </w:r>
            <w:r w:rsidRPr="0066263B">
              <w:rPr>
                <w:rFonts w:ascii="Times New Roman" w:eastAsia="Times New Roman" w:hAnsi="Times New Roman" w:cs="Times New Roman"/>
                <w:b/>
                <w:i/>
                <w:lang w:eastAsia="ru-RU"/>
              </w:rPr>
              <w:br/>
              <w:t>бак</w:t>
            </w:r>
          </w:p>
        </w:tc>
        <w:tc>
          <w:tcPr>
            <w:tcW w:w="417" w:type="pct"/>
            <w:shd w:val="clear" w:color="auto" w:fill="auto"/>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сан/</w:t>
            </w:r>
            <w:r w:rsidRPr="0066263B">
              <w:rPr>
                <w:rFonts w:ascii="Times New Roman" w:eastAsia="Times New Roman" w:hAnsi="Times New Roman" w:cs="Times New Roman"/>
                <w:b/>
                <w:i/>
                <w:lang w:eastAsia="ru-RU"/>
              </w:rPr>
              <w:br/>
            </w:r>
            <w:proofErr w:type="spellStart"/>
            <w:proofErr w:type="gramStart"/>
            <w:r w:rsidRPr="0066263B">
              <w:rPr>
                <w:rFonts w:ascii="Times New Roman" w:eastAsia="Times New Roman" w:hAnsi="Times New Roman" w:cs="Times New Roman"/>
                <w:b/>
                <w:i/>
                <w:lang w:eastAsia="ru-RU"/>
              </w:rPr>
              <w:t>хим</w:t>
            </w:r>
            <w:proofErr w:type="spellEnd"/>
            <w:proofErr w:type="gramEnd"/>
          </w:p>
        </w:tc>
        <w:tc>
          <w:tcPr>
            <w:tcW w:w="417" w:type="pct"/>
            <w:shd w:val="clear" w:color="auto" w:fill="auto"/>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сан/</w:t>
            </w:r>
            <w:r w:rsidRPr="0066263B">
              <w:rPr>
                <w:rFonts w:ascii="Times New Roman" w:eastAsia="Times New Roman" w:hAnsi="Times New Roman" w:cs="Times New Roman"/>
                <w:b/>
                <w:i/>
                <w:lang w:eastAsia="ru-RU"/>
              </w:rPr>
              <w:br/>
              <w:t>бак</w:t>
            </w:r>
          </w:p>
        </w:tc>
        <w:tc>
          <w:tcPr>
            <w:tcW w:w="546" w:type="pct"/>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сан/</w:t>
            </w:r>
            <w:r w:rsidRPr="0066263B">
              <w:rPr>
                <w:rFonts w:ascii="Times New Roman" w:eastAsia="Times New Roman" w:hAnsi="Times New Roman" w:cs="Times New Roman"/>
                <w:b/>
                <w:i/>
                <w:lang w:eastAsia="ru-RU"/>
              </w:rPr>
              <w:br/>
            </w:r>
            <w:proofErr w:type="spellStart"/>
            <w:proofErr w:type="gramStart"/>
            <w:r w:rsidRPr="0066263B">
              <w:rPr>
                <w:rFonts w:ascii="Times New Roman" w:eastAsia="Times New Roman" w:hAnsi="Times New Roman" w:cs="Times New Roman"/>
                <w:b/>
                <w:i/>
                <w:lang w:eastAsia="ru-RU"/>
              </w:rPr>
              <w:t>хим</w:t>
            </w:r>
            <w:proofErr w:type="spellEnd"/>
            <w:proofErr w:type="gramEnd"/>
          </w:p>
        </w:tc>
        <w:tc>
          <w:tcPr>
            <w:tcW w:w="545" w:type="pct"/>
            <w:vAlign w:val="center"/>
          </w:tcPr>
          <w:p w:rsidR="0033142C" w:rsidRPr="0066263B" w:rsidRDefault="0033142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сан/</w:t>
            </w:r>
            <w:r w:rsidRPr="0066263B">
              <w:rPr>
                <w:rFonts w:ascii="Times New Roman" w:eastAsia="Times New Roman" w:hAnsi="Times New Roman" w:cs="Times New Roman"/>
                <w:b/>
                <w:i/>
                <w:lang w:eastAsia="ru-RU"/>
              </w:rPr>
              <w:br/>
              <w:t>бак</w:t>
            </w:r>
          </w:p>
        </w:tc>
      </w:tr>
      <w:tr w:rsidR="001F1432" w:rsidRPr="0066263B" w:rsidTr="008B73E1">
        <w:tc>
          <w:tcPr>
            <w:tcW w:w="1407" w:type="pct"/>
            <w:vAlign w:val="center"/>
          </w:tcPr>
          <w:p w:rsidR="001F1432" w:rsidRPr="0066263B" w:rsidRDefault="001F1432"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Нецентрализованное</w:t>
            </w:r>
            <w:r w:rsidRPr="0066263B">
              <w:rPr>
                <w:rFonts w:ascii="Times New Roman" w:eastAsia="Times New Roman" w:hAnsi="Times New Roman" w:cs="Times New Roman"/>
                <w:lang w:eastAsia="ru-RU"/>
              </w:rPr>
              <w:br/>
              <w:t>водоснабжение</w:t>
            </w:r>
            <w:r w:rsidRPr="0066263B">
              <w:rPr>
                <w:rFonts w:ascii="Times New Roman" w:eastAsia="Times New Roman" w:hAnsi="Times New Roman" w:cs="Times New Roman"/>
                <w:lang w:eastAsia="ru-RU"/>
              </w:rPr>
              <w:br/>
              <w:t>(колодцы, каптажи)</w:t>
            </w:r>
          </w:p>
        </w:tc>
        <w:tc>
          <w:tcPr>
            <w:tcW w:w="417"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50,5</w:t>
            </w:r>
          </w:p>
        </w:tc>
        <w:tc>
          <w:tcPr>
            <w:tcW w:w="417"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40,5</w:t>
            </w:r>
          </w:p>
        </w:tc>
        <w:tc>
          <w:tcPr>
            <w:tcW w:w="417"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31,3</w:t>
            </w:r>
          </w:p>
        </w:tc>
        <w:tc>
          <w:tcPr>
            <w:tcW w:w="417"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45,2</w:t>
            </w:r>
          </w:p>
        </w:tc>
        <w:tc>
          <w:tcPr>
            <w:tcW w:w="417" w:type="pct"/>
            <w:shd w:val="clear" w:color="auto" w:fill="auto"/>
            <w:vAlign w:val="center"/>
          </w:tcPr>
          <w:p w:rsidR="001F1432" w:rsidRPr="0066263B" w:rsidRDefault="001F1432"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48,3</w:t>
            </w:r>
          </w:p>
        </w:tc>
        <w:tc>
          <w:tcPr>
            <w:tcW w:w="417" w:type="pct"/>
            <w:shd w:val="clear" w:color="auto" w:fill="auto"/>
            <w:vAlign w:val="center"/>
          </w:tcPr>
          <w:p w:rsidR="001F1432" w:rsidRPr="0066263B" w:rsidRDefault="001F1432"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33,6</w:t>
            </w:r>
          </w:p>
        </w:tc>
        <w:tc>
          <w:tcPr>
            <w:tcW w:w="546"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-4,36</w:t>
            </w:r>
          </w:p>
        </w:tc>
        <w:tc>
          <w:tcPr>
            <w:tcW w:w="545"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-17,04</w:t>
            </w:r>
          </w:p>
        </w:tc>
      </w:tr>
      <w:tr w:rsidR="001F1432" w:rsidRPr="0066263B" w:rsidTr="008B73E1">
        <w:tc>
          <w:tcPr>
            <w:tcW w:w="1407" w:type="pct"/>
            <w:vAlign w:val="center"/>
          </w:tcPr>
          <w:p w:rsidR="001F1432" w:rsidRPr="0066263B" w:rsidRDefault="001F1432"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Нецентрализованное</w:t>
            </w:r>
            <w:r w:rsidRPr="0066263B">
              <w:rPr>
                <w:rFonts w:ascii="Times New Roman" w:eastAsia="Times New Roman" w:hAnsi="Times New Roman" w:cs="Times New Roman"/>
                <w:lang w:eastAsia="ru-RU"/>
              </w:rPr>
              <w:br/>
              <w:t>водоснабжение в</w:t>
            </w:r>
            <w:r w:rsidRPr="0066263B">
              <w:rPr>
                <w:rFonts w:ascii="Times New Roman" w:eastAsia="Times New Roman" w:hAnsi="Times New Roman" w:cs="Times New Roman"/>
                <w:lang w:eastAsia="ru-RU"/>
              </w:rPr>
              <w:br/>
              <w:t>сельских поселениях</w:t>
            </w:r>
          </w:p>
        </w:tc>
        <w:tc>
          <w:tcPr>
            <w:tcW w:w="417"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51,7</w:t>
            </w:r>
          </w:p>
        </w:tc>
        <w:tc>
          <w:tcPr>
            <w:tcW w:w="417"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41,2</w:t>
            </w:r>
          </w:p>
        </w:tc>
        <w:tc>
          <w:tcPr>
            <w:tcW w:w="417"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37,2</w:t>
            </w:r>
          </w:p>
        </w:tc>
        <w:tc>
          <w:tcPr>
            <w:tcW w:w="417" w:type="pct"/>
            <w:vAlign w:val="center"/>
          </w:tcPr>
          <w:p w:rsidR="001F1432" w:rsidRPr="0066263B" w:rsidRDefault="001F1432" w:rsidP="002B3A1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45,9</w:t>
            </w:r>
          </w:p>
        </w:tc>
        <w:tc>
          <w:tcPr>
            <w:tcW w:w="417" w:type="pct"/>
            <w:shd w:val="clear" w:color="auto" w:fill="auto"/>
            <w:vAlign w:val="center"/>
          </w:tcPr>
          <w:p w:rsidR="001F1432" w:rsidRPr="0066263B" w:rsidRDefault="001F1432"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59,8</w:t>
            </w:r>
          </w:p>
        </w:tc>
        <w:tc>
          <w:tcPr>
            <w:tcW w:w="417" w:type="pct"/>
            <w:shd w:val="clear" w:color="auto" w:fill="auto"/>
            <w:vAlign w:val="center"/>
          </w:tcPr>
          <w:p w:rsidR="001F1432" w:rsidRPr="0066263B" w:rsidRDefault="001F1432"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27,6</w:t>
            </w:r>
          </w:p>
        </w:tc>
        <w:tc>
          <w:tcPr>
            <w:tcW w:w="546"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15,67</w:t>
            </w:r>
          </w:p>
        </w:tc>
        <w:tc>
          <w:tcPr>
            <w:tcW w:w="545" w:type="pct"/>
            <w:shd w:val="clear" w:color="auto" w:fill="auto"/>
            <w:vAlign w:val="center"/>
          </w:tcPr>
          <w:p w:rsidR="001F1432" w:rsidRPr="0066263B" w:rsidRDefault="001F1432" w:rsidP="001F143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-33,01</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8B73E1" w:rsidRPr="0066263B" w:rsidRDefault="008B73E1" w:rsidP="008B73E1">
      <w:pPr>
        <w:spacing w:before="0" w:after="0"/>
        <w:ind w:firstLine="709"/>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iCs/>
          <w:sz w:val="24"/>
          <w:szCs w:val="24"/>
          <w:lang w:eastAsia="ru-RU"/>
        </w:rPr>
        <w:t>Основными причинами неудовлетворительного качества питьевой воды являются:</w:t>
      </w:r>
    </w:p>
    <w:p w:rsidR="008B73E1" w:rsidRPr="0066263B" w:rsidRDefault="008B73E1" w:rsidP="008B73E1">
      <w:pPr>
        <w:numPr>
          <w:ilvl w:val="0"/>
          <w:numId w:val="3"/>
        </w:numPr>
        <w:spacing w:before="0" w:after="0"/>
        <w:ind w:left="851" w:hanging="284"/>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природное высокое содержание железа, стронция в питьевой воде, связанное с интенсивным </w:t>
      </w:r>
      <w:proofErr w:type="spellStart"/>
      <w:r w:rsidRPr="0066263B">
        <w:rPr>
          <w:rFonts w:ascii="Times New Roman" w:eastAsia="Times New Roman" w:hAnsi="Times New Roman" w:cs="Times New Roman"/>
          <w:sz w:val="24"/>
          <w:szCs w:val="24"/>
          <w:lang w:eastAsia="ru-RU"/>
        </w:rPr>
        <w:t>водоотбором</w:t>
      </w:r>
      <w:proofErr w:type="spellEnd"/>
      <w:r w:rsidRPr="0066263B">
        <w:rPr>
          <w:rFonts w:ascii="Times New Roman" w:eastAsia="Times New Roman" w:hAnsi="Times New Roman" w:cs="Times New Roman"/>
          <w:sz w:val="24"/>
          <w:szCs w:val="24"/>
          <w:lang w:eastAsia="ru-RU"/>
        </w:rPr>
        <w:t xml:space="preserve"> и формированием депрессионной воронки в г. Брянске радиусом более 100 км, которая привела к ухудшению качества подземных вод;</w:t>
      </w:r>
      <w:proofErr w:type="gramEnd"/>
    </w:p>
    <w:p w:rsidR="008B73E1" w:rsidRPr="0066263B" w:rsidRDefault="008B73E1" w:rsidP="008B73E1">
      <w:pPr>
        <w:numPr>
          <w:ilvl w:val="0"/>
          <w:numId w:val="3"/>
        </w:numPr>
        <w:spacing w:before="0" w:after="0"/>
        <w:ind w:left="851"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антропогенное загрязнение в отдельных районах области незащищённых водоносных горизонтов нитратами;</w:t>
      </w:r>
    </w:p>
    <w:p w:rsidR="008B73E1" w:rsidRPr="0066263B" w:rsidRDefault="008B73E1" w:rsidP="008B73E1">
      <w:pPr>
        <w:numPr>
          <w:ilvl w:val="0"/>
          <w:numId w:val="3"/>
        </w:numPr>
        <w:spacing w:before="0" w:after="0"/>
        <w:ind w:left="851"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износ водопроводных сетей.</w:t>
      </w:r>
    </w:p>
    <w:p w:rsidR="003F7740" w:rsidRPr="0066263B" w:rsidRDefault="003F7740" w:rsidP="00324483">
      <w:pPr>
        <w:spacing w:before="0" w:after="0"/>
        <w:ind w:firstLine="709"/>
        <w:rPr>
          <w:rFonts w:ascii="Times New Roman" w:eastAsia="Times New Roman" w:hAnsi="Times New Roman" w:cs="Times New Roman"/>
          <w:sz w:val="24"/>
          <w:szCs w:val="24"/>
          <w:lang w:eastAsia="ru-RU"/>
        </w:rPr>
      </w:pPr>
    </w:p>
    <w:p w:rsidR="003F7740" w:rsidRPr="0066263B" w:rsidRDefault="003F7740"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t>Состояние водных объектов в местах водопользования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Контроль состояния поверхностных водоёмов осуществляется по двум направлениям:</w:t>
      </w:r>
    </w:p>
    <w:p w:rsidR="00324483" w:rsidRPr="0066263B" w:rsidRDefault="00324483" w:rsidP="00160BD2">
      <w:pPr>
        <w:numPr>
          <w:ilvl w:val="0"/>
          <w:numId w:val="26"/>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лабораторное исследование качества воды водных объектов в пунктах питьевого хозяйственно-бытового и рекреационного водопользования в рамках социально-гигиенического мониторинга и при рассмотрении жалоб и обращений;</w:t>
      </w:r>
    </w:p>
    <w:p w:rsidR="00324483" w:rsidRPr="0066263B" w:rsidRDefault="00324483" w:rsidP="00160BD2">
      <w:pPr>
        <w:numPr>
          <w:ilvl w:val="0"/>
          <w:numId w:val="26"/>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проведение проверок за деятельностью предприятий, имеющих выпуски сточных вод в поверхностные водоёмы.</w:t>
      </w:r>
    </w:p>
    <w:p w:rsidR="00B80DF9" w:rsidRDefault="00B80DF9"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Всего в течение 20</w:t>
      </w:r>
      <w:r w:rsidR="00156134" w:rsidRPr="0066263B">
        <w:rPr>
          <w:rFonts w:ascii="Times New Roman" w:eastAsia="Times New Roman" w:hAnsi="Times New Roman" w:cs="Times New Roman"/>
          <w:sz w:val="24"/>
          <w:szCs w:val="24"/>
          <w:lang w:eastAsia="ru-RU"/>
        </w:rPr>
        <w:t>2</w:t>
      </w:r>
      <w:r w:rsidR="00333BBF"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года из водоёмов 1 категории в рамках социально-гигиенического мониторинга отобрано и исследовано:</w:t>
      </w:r>
    </w:p>
    <w:p w:rsidR="00324483" w:rsidRPr="0066263B" w:rsidRDefault="00324483"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санитарно-химические исследования – </w:t>
      </w:r>
      <w:r w:rsidR="00001D25" w:rsidRPr="0066263B">
        <w:rPr>
          <w:rFonts w:ascii="Times New Roman" w:eastAsia="Times New Roman" w:hAnsi="Times New Roman" w:cs="Times New Roman"/>
          <w:sz w:val="24"/>
          <w:szCs w:val="24"/>
          <w:lang w:eastAsia="ru-RU"/>
        </w:rPr>
        <w:t>24</w:t>
      </w:r>
      <w:r w:rsidRPr="0066263B">
        <w:rPr>
          <w:rFonts w:ascii="Times New Roman" w:eastAsia="Times New Roman" w:hAnsi="Times New Roman" w:cs="Times New Roman"/>
          <w:sz w:val="24"/>
          <w:szCs w:val="24"/>
          <w:lang w:eastAsia="ru-RU"/>
        </w:rPr>
        <w:t xml:space="preserve"> проб</w:t>
      </w:r>
      <w:r w:rsidR="00001D25" w:rsidRPr="0066263B">
        <w:rPr>
          <w:rFonts w:ascii="Times New Roman" w:eastAsia="Times New Roman" w:hAnsi="Times New Roman" w:cs="Times New Roman"/>
          <w:sz w:val="24"/>
          <w:szCs w:val="24"/>
          <w:lang w:eastAsia="ru-RU"/>
        </w:rPr>
        <w:t>ы</w:t>
      </w:r>
      <w:r w:rsidRPr="0066263B">
        <w:rPr>
          <w:rFonts w:ascii="Times New Roman" w:eastAsia="Times New Roman" w:hAnsi="Times New Roman" w:cs="Times New Roman"/>
          <w:sz w:val="24"/>
          <w:szCs w:val="24"/>
          <w:lang w:eastAsia="ru-RU"/>
        </w:rPr>
        <w:t xml:space="preserve"> воды, из них </w:t>
      </w:r>
      <w:r w:rsidR="00001D25"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 xml:space="preserve"> проб не соответствовали санитарным требованиям, что составило 2</w:t>
      </w:r>
      <w:r w:rsidR="00156134" w:rsidRPr="0066263B">
        <w:rPr>
          <w:rFonts w:ascii="Times New Roman" w:eastAsia="Times New Roman" w:hAnsi="Times New Roman" w:cs="Times New Roman"/>
          <w:sz w:val="24"/>
          <w:szCs w:val="24"/>
          <w:lang w:eastAsia="ru-RU"/>
        </w:rPr>
        <w:t>0,</w:t>
      </w:r>
      <w:r w:rsidR="00001D25"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 (</w:t>
      </w:r>
      <w:r w:rsidR="00333BBF" w:rsidRPr="0066263B">
        <w:rPr>
          <w:rFonts w:ascii="Times New Roman" w:eastAsia="Times New Roman" w:hAnsi="Times New Roman" w:cs="Times New Roman"/>
          <w:sz w:val="24"/>
          <w:szCs w:val="24"/>
          <w:lang w:eastAsia="ru-RU"/>
        </w:rPr>
        <w:t xml:space="preserve">2020 – 20,0%; </w:t>
      </w:r>
      <w:r w:rsidR="00156134" w:rsidRPr="0066263B">
        <w:rPr>
          <w:rFonts w:ascii="Times New Roman" w:eastAsia="Times New Roman" w:hAnsi="Times New Roman" w:cs="Times New Roman"/>
          <w:sz w:val="24"/>
          <w:szCs w:val="24"/>
          <w:lang w:eastAsia="ru-RU"/>
        </w:rPr>
        <w:t xml:space="preserve">2019 – 27,2%; </w:t>
      </w:r>
      <w:r w:rsidRPr="0066263B">
        <w:rPr>
          <w:rFonts w:ascii="Times New Roman" w:eastAsia="Times New Roman" w:hAnsi="Times New Roman" w:cs="Times New Roman"/>
          <w:sz w:val="24"/>
          <w:szCs w:val="24"/>
          <w:lang w:eastAsia="ru-RU"/>
        </w:rPr>
        <w:t>2018 – 14,2%</w:t>
      </w:r>
      <w:r w:rsidR="00434ABE" w:rsidRPr="0066263B">
        <w:rPr>
          <w:rFonts w:ascii="Times New Roman" w:eastAsia="Times New Roman" w:hAnsi="Times New Roman" w:cs="Times New Roman"/>
          <w:sz w:val="24"/>
          <w:szCs w:val="24"/>
          <w:lang w:eastAsia="ru-RU"/>
        </w:rPr>
        <w:t>; РФ 2020 – 30,34%</w:t>
      </w:r>
      <w:r w:rsidRPr="0066263B">
        <w:rPr>
          <w:rFonts w:ascii="Times New Roman" w:eastAsia="Times New Roman" w:hAnsi="Times New Roman" w:cs="Times New Roman"/>
          <w:sz w:val="24"/>
          <w:szCs w:val="24"/>
          <w:lang w:eastAsia="ru-RU"/>
        </w:rPr>
        <w:t>);</w:t>
      </w:r>
    </w:p>
    <w:p w:rsidR="00324483" w:rsidRPr="0066263B" w:rsidRDefault="00324483"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микробиологические исследования – </w:t>
      </w:r>
      <w:r w:rsidR="00001D25" w:rsidRPr="0066263B">
        <w:rPr>
          <w:rFonts w:ascii="Times New Roman" w:eastAsia="Times New Roman" w:hAnsi="Times New Roman" w:cs="Times New Roman"/>
          <w:sz w:val="24"/>
          <w:szCs w:val="24"/>
          <w:lang w:eastAsia="ru-RU"/>
        </w:rPr>
        <w:t>43</w:t>
      </w:r>
      <w:r w:rsidRPr="0066263B">
        <w:rPr>
          <w:rFonts w:ascii="Times New Roman" w:eastAsia="Times New Roman" w:hAnsi="Times New Roman" w:cs="Times New Roman"/>
          <w:sz w:val="24"/>
          <w:szCs w:val="24"/>
          <w:lang w:eastAsia="ru-RU"/>
        </w:rPr>
        <w:t xml:space="preserve"> проб</w:t>
      </w:r>
      <w:r w:rsidR="00001D25" w:rsidRPr="0066263B">
        <w:rPr>
          <w:rFonts w:ascii="Times New Roman" w:eastAsia="Times New Roman" w:hAnsi="Times New Roman" w:cs="Times New Roman"/>
          <w:sz w:val="24"/>
          <w:szCs w:val="24"/>
          <w:lang w:eastAsia="ru-RU"/>
        </w:rPr>
        <w:t>ы</w:t>
      </w:r>
      <w:r w:rsidRPr="0066263B">
        <w:rPr>
          <w:rFonts w:ascii="Times New Roman" w:eastAsia="Times New Roman" w:hAnsi="Times New Roman" w:cs="Times New Roman"/>
          <w:sz w:val="24"/>
          <w:szCs w:val="24"/>
          <w:lang w:eastAsia="ru-RU"/>
        </w:rPr>
        <w:t xml:space="preserve"> воды, из них </w:t>
      </w:r>
      <w:r w:rsidR="00001D25"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 xml:space="preserve"> проб</w:t>
      </w:r>
      <w:r w:rsidR="00001D25" w:rsidRPr="0066263B">
        <w:rPr>
          <w:rFonts w:ascii="Times New Roman" w:eastAsia="Times New Roman" w:hAnsi="Times New Roman" w:cs="Times New Roman"/>
          <w:sz w:val="24"/>
          <w:szCs w:val="24"/>
          <w:lang w:eastAsia="ru-RU"/>
        </w:rPr>
        <w:t>ы</w:t>
      </w:r>
      <w:r w:rsidRPr="0066263B">
        <w:rPr>
          <w:rFonts w:ascii="Times New Roman" w:eastAsia="Times New Roman" w:hAnsi="Times New Roman" w:cs="Times New Roman"/>
          <w:sz w:val="24"/>
          <w:szCs w:val="24"/>
          <w:lang w:eastAsia="ru-RU"/>
        </w:rPr>
        <w:t xml:space="preserve"> не соответствовали санитарным требованиям, что составило </w:t>
      </w:r>
      <w:r w:rsidR="00001D25" w:rsidRPr="0066263B">
        <w:rPr>
          <w:rFonts w:ascii="Times New Roman" w:eastAsia="Times New Roman" w:hAnsi="Times New Roman" w:cs="Times New Roman"/>
          <w:sz w:val="24"/>
          <w:szCs w:val="24"/>
          <w:lang w:eastAsia="ru-RU"/>
        </w:rPr>
        <w:t>7</w:t>
      </w:r>
      <w:r w:rsidR="00156134" w:rsidRPr="0066263B">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 (</w:t>
      </w:r>
      <w:r w:rsidR="00333BBF" w:rsidRPr="0066263B">
        <w:rPr>
          <w:rFonts w:ascii="Times New Roman" w:eastAsia="Times New Roman" w:hAnsi="Times New Roman" w:cs="Times New Roman"/>
          <w:sz w:val="24"/>
          <w:szCs w:val="24"/>
          <w:lang w:eastAsia="ru-RU"/>
        </w:rPr>
        <w:t xml:space="preserve">2020 – 21,0%; </w:t>
      </w:r>
      <w:r w:rsidR="00156134" w:rsidRPr="0066263B">
        <w:rPr>
          <w:rFonts w:ascii="Times New Roman" w:eastAsia="Times New Roman" w:hAnsi="Times New Roman" w:cs="Times New Roman"/>
          <w:sz w:val="24"/>
          <w:szCs w:val="24"/>
          <w:lang w:eastAsia="ru-RU"/>
        </w:rPr>
        <w:t xml:space="preserve">2019 – 28,9%; </w:t>
      </w:r>
      <w:r w:rsidRPr="0066263B">
        <w:rPr>
          <w:rFonts w:ascii="Times New Roman" w:eastAsia="Times New Roman" w:hAnsi="Times New Roman" w:cs="Times New Roman"/>
          <w:sz w:val="24"/>
          <w:szCs w:val="24"/>
          <w:lang w:eastAsia="ru-RU"/>
        </w:rPr>
        <w:t>2018 – 23,9%</w:t>
      </w:r>
      <w:r w:rsidR="00434ABE" w:rsidRPr="0066263B">
        <w:rPr>
          <w:rFonts w:ascii="Times New Roman" w:eastAsia="Times New Roman" w:hAnsi="Times New Roman" w:cs="Times New Roman"/>
          <w:sz w:val="24"/>
          <w:szCs w:val="24"/>
          <w:lang w:eastAsia="ru-RU"/>
        </w:rPr>
        <w:t>; РФ 2020 – 16,05%</w:t>
      </w:r>
      <w:r w:rsidRPr="0066263B">
        <w:rPr>
          <w:rFonts w:ascii="Times New Roman" w:eastAsia="Times New Roman" w:hAnsi="Times New Roman" w:cs="Times New Roman"/>
          <w:sz w:val="24"/>
          <w:szCs w:val="24"/>
          <w:lang w:eastAsia="ru-RU"/>
        </w:rPr>
        <w:t>);</w:t>
      </w:r>
    </w:p>
    <w:p w:rsidR="00324483" w:rsidRPr="0066263B" w:rsidRDefault="00324483"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паразитологические исследования – 2</w:t>
      </w:r>
      <w:r w:rsidR="00156134"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 xml:space="preserve"> проб воды, все пробы соответствовали санитарным требованиям (</w:t>
      </w:r>
      <w:r w:rsidR="00156134" w:rsidRPr="0066263B">
        <w:rPr>
          <w:rFonts w:ascii="Times New Roman" w:eastAsia="Times New Roman" w:hAnsi="Times New Roman" w:cs="Times New Roman"/>
          <w:sz w:val="24"/>
          <w:szCs w:val="24"/>
          <w:lang w:eastAsia="ru-RU"/>
        </w:rPr>
        <w:t>201</w:t>
      </w:r>
      <w:r w:rsidR="00001D25" w:rsidRPr="0066263B">
        <w:rPr>
          <w:rFonts w:ascii="Times New Roman" w:eastAsia="Times New Roman" w:hAnsi="Times New Roman" w:cs="Times New Roman"/>
          <w:sz w:val="24"/>
          <w:szCs w:val="24"/>
          <w:lang w:eastAsia="ru-RU"/>
        </w:rPr>
        <w:t>8</w:t>
      </w:r>
      <w:r w:rsidR="00156134" w:rsidRPr="0066263B">
        <w:rPr>
          <w:rFonts w:ascii="Times New Roman" w:eastAsia="Times New Roman" w:hAnsi="Times New Roman" w:cs="Times New Roman"/>
          <w:sz w:val="24"/>
          <w:szCs w:val="24"/>
          <w:lang w:eastAsia="ru-RU"/>
        </w:rPr>
        <w:t>-20</w:t>
      </w:r>
      <w:r w:rsidR="00001D25" w:rsidRPr="0066263B">
        <w:rPr>
          <w:rFonts w:ascii="Times New Roman" w:eastAsia="Times New Roman" w:hAnsi="Times New Roman" w:cs="Times New Roman"/>
          <w:sz w:val="24"/>
          <w:szCs w:val="24"/>
          <w:lang w:eastAsia="ru-RU"/>
        </w:rPr>
        <w:t>20</w:t>
      </w:r>
      <w:r w:rsidR="00156134" w:rsidRPr="0066263B">
        <w:rPr>
          <w:rFonts w:ascii="Times New Roman" w:eastAsia="Times New Roman" w:hAnsi="Times New Roman" w:cs="Times New Roman"/>
          <w:sz w:val="24"/>
          <w:szCs w:val="24"/>
          <w:lang w:eastAsia="ru-RU"/>
        </w:rPr>
        <w:t> г.г.</w:t>
      </w:r>
      <w:r w:rsidRPr="0066263B">
        <w:rPr>
          <w:rFonts w:ascii="Times New Roman" w:eastAsia="Times New Roman" w:hAnsi="Times New Roman" w:cs="Times New Roman"/>
          <w:sz w:val="24"/>
          <w:szCs w:val="24"/>
          <w:lang w:eastAsia="ru-RU"/>
        </w:rPr>
        <w:t xml:space="preserve"> – все пробы соответствовали</w:t>
      </w:r>
      <w:r w:rsidR="00434ABE" w:rsidRPr="0066263B">
        <w:rPr>
          <w:rFonts w:ascii="Times New Roman" w:eastAsia="Times New Roman" w:hAnsi="Times New Roman" w:cs="Times New Roman"/>
          <w:sz w:val="24"/>
          <w:szCs w:val="24"/>
          <w:lang w:eastAsia="ru-RU"/>
        </w:rPr>
        <w:t>; РФ 2020 – 0,53%</w:t>
      </w:r>
      <w:r w:rsidRPr="0066263B">
        <w:rPr>
          <w:rFonts w:ascii="Times New Roman" w:eastAsia="Times New Roman" w:hAnsi="Times New Roman" w:cs="Times New Roman"/>
          <w:sz w:val="24"/>
          <w:szCs w:val="24"/>
          <w:lang w:eastAsia="ru-RU"/>
        </w:rPr>
        <w:t>) (рис. 2</w:t>
      </w:r>
      <w:r w:rsidR="00921A39" w:rsidRPr="0066263B">
        <w:rPr>
          <w:rFonts w:ascii="Times New Roman" w:eastAsia="Times New Roman" w:hAnsi="Times New Roman" w:cs="Times New Roman"/>
          <w:sz w:val="24"/>
          <w:szCs w:val="24"/>
          <w:lang w:eastAsia="ru-RU"/>
        </w:rPr>
        <w:t>7</w:t>
      </w:r>
      <w:r w:rsidRPr="0066263B">
        <w:rPr>
          <w:rFonts w:ascii="Times New Roman" w:eastAsia="Times New Roman" w:hAnsi="Times New Roman" w:cs="Times New Roman"/>
          <w:sz w:val="24"/>
          <w:szCs w:val="24"/>
          <w:lang w:eastAsia="ru-RU"/>
        </w:rPr>
        <w:t>).</w:t>
      </w:r>
    </w:p>
    <w:p w:rsidR="00156134" w:rsidRPr="0066263B" w:rsidRDefault="00156134" w:rsidP="00324483">
      <w:pPr>
        <w:spacing w:before="0" w:after="0"/>
        <w:ind w:firstLine="709"/>
        <w:rPr>
          <w:rFonts w:ascii="Times New Roman" w:eastAsia="Times New Roman" w:hAnsi="Times New Roman" w:cs="Times New Roman"/>
          <w:sz w:val="24"/>
          <w:szCs w:val="24"/>
          <w:lang w:eastAsia="ru-RU"/>
        </w:rPr>
      </w:pPr>
    </w:p>
    <w:p w:rsidR="00222578" w:rsidRPr="0066263B" w:rsidRDefault="00222578">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667554" cy="2915728"/>
            <wp:effectExtent l="0" t="0" r="0" b="0"/>
            <wp:docPr id="149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24483" w:rsidRPr="0066263B" w:rsidRDefault="00324483"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27</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Доля проб воды из водоёмов 1 категории, не отвечающих</w:t>
      </w:r>
      <w:r w:rsidRPr="0066263B">
        <w:rPr>
          <w:rFonts w:ascii="Times New Roman" w:eastAsia="Times New Roman" w:hAnsi="Times New Roman" w:cs="Times New Roman"/>
          <w:lang w:eastAsia="ru-RU"/>
        </w:rPr>
        <w:br/>
        <w:t>гигиеническим нормативам, %</w:t>
      </w:r>
    </w:p>
    <w:p w:rsidR="00001D25" w:rsidRPr="0066263B" w:rsidRDefault="00001D25" w:rsidP="00324483">
      <w:pPr>
        <w:spacing w:before="0" w:after="0"/>
        <w:ind w:firstLine="709"/>
        <w:rPr>
          <w:rFonts w:ascii="Times New Roman" w:eastAsia="Times New Roman" w:hAnsi="Times New Roman" w:cs="Times New Roman"/>
          <w:sz w:val="24"/>
          <w:szCs w:val="24"/>
          <w:lang w:eastAsia="ru-RU"/>
        </w:rPr>
      </w:pPr>
    </w:p>
    <w:p w:rsidR="00001D25" w:rsidRPr="0066263B" w:rsidRDefault="00001D25" w:rsidP="00001D2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доля проб воды из водоёмов 1-й категории, не соответствующих санитарным требованиям по санитарно-химическим показателям, </w:t>
      </w:r>
      <w:proofErr w:type="gramStart"/>
      <w:r w:rsidRPr="0066263B">
        <w:rPr>
          <w:rFonts w:ascii="Times New Roman" w:eastAsia="Times New Roman" w:hAnsi="Times New Roman" w:cs="Times New Roman"/>
          <w:sz w:val="24"/>
          <w:szCs w:val="24"/>
          <w:lang w:eastAsia="ru-RU"/>
        </w:rPr>
        <w:t xml:space="preserve">осталась </w:t>
      </w:r>
      <w:r w:rsidR="004C0E12" w:rsidRPr="0066263B">
        <w:rPr>
          <w:rFonts w:ascii="Times New Roman" w:eastAsia="Times New Roman" w:hAnsi="Times New Roman" w:cs="Times New Roman"/>
          <w:sz w:val="24"/>
          <w:szCs w:val="24"/>
          <w:lang w:eastAsia="ru-RU"/>
        </w:rPr>
        <w:t>практически неизменна</w:t>
      </w:r>
      <w:proofErr w:type="gramEnd"/>
      <w:r w:rsidR="004C0E12" w:rsidRPr="0066263B">
        <w:rPr>
          <w:rFonts w:ascii="Times New Roman" w:eastAsia="Times New Roman" w:hAnsi="Times New Roman" w:cs="Times New Roman"/>
          <w:sz w:val="24"/>
          <w:szCs w:val="24"/>
          <w:lang w:eastAsia="ru-RU"/>
        </w:rPr>
        <w:t xml:space="preserve"> по сравнению с 2020 годом</w:t>
      </w:r>
      <w:r w:rsidRPr="0066263B">
        <w:rPr>
          <w:rFonts w:ascii="Times New Roman" w:eastAsia="Times New Roman" w:hAnsi="Times New Roman" w:cs="Times New Roman"/>
          <w:sz w:val="24"/>
          <w:szCs w:val="24"/>
          <w:lang w:eastAsia="ru-RU"/>
        </w:rPr>
        <w:t>. В то же время наблюдается значительное уменьшение несоответствующих проб по микробиологическим показателям. Также прослеживается стойкая тенденция, характеризующаяся отсутствием аналогичных проб воды, не соответствующих санитарным требованиям по паразитологическим показателям.</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ходе проведённого анализа результатов исследований </w:t>
      </w:r>
      <w:r w:rsidR="00221333" w:rsidRPr="0066263B">
        <w:rPr>
          <w:rFonts w:ascii="Times New Roman" w:eastAsia="Times New Roman" w:hAnsi="Times New Roman" w:cs="Times New Roman"/>
          <w:sz w:val="24"/>
          <w:szCs w:val="24"/>
          <w:lang w:eastAsia="ru-RU"/>
        </w:rPr>
        <w:t>за 202</w:t>
      </w:r>
      <w:r w:rsidR="004C0E12" w:rsidRPr="0066263B">
        <w:rPr>
          <w:rFonts w:ascii="Times New Roman" w:eastAsia="Times New Roman" w:hAnsi="Times New Roman" w:cs="Times New Roman"/>
          <w:sz w:val="24"/>
          <w:szCs w:val="24"/>
          <w:lang w:eastAsia="ru-RU"/>
        </w:rPr>
        <w:t>1</w:t>
      </w:r>
      <w:r w:rsidR="00221333" w:rsidRPr="0066263B">
        <w:rPr>
          <w:rFonts w:ascii="Times New Roman" w:eastAsia="Times New Roman" w:hAnsi="Times New Roman" w:cs="Times New Roman"/>
          <w:sz w:val="24"/>
          <w:szCs w:val="24"/>
          <w:lang w:eastAsia="ru-RU"/>
        </w:rPr>
        <w:t xml:space="preserve"> год </w:t>
      </w:r>
      <w:r w:rsidRPr="0066263B">
        <w:rPr>
          <w:rFonts w:ascii="Times New Roman" w:eastAsia="Times New Roman" w:hAnsi="Times New Roman" w:cs="Times New Roman"/>
          <w:sz w:val="24"/>
          <w:szCs w:val="24"/>
          <w:lang w:eastAsia="ru-RU"/>
        </w:rPr>
        <w:t xml:space="preserve">по административным территориям Брянской области установлено, что пробы воды из водоёмов 1 категории, не соответствующие санитарным требованиям по санитарно-химическим показателям, отобраны на территории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Брянска.</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территориях </w:t>
      </w:r>
      <w:r w:rsidR="004C0E12" w:rsidRPr="0066263B">
        <w:rPr>
          <w:rFonts w:ascii="Times New Roman" w:eastAsia="Times New Roman" w:hAnsi="Times New Roman" w:cs="Times New Roman"/>
          <w:sz w:val="24"/>
          <w:szCs w:val="24"/>
          <w:lang w:eastAsia="ru-RU"/>
        </w:rPr>
        <w:t>Дубровского</w:t>
      </w:r>
      <w:r w:rsidRPr="0066263B">
        <w:rPr>
          <w:rFonts w:ascii="Times New Roman" w:eastAsia="Times New Roman" w:hAnsi="Times New Roman" w:cs="Times New Roman"/>
          <w:sz w:val="24"/>
          <w:szCs w:val="24"/>
          <w:lang w:eastAsia="ru-RU"/>
        </w:rPr>
        <w:t xml:space="preserve"> и Рогнединского районов отмечается наибольшая доля проб воды, не соответствующих санитарным требованиям по микробиологическим показателям, и превышающая среднеобластной показатель (</w:t>
      </w:r>
      <w:r w:rsidR="004C0E12" w:rsidRPr="0066263B">
        <w:rPr>
          <w:rFonts w:ascii="Times New Roman" w:eastAsia="Times New Roman" w:hAnsi="Times New Roman" w:cs="Times New Roman"/>
          <w:sz w:val="24"/>
          <w:szCs w:val="24"/>
          <w:lang w:eastAsia="ru-RU"/>
        </w:rPr>
        <w:t>7</w:t>
      </w:r>
      <w:r w:rsidR="00221333" w:rsidRPr="0066263B">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 водоёмов 2 категории в 20</w:t>
      </w:r>
      <w:r w:rsidR="00221333" w:rsidRPr="0066263B">
        <w:rPr>
          <w:rFonts w:ascii="Times New Roman" w:eastAsia="Times New Roman" w:hAnsi="Times New Roman" w:cs="Times New Roman"/>
          <w:sz w:val="24"/>
          <w:szCs w:val="24"/>
          <w:lang w:eastAsia="ru-RU"/>
        </w:rPr>
        <w:t>2</w:t>
      </w:r>
      <w:r w:rsidR="004C0E12"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отобрано и исследовано:</w:t>
      </w:r>
    </w:p>
    <w:p w:rsidR="00324483" w:rsidRPr="0066263B" w:rsidRDefault="004C0E12" w:rsidP="00160BD2">
      <w:pPr>
        <w:numPr>
          <w:ilvl w:val="0"/>
          <w:numId w:val="29"/>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389</w:t>
      </w:r>
      <w:r w:rsidR="00324483" w:rsidRPr="0066263B">
        <w:rPr>
          <w:rFonts w:ascii="Times New Roman" w:eastAsia="Times New Roman" w:hAnsi="Times New Roman" w:cs="Times New Roman"/>
          <w:sz w:val="24"/>
          <w:szCs w:val="24"/>
          <w:lang w:eastAsia="ru-RU"/>
        </w:rPr>
        <w:t xml:space="preserve"> проб воды на санитарно-химические показатели, из них </w:t>
      </w:r>
      <w:r w:rsidR="00221333"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01</w:t>
      </w:r>
      <w:r w:rsidR="00324483" w:rsidRPr="0066263B">
        <w:rPr>
          <w:rFonts w:ascii="Times New Roman" w:eastAsia="Times New Roman" w:hAnsi="Times New Roman" w:cs="Times New Roman"/>
          <w:sz w:val="24"/>
          <w:szCs w:val="24"/>
          <w:lang w:eastAsia="ru-RU"/>
        </w:rPr>
        <w:t xml:space="preserve"> проб</w:t>
      </w:r>
      <w:r w:rsidRPr="0066263B">
        <w:rPr>
          <w:rFonts w:ascii="Times New Roman" w:eastAsia="Times New Roman" w:hAnsi="Times New Roman" w:cs="Times New Roman"/>
          <w:sz w:val="24"/>
          <w:szCs w:val="24"/>
          <w:lang w:eastAsia="ru-RU"/>
        </w:rPr>
        <w:t>а</w:t>
      </w:r>
      <w:r w:rsidR="00324483" w:rsidRPr="0066263B">
        <w:rPr>
          <w:rFonts w:ascii="Times New Roman" w:eastAsia="Times New Roman" w:hAnsi="Times New Roman" w:cs="Times New Roman"/>
          <w:sz w:val="24"/>
          <w:szCs w:val="24"/>
          <w:lang w:eastAsia="ru-RU"/>
        </w:rPr>
        <w:t xml:space="preserve"> не соответствовал</w:t>
      </w:r>
      <w:r w:rsidRPr="0066263B">
        <w:rPr>
          <w:rFonts w:ascii="Times New Roman" w:eastAsia="Times New Roman" w:hAnsi="Times New Roman" w:cs="Times New Roman"/>
          <w:sz w:val="24"/>
          <w:szCs w:val="24"/>
          <w:lang w:eastAsia="ru-RU"/>
        </w:rPr>
        <w:t>а</w:t>
      </w:r>
      <w:r w:rsidR="00324483" w:rsidRPr="0066263B">
        <w:rPr>
          <w:rFonts w:ascii="Times New Roman" w:eastAsia="Times New Roman" w:hAnsi="Times New Roman" w:cs="Times New Roman"/>
          <w:sz w:val="24"/>
          <w:szCs w:val="24"/>
          <w:lang w:eastAsia="ru-RU"/>
        </w:rPr>
        <w:t xml:space="preserve"> санитарным требованиям, что составило </w:t>
      </w:r>
      <w:r w:rsidR="00221333"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6,0</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23,4%; </w:t>
      </w:r>
      <w:r w:rsidR="00221333" w:rsidRPr="0066263B">
        <w:rPr>
          <w:rFonts w:ascii="Times New Roman" w:eastAsia="Times New Roman" w:hAnsi="Times New Roman" w:cs="Times New Roman"/>
          <w:sz w:val="24"/>
          <w:szCs w:val="24"/>
          <w:lang w:eastAsia="ru-RU"/>
        </w:rPr>
        <w:t xml:space="preserve">2019 – 15,2%; </w:t>
      </w:r>
      <w:r w:rsidR="00324483" w:rsidRPr="0066263B">
        <w:rPr>
          <w:rFonts w:ascii="Times New Roman" w:eastAsia="Times New Roman" w:hAnsi="Times New Roman" w:cs="Times New Roman"/>
          <w:sz w:val="24"/>
          <w:szCs w:val="24"/>
          <w:lang w:eastAsia="ru-RU"/>
        </w:rPr>
        <w:t>2018 – 50,6%</w:t>
      </w:r>
      <w:r w:rsidR="00434ABE" w:rsidRPr="0066263B">
        <w:rPr>
          <w:rFonts w:ascii="Times New Roman" w:eastAsia="Times New Roman" w:hAnsi="Times New Roman" w:cs="Times New Roman"/>
          <w:sz w:val="24"/>
          <w:szCs w:val="24"/>
          <w:lang w:eastAsia="ru-RU"/>
        </w:rPr>
        <w:t>; РФ 2020 – 18,31%</w:t>
      </w:r>
      <w:r w:rsidR="00324483" w:rsidRPr="0066263B">
        <w:rPr>
          <w:rFonts w:ascii="Times New Roman" w:eastAsia="Times New Roman" w:hAnsi="Times New Roman" w:cs="Times New Roman"/>
          <w:sz w:val="24"/>
          <w:szCs w:val="24"/>
          <w:lang w:eastAsia="ru-RU"/>
        </w:rPr>
        <w:t>);</w:t>
      </w:r>
    </w:p>
    <w:p w:rsidR="00324483" w:rsidRPr="0066263B" w:rsidRDefault="004C0E12" w:rsidP="00160BD2">
      <w:pPr>
        <w:numPr>
          <w:ilvl w:val="0"/>
          <w:numId w:val="29"/>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685</w:t>
      </w:r>
      <w:r w:rsidR="00324483" w:rsidRPr="0066263B">
        <w:rPr>
          <w:rFonts w:ascii="Times New Roman" w:eastAsia="Times New Roman" w:hAnsi="Times New Roman" w:cs="Times New Roman"/>
          <w:sz w:val="24"/>
          <w:szCs w:val="24"/>
          <w:lang w:eastAsia="ru-RU"/>
        </w:rPr>
        <w:t xml:space="preserve"> проб воды на микробиологические показатели, из них </w:t>
      </w:r>
      <w:r w:rsidRPr="0066263B">
        <w:rPr>
          <w:rFonts w:ascii="Times New Roman" w:eastAsia="Times New Roman" w:hAnsi="Times New Roman" w:cs="Times New Roman"/>
          <w:sz w:val="24"/>
          <w:szCs w:val="24"/>
          <w:lang w:eastAsia="ru-RU"/>
        </w:rPr>
        <w:t>222</w:t>
      </w:r>
      <w:r w:rsidR="00324483" w:rsidRPr="0066263B">
        <w:rPr>
          <w:rFonts w:ascii="Times New Roman" w:eastAsia="Times New Roman" w:hAnsi="Times New Roman" w:cs="Times New Roman"/>
          <w:sz w:val="24"/>
          <w:szCs w:val="24"/>
          <w:lang w:eastAsia="ru-RU"/>
        </w:rPr>
        <w:t xml:space="preserve"> проб</w:t>
      </w:r>
      <w:r w:rsidR="00221333" w:rsidRPr="0066263B">
        <w:rPr>
          <w:rFonts w:ascii="Times New Roman" w:eastAsia="Times New Roman" w:hAnsi="Times New Roman" w:cs="Times New Roman"/>
          <w:sz w:val="24"/>
          <w:szCs w:val="24"/>
          <w:lang w:eastAsia="ru-RU"/>
        </w:rPr>
        <w:t>ы</w:t>
      </w:r>
      <w:r w:rsidR="00324483" w:rsidRPr="0066263B">
        <w:rPr>
          <w:rFonts w:ascii="Times New Roman" w:eastAsia="Times New Roman" w:hAnsi="Times New Roman" w:cs="Times New Roman"/>
          <w:sz w:val="24"/>
          <w:szCs w:val="24"/>
          <w:lang w:eastAsia="ru-RU"/>
        </w:rPr>
        <w:t xml:space="preserve"> не соответствовали санитарным требованиям, что составило </w:t>
      </w:r>
      <w:r w:rsidRPr="0066263B">
        <w:rPr>
          <w:rFonts w:ascii="Times New Roman" w:eastAsia="Times New Roman" w:hAnsi="Times New Roman" w:cs="Times New Roman"/>
          <w:sz w:val="24"/>
          <w:szCs w:val="24"/>
          <w:lang w:eastAsia="ru-RU"/>
        </w:rPr>
        <w:t>32,4</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18,0%; </w:t>
      </w:r>
      <w:r w:rsidR="00221333" w:rsidRPr="0066263B">
        <w:rPr>
          <w:rFonts w:ascii="Times New Roman" w:eastAsia="Times New Roman" w:hAnsi="Times New Roman" w:cs="Times New Roman"/>
          <w:sz w:val="24"/>
          <w:szCs w:val="24"/>
          <w:lang w:eastAsia="ru-RU"/>
        </w:rPr>
        <w:t xml:space="preserve">2019 – 21,5%; </w:t>
      </w:r>
      <w:r w:rsidR="00324483" w:rsidRPr="0066263B">
        <w:rPr>
          <w:rFonts w:ascii="Times New Roman" w:eastAsia="Times New Roman" w:hAnsi="Times New Roman" w:cs="Times New Roman"/>
          <w:sz w:val="24"/>
          <w:szCs w:val="24"/>
          <w:lang w:eastAsia="ru-RU"/>
        </w:rPr>
        <w:t>2018 – 20,1%</w:t>
      </w:r>
      <w:r w:rsidR="00434ABE" w:rsidRPr="0066263B">
        <w:rPr>
          <w:rFonts w:ascii="Times New Roman" w:eastAsia="Times New Roman" w:hAnsi="Times New Roman" w:cs="Times New Roman"/>
          <w:sz w:val="24"/>
          <w:szCs w:val="24"/>
          <w:lang w:eastAsia="ru-RU"/>
        </w:rPr>
        <w:t>; РФ 2020 – 20,17%</w:t>
      </w:r>
      <w:r w:rsidR="00324483" w:rsidRPr="0066263B">
        <w:rPr>
          <w:rFonts w:ascii="Times New Roman" w:eastAsia="Times New Roman" w:hAnsi="Times New Roman" w:cs="Times New Roman"/>
          <w:sz w:val="24"/>
          <w:szCs w:val="24"/>
          <w:lang w:eastAsia="ru-RU"/>
        </w:rPr>
        <w:t>);</w:t>
      </w:r>
    </w:p>
    <w:p w:rsidR="00324483" w:rsidRPr="0066263B" w:rsidRDefault="004C0E12" w:rsidP="00160BD2">
      <w:pPr>
        <w:numPr>
          <w:ilvl w:val="0"/>
          <w:numId w:val="29"/>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356</w:t>
      </w:r>
      <w:r w:rsidR="00324483" w:rsidRPr="0066263B">
        <w:rPr>
          <w:rFonts w:ascii="Times New Roman" w:eastAsia="Times New Roman" w:hAnsi="Times New Roman" w:cs="Times New Roman"/>
          <w:sz w:val="24"/>
          <w:szCs w:val="24"/>
          <w:lang w:eastAsia="ru-RU"/>
        </w:rPr>
        <w:t xml:space="preserve"> проб воды на паразитологические показатели, из них </w:t>
      </w:r>
      <w:r w:rsidRPr="0066263B">
        <w:rPr>
          <w:rFonts w:ascii="Times New Roman" w:eastAsia="Times New Roman" w:hAnsi="Times New Roman" w:cs="Times New Roman"/>
          <w:sz w:val="24"/>
          <w:szCs w:val="24"/>
          <w:lang w:eastAsia="ru-RU"/>
        </w:rPr>
        <w:t>4</w:t>
      </w:r>
      <w:r w:rsidR="00324483" w:rsidRPr="0066263B">
        <w:rPr>
          <w:rFonts w:ascii="Times New Roman" w:eastAsia="Times New Roman" w:hAnsi="Times New Roman" w:cs="Times New Roman"/>
          <w:sz w:val="24"/>
          <w:szCs w:val="24"/>
          <w:lang w:eastAsia="ru-RU"/>
        </w:rPr>
        <w:t xml:space="preserve"> проб</w:t>
      </w:r>
      <w:r w:rsidRPr="0066263B">
        <w:rPr>
          <w:rFonts w:ascii="Times New Roman" w:eastAsia="Times New Roman" w:hAnsi="Times New Roman" w:cs="Times New Roman"/>
          <w:sz w:val="24"/>
          <w:szCs w:val="24"/>
          <w:lang w:eastAsia="ru-RU"/>
        </w:rPr>
        <w:t>ы</w:t>
      </w:r>
      <w:r w:rsidR="00324483" w:rsidRPr="0066263B">
        <w:rPr>
          <w:rFonts w:ascii="Times New Roman" w:eastAsia="Times New Roman" w:hAnsi="Times New Roman" w:cs="Times New Roman"/>
          <w:sz w:val="24"/>
          <w:szCs w:val="24"/>
          <w:lang w:eastAsia="ru-RU"/>
        </w:rPr>
        <w:t xml:space="preserve"> не соответствовали санитарным требованиям, что составило 1,</w:t>
      </w:r>
      <w:r w:rsidRPr="0066263B">
        <w:rPr>
          <w:rFonts w:ascii="Times New Roman" w:eastAsia="Times New Roman" w:hAnsi="Times New Roman" w:cs="Times New Roman"/>
          <w:sz w:val="24"/>
          <w:szCs w:val="24"/>
          <w:lang w:eastAsia="ru-RU"/>
        </w:rPr>
        <w:t>1</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1,0%; </w:t>
      </w:r>
      <w:r w:rsidR="001119C1" w:rsidRPr="0066263B">
        <w:rPr>
          <w:rFonts w:ascii="Times New Roman" w:eastAsia="Times New Roman" w:hAnsi="Times New Roman" w:cs="Times New Roman"/>
          <w:sz w:val="24"/>
          <w:szCs w:val="24"/>
          <w:lang w:eastAsia="ru-RU"/>
        </w:rPr>
        <w:t xml:space="preserve">2019 – 1,4%; </w:t>
      </w:r>
      <w:r w:rsidR="00324483" w:rsidRPr="0066263B">
        <w:rPr>
          <w:rFonts w:ascii="Times New Roman" w:eastAsia="Times New Roman" w:hAnsi="Times New Roman" w:cs="Times New Roman"/>
          <w:sz w:val="24"/>
          <w:szCs w:val="24"/>
          <w:lang w:eastAsia="ru-RU"/>
        </w:rPr>
        <w:t>2018 – 2,9%</w:t>
      </w:r>
      <w:r w:rsidR="00434ABE" w:rsidRPr="0066263B">
        <w:rPr>
          <w:rFonts w:ascii="Times New Roman" w:eastAsia="Times New Roman" w:hAnsi="Times New Roman" w:cs="Times New Roman"/>
          <w:sz w:val="24"/>
          <w:szCs w:val="24"/>
          <w:lang w:eastAsia="ru-RU"/>
        </w:rPr>
        <w:t>; РФ 2020 – 0,88%</w:t>
      </w:r>
      <w:r w:rsidR="00324483" w:rsidRPr="0066263B">
        <w:rPr>
          <w:rFonts w:ascii="Times New Roman" w:eastAsia="Times New Roman" w:hAnsi="Times New Roman" w:cs="Times New Roman"/>
          <w:sz w:val="24"/>
          <w:szCs w:val="24"/>
          <w:lang w:eastAsia="ru-RU"/>
        </w:rPr>
        <w:t>) (табл. 2</w:t>
      </w:r>
      <w:r w:rsidR="00222578" w:rsidRPr="0066263B">
        <w:rPr>
          <w:rFonts w:ascii="Times New Roman" w:eastAsia="Times New Roman" w:hAnsi="Times New Roman" w:cs="Times New Roman"/>
          <w:sz w:val="24"/>
          <w:szCs w:val="24"/>
          <w:lang w:eastAsia="ru-RU"/>
        </w:rPr>
        <w:t>2</w:t>
      </w:r>
      <w:r w:rsidR="00324483"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воды из водоёмов 2 категории, не отвечающих гигиеническим нормативам, %</w:t>
      </w:r>
    </w:p>
    <w:p w:rsidR="00324483" w:rsidRPr="0066263B" w:rsidRDefault="00324483" w:rsidP="00324483">
      <w:pPr>
        <w:spacing w:before="0" w:after="0"/>
        <w:jc w:val="center"/>
        <w:rPr>
          <w:rFonts w:ascii="Times New Roman" w:eastAsia="TimesNewRomanPS-BoldMT" w:hAnsi="Times New Roman" w:cs="Times New Roman"/>
          <w:b/>
          <w:bCs/>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2"/>
        <w:gridCol w:w="1085"/>
        <w:gridCol w:w="1085"/>
        <w:gridCol w:w="1085"/>
        <w:gridCol w:w="2692"/>
      </w:tblGrid>
      <w:tr w:rsidR="004C0E12" w:rsidRPr="0066263B" w:rsidTr="004C0E12">
        <w:trPr>
          <w:trHeight w:val="279"/>
        </w:trPr>
        <w:tc>
          <w:tcPr>
            <w:tcW w:w="1721" w:type="pct"/>
            <w:vAlign w:val="center"/>
          </w:tcPr>
          <w:p w:rsidR="004C0E12" w:rsidRPr="0066263B" w:rsidRDefault="004C0E12" w:rsidP="00324483">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Исследуемые показатели</w:t>
            </w:r>
          </w:p>
        </w:tc>
        <w:tc>
          <w:tcPr>
            <w:tcW w:w="598" w:type="pct"/>
            <w:vAlign w:val="center"/>
          </w:tcPr>
          <w:p w:rsidR="004C0E12" w:rsidRPr="0066263B" w:rsidRDefault="004C0E12" w:rsidP="004C0E12">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2019</w:t>
            </w:r>
          </w:p>
        </w:tc>
        <w:tc>
          <w:tcPr>
            <w:tcW w:w="598" w:type="pct"/>
            <w:vAlign w:val="center"/>
          </w:tcPr>
          <w:p w:rsidR="004C0E12" w:rsidRPr="0066263B" w:rsidRDefault="004C0E12" w:rsidP="004C0E12">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2020</w:t>
            </w:r>
          </w:p>
        </w:tc>
        <w:tc>
          <w:tcPr>
            <w:tcW w:w="598" w:type="pct"/>
            <w:vAlign w:val="center"/>
          </w:tcPr>
          <w:p w:rsidR="004C0E12" w:rsidRPr="0066263B" w:rsidRDefault="004C0E12" w:rsidP="001119C1">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2021</w:t>
            </w:r>
          </w:p>
        </w:tc>
        <w:tc>
          <w:tcPr>
            <w:tcW w:w="1484" w:type="pct"/>
          </w:tcPr>
          <w:p w:rsidR="004C0E12" w:rsidRPr="0066263B" w:rsidRDefault="004C0E12" w:rsidP="004C0E12">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Темп прироста к 2019</w:t>
            </w:r>
            <w:r w:rsidRPr="0066263B">
              <w:rPr>
                <w:rFonts w:ascii="Times New Roman" w:eastAsia="Times New Roman" w:hAnsi="Times New Roman" w:cs="Times New Roman"/>
                <w:b/>
                <w:i/>
                <w:lang w:eastAsia="ru-RU"/>
              </w:rPr>
              <w:t>, %</w:t>
            </w:r>
          </w:p>
        </w:tc>
      </w:tr>
      <w:tr w:rsidR="003F7740" w:rsidRPr="0066263B" w:rsidTr="004C0E12">
        <w:tc>
          <w:tcPr>
            <w:tcW w:w="1721" w:type="pct"/>
            <w:vAlign w:val="center"/>
          </w:tcPr>
          <w:p w:rsidR="003F7740" w:rsidRPr="0066263B" w:rsidRDefault="003F7740"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Санитарно-химические</w:t>
            </w:r>
          </w:p>
        </w:tc>
        <w:tc>
          <w:tcPr>
            <w:tcW w:w="598" w:type="pct"/>
            <w:vAlign w:val="center"/>
          </w:tcPr>
          <w:p w:rsidR="003F7740" w:rsidRPr="0066263B" w:rsidRDefault="003F7740" w:rsidP="004C0E1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15,2</w:t>
            </w:r>
          </w:p>
        </w:tc>
        <w:tc>
          <w:tcPr>
            <w:tcW w:w="598" w:type="pct"/>
            <w:vAlign w:val="center"/>
          </w:tcPr>
          <w:p w:rsidR="003F7740" w:rsidRPr="0066263B" w:rsidRDefault="003F7740" w:rsidP="004C0E1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23,4</w:t>
            </w:r>
          </w:p>
        </w:tc>
        <w:tc>
          <w:tcPr>
            <w:tcW w:w="598" w:type="pct"/>
            <w:vAlign w:val="center"/>
          </w:tcPr>
          <w:p w:rsidR="003F7740" w:rsidRPr="0066263B" w:rsidRDefault="003F7740" w:rsidP="001119C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26,0</w:t>
            </w:r>
          </w:p>
        </w:tc>
        <w:tc>
          <w:tcPr>
            <w:tcW w:w="1484" w:type="pct"/>
            <w:shd w:val="clear" w:color="auto" w:fill="auto"/>
            <w:vAlign w:val="center"/>
          </w:tcPr>
          <w:p w:rsidR="003F7740" w:rsidRPr="0066263B" w:rsidRDefault="003F7740"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71,05</w:t>
            </w:r>
          </w:p>
        </w:tc>
      </w:tr>
      <w:tr w:rsidR="003F7740" w:rsidRPr="0066263B" w:rsidTr="004C0E12">
        <w:tc>
          <w:tcPr>
            <w:tcW w:w="1721" w:type="pct"/>
          </w:tcPr>
          <w:p w:rsidR="003F7740" w:rsidRPr="0066263B" w:rsidRDefault="003F7740"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Микробиологические</w:t>
            </w:r>
          </w:p>
        </w:tc>
        <w:tc>
          <w:tcPr>
            <w:tcW w:w="598" w:type="pct"/>
            <w:vAlign w:val="center"/>
          </w:tcPr>
          <w:p w:rsidR="003F7740" w:rsidRPr="0066263B" w:rsidRDefault="003F7740" w:rsidP="004C0E1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21,5</w:t>
            </w:r>
          </w:p>
        </w:tc>
        <w:tc>
          <w:tcPr>
            <w:tcW w:w="598" w:type="pct"/>
            <w:vAlign w:val="center"/>
          </w:tcPr>
          <w:p w:rsidR="003F7740" w:rsidRPr="0066263B" w:rsidRDefault="003F7740" w:rsidP="004C0E1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18,0</w:t>
            </w:r>
          </w:p>
        </w:tc>
        <w:tc>
          <w:tcPr>
            <w:tcW w:w="598" w:type="pct"/>
            <w:vAlign w:val="center"/>
          </w:tcPr>
          <w:p w:rsidR="003F7740" w:rsidRPr="0066263B" w:rsidRDefault="003F7740" w:rsidP="001119C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32,4</w:t>
            </w:r>
          </w:p>
        </w:tc>
        <w:tc>
          <w:tcPr>
            <w:tcW w:w="1484" w:type="pct"/>
            <w:shd w:val="clear" w:color="auto" w:fill="auto"/>
            <w:vAlign w:val="center"/>
          </w:tcPr>
          <w:p w:rsidR="003F7740" w:rsidRPr="0066263B" w:rsidRDefault="003F7740"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50,70</w:t>
            </w:r>
          </w:p>
        </w:tc>
      </w:tr>
      <w:tr w:rsidR="003F7740" w:rsidRPr="0066263B" w:rsidTr="004C0E12">
        <w:tc>
          <w:tcPr>
            <w:tcW w:w="1721" w:type="pct"/>
          </w:tcPr>
          <w:p w:rsidR="003F7740" w:rsidRPr="0066263B" w:rsidRDefault="003F7740"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Паразитологические</w:t>
            </w:r>
          </w:p>
        </w:tc>
        <w:tc>
          <w:tcPr>
            <w:tcW w:w="598" w:type="pct"/>
            <w:vAlign w:val="center"/>
          </w:tcPr>
          <w:p w:rsidR="003F7740" w:rsidRPr="0066263B" w:rsidRDefault="003F7740" w:rsidP="004C0E1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c>
          <w:tcPr>
            <w:tcW w:w="598" w:type="pct"/>
            <w:vAlign w:val="center"/>
          </w:tcPr>
          <w:p w:rsidR="003F7740" w:rsidRPr="0066263B" w:rsidRDefault="003F7740" w:rsidP="004C0E1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598" w:type="pct"/>
            <w:vAlign w:val="center"/>
          </w:tcPr>
          <w:p w:rsidR="003F7740" w:rsidRPr="0066263B" w:rsidRDefault="003F7740" w:rsidP="001119C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c>
          <w:tcPr>
            <w:tcW w:w="1484" w:type="pct"/>
            <w:shd w:val="clear" w:color="auto" w:fill="auto"/>
            <w:vAlign w:val="center"/>
          </w:tcPr>
          <w:p w:rsidR="003F7740" w:rsidRPr="0066263B" w:rsidRDefault="003F7740"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-21,42</w:t>
            </w:r>
          </w:p>
        </w:tc>
      </w:tr>
    </w:tbl>
    <w:p w:rsidR="00324483" w:rsidRDefault="00324483" w:rsidP="00324483">
      <w:pPr>
        <w:spacing w:before="0" w:after="0"/>
        <w:ind w:firstLine="709"/>
        <w:rPr>
          <w:rFonts w:ascii="Times New Roman" w:eastAsia="Times New Roman" w:hAnsi="Times New Roman" w:cs="Times New Roman"/>
          <w:sz w:val="24"/>
          <w:szCs w:val="24"/>
          <w:lang w:eastAsia="ru-RU"/>
        </w:rPr>
      </w:pPr>
    </w:p>
    <w:p w:rsidR="00B873EA" w:rsidRPr="0066263B" w:rsidRDefault="00B873EA" w:rsidP="00324483">
      <w:pPr>
        <w:spacing w:before="0" w:after="0"/>
        <w:ind w:firstLine="709"/>
        <w:rPr>
          <w:rFonts w:ascii="Times New Roman" w:eastAsia="Times New Roman" w:hAnsi="Times New Roman" w:cs="Times New Roman"/>
          <w:sz w:val="24"/>
          <w:szCs w:val="24"/>
          <w:lang w:eastAsia="ru-RU"/>
        </w:rPr>
      </w:pPr>
    </w:p>
    <w:p w:rsidR="004C0E12" w:rsidRPr="0066263B" w:rsidRDefault="004C0E12" w:rsidP="004C0E1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отмечена тенденция к увеличению доли проб воды из водоёмов 2-й категории, не соответствующих санитарным требованиям по санитарно-химическим показателям. Кроме того, по микробиологическим показателям наблюдается резкий скачок в сторону увеличения проб воды, не соответствующих санитарным требованиям по сравнению с предыдущим годом. Доля несоответствий по паразитологическим показателям осталась на уровне 2020 года.</w:t>
      </w:r>
    </w:p>
    <w:p w:rsidR="001119C1" w:rsidRDefault="001119C1" w:rsidP="00324483">
      <w:pPr>
        <w:spacing w:before="0" w:after="0"/>
        <w:ind w:firstLine="709"/>
        <w:rPr>
          <w:rFonts w:ascii="Times New Roman" w:eastAsia="Times New Roman" w:hAnsi="Times New Roman" w:cs="Times New Roman"/>
          <w:sz w:val="24"/>
          <w:szCs w:val="24"/>
          <w:lang w:eastAsia="ru-RU"/>
        </w:rPr>
      </w:pPr>
    </w:p>
    <w:p w:rsidR="00B873EA" w:rsidRDefault="00B873EA" w:rsidP="00324483">
      <w:pPr>
        <w:spacing w:before="0" w:after="0"/>
        <w:ind w:firstLine="709"/>
        <w:rPr>
          <w:rFonts w:ascii="Times New Roman" w:eastAsia="Times New Roman" w:hAnsi="Times New Roman" w:cs="Times New Roman"/>
          <w:sz w:val="24"/>
          <w:szCs w:val="24"/>
          <w:lang w:eastAsia="ru-RU"/>
        </w:rPr>
      </w:pPr>
    </w:p>
    <w:p w:rsidR="00B873EA" w:rsidRPr="0066263B" w:rsidRDefault="00B873EA"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324483" w:rsidRPr="0066263B" w:rsidRDefault="003702B6" w:rsidP="00324483">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445000" cy="3854483"/>
            <wp:effectExtent l="19050" t="0" r="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5" cstate="print"/>
                    <a:srcRect/>
                    <a:stretch>
                      <a:fillRect/>
                    </a:stretch>
                  </pic:blipFill>
                  <pic:spPr bwMode="auto">
                    <a:xfrm>
                      <a:off x="0" y="0"/>
                      <a:ext cx="4448081" cy="3857155"/>
                    </a:xfrm>
                    <a:prstGeom prst="rect">
                      <a:avLst/>
                    </a:prstGeom>
                    <a:noFill/>
                    <a:ln w="9525">
                      <a:noFill/>
                      <a:miter lim="800000"/>
                      <a:headEnd/>
                      <a:tailEnd/>
                    </a:ln>
                  </pic:spPr>
                </pic:pic>
              </a:graphicData>
            </a:graphic>
          </wp:inline>
        </w:drawing>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28</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водоемов 2 категории,</w:t>
      </w:r>
      <w:r w:rsidRPr="0066263B">
        <w:rPr>
          <w:rFonts w:ascii="Times New Roman" w:eastAsia="Times New Roman" w:hAnsi="Times New Roman" w:cs="Times New Roman"/>
          <w:lang w:eastAsia="ru-RU"/>
        </w:rPr>
        <w:br/>
        <w:t>не соответствующих санитарным требованиям по санитарно-химическим показателям</w:t>
      </w:r>
    </w:p>
    <w:p w:rsidR="001F63A5" w:rsidRPr="0066263B" w:rsidRDefault="001F63A5" w:rsidP="001F63A5">
      <w:pPr>
        <w:spacing w:before="0" w:after="0"/>
        <w:ind w:firstLine="709"/>
        <w:rPr>
          <w:rFonts w:ascii="Times New Roman" w:eastAsia="Times New Roman" w:hAnsi="Times New Roman" w:cs="Times New Roman"/>
          <w:sz w:val="24"/>
          <w:szCs w:val="24"/>
          <w:lang w:eastAsia="ru-RU"/>
        </w:rPr>
      </w:pPr>
    </w:p>
    <w:p w:rsidR="001F63A5" w:rsidRPr="0066263B" w:rsidRDefault="001F63A5">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1F63A5" w:rsidRPr="0066263B" w:rsidRDefault="001F63A5" w:rsidP="001F63A5">
      <w:pPr>
        <w:spacing w:before="0" w:after="0"/>
        <w:ind w:firstLine="709"/>
        <w:rPr>
          <w:rFonts w:ascii="Times New Roman" w:eastAsia="Times New Roman" w:hAnsi="Times New Roman" w:cs="Times New Roman"/>
          <w:sz w:val="24"/>
          <w:szCs w:val="24"/>
          <w:lang w:eastAsia="ru-RU"/>
        </w:rPr>
      </w:pPr>
    </w:p>
    <w:p w:rsidR="00324483" w:rsidRPr="0066263B" w:rsidRDefault="003702B6" w:rsidP="00324483">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214495" cy="3592830"/>
            <wp:effectExtent l="19050" t="0" r="0" b="0"/>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 cstate="print"/>
                    <a:srcRect/>
                    <a:stretch>
                      <a:fillRect/>
                    </a:stretch>
                  </pic:blipFill>
                  <pic:spPr bwMode="auto">
                    <a:xfrm>
                      <a:off x="0" y="0"/>
                      <a:ext cx="4214495" cy="3592830"/>
                    </a:xfrm>
                    <a:prstGeom prst="rect">
                      <a:avLst/>
                    </a:prstGeom>
                    <a:noFill/>
                    <a:ln w="9525">
                      <a:noFill/>
                      <a:miter lim="800000"/>
                      <a:headEnd/>
                      <a:tailEnd/>
                    </a:ln>
                  </pic:spPr>
                </pic:pic>
              </a:graphicData>
            </a:graphic>
          </wp:inline>
        </w:drawing>
      </w:r>
    </w:p>
    <w:p w:rsidR="00324483" w:rsidRPr="0066263B" w:rsidRDefault="00324483"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29</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водоемов 2 категории,</w:t>
      </w:r>
      <w:r w:rsidRPr="0066263B">
        <w:rPr>
          <w:rFonts w:ascii="Times New Roman" w:eastAsia="Times New Roman" w:hAnsi="Times New Roman" w:cs="Times New Roman"/>
          <w:lang w:eastAsia="ru-RU"/>
        </w:rPr>
        <w:br/>
        <w:t>не соответствующих санитарным требованиям по микробиологическим показателям</w:t>
      </w:r>
    </w:p>
    <w:p w:rsidR="00324483" w:rsidRPr="0066263B" w:rsidRDefault="00324483" w:rsidP="00324483">
      <w:pPr>
        <w:spacing w:before="0" w:after="0"/>
        <w:jc w:val="center"/>
        <w:rPr>
          <w:rFonts w:ascii="Times New Roman" w:eastAsia="Times New Roman" w:hAnsi="Times New Roman" w:cs="Times New Roman"/>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p>
    <w:p w:rsidR="00324483" w:rsidRPr="0066263B" w:rsidRDefault="003702B6" w:rsidP="00324483">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434681" cy="3727450"/>
            <wp:effectExtent l="19050" t="0" r="3969" b="0"/>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7" cstate="print"/>
                    <a:srcRect/>
                    <a:stretch>
                      <a:fillRect/>
                    </a:stretch>
                  </pic:blipFill>
                  <pic:spPr bwMode="auto">
                    <a:xfrm>
                      <a:off x="0" y="0"/>
                      <a:ext cx="4436164" cy="3728697"/>
                    </a:xfrm>
                    <a:prstGeom prst="rect">
                      <a:avLst/>
                    </a:prstGeom>
                    <a:noFill/>
                    <a:ln w="9525">
                      <a:noFill/>
                      <a:miter lim="800000"/>
                      <a:headEnd/>
                      <a:tailEnd/>
                    </a:ln>
                  </pic:spPr>
                </pic:pic>
              </a:graphicData>
            </a:graphic>
          </wp:inline>
        </w:drawing>
      </w:r>
    </w:p>
    <w:p w:rsidR="00324483" w:rsidRPr="0066263B" w:rsidRDefault="00324483"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30</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воды из водоемов 2 категории,</w:t>
      </w:r>
      <w:r w:rsidRPr="0066263B">
        <w:rPr>
          <w:rFonts w:ascii="Times New Roman" w:eastAsia="Times New Roman" w:hAnsi="Times New Roman" w:cs="Times New Roman"/>
          <w:lang w:eastAsia="ru-RU"/>
        </w:rPr>
        <w:br/>
        <w:t>не соответствующих санитарным требованиям по паразитологическим показателям</w:t>
      </w:r>
    </w:p>
    <w:p w:rsidR="001119C1" w:rsidRPr="0066263B" w:rsidRDefault="001119C1" w:rsidP="001119C1">
      <w:pPr>
        <w:spacing w:before="0" w:after="0"/>
        <w:ind w:firstLine="709"/>
        <w:rPr>
          <w:rFonts w:ascii="Times New Roman" w:eastAsia="Times New Roman" w:hAnsi="Times New Roman" w:cs="Times New Roman"/>
          <w:sz w:val="24"/>
          <w:szCs w:val="24"/>
          <w:lang w:eastAsia="ru-RU"/>
        </w:rPr>
      </w:pPr>
    </w:p>
    <w:p w:rsidR="001F63A5" w:rsidRPr="0066263B" w:rsidRDefault="001F63A5" w:rsidP="001F63A5">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23</w:t>
      </w:r>
      <w:r w:rsidR="006C34E2" w:rsidRPr="0066263B">
        <w:rPr>
          <w:rFonts w:ascii="Times New Roman" w:eastAsia="Calibri" w:hAnsi="Times New Roman" w:cs="Times New Roman"/>
        </w:rPr>
        <w:fldChar w:fldCharType="end"/>
      </w:r>
    </w:p>
    <w:p w:rsidR="001F63A5" w:rsidRPr="0066263B" w:rsidRDefault="001F63A5" w:rsidP="001F63A5">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воды из открытых водоёмов, не отвечающих гигиеническим нормативам, %</w:t>
      </w:r>
    </w:p>
    <w:p w:rsidR="001F63A5" w:rsidRPr="0066263B" w:rsidRDefault="001F63A5" w:rsidP="001F63A5">
      <w:pPr>
        <w:spacing w:before="0" w:after="0"/>
        <w:jc w:val="center"/>
        <w:rPr>
          <w:rFonts w:ascii="Times New Roman" w:eastAsia="TimesNewRomanPS-BoldMT" w:hAnsi="Times New Roman" w:cs="Times New Roman"/>
          <w:b/>
          <w:bCs/>
        </w:rPr>
      </w:pPr>
    </w:p>
    <w:tbl>
      <w:tblPr>
        <w:tblW w:w="500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5"/>
        <w:gridCol w:w="961"/>
        <w:gridCol w:w="961"/>
        <w:gridCol w:w="961"/>
        <w:gridCol w:w="961"/>
        <w:gridCol w:w="1216"/>
      </w:tblGrid>
      <w:tr w:rsidR="001F63A5" w:rsidRPr="0066263B" w:rsidTr="001F63A5">
        <w:trPr>
          <w:cantSplit/>
        </w:trPr>
        <w:tc>
          <w:tcPr>
            <w:tcW w:w="2278" w:type="pct"/>
            <w:vAlign w:val="center"/>
          </w:tcPr>
          <w:p w:rsidR="001F63A5" w:rsidRPr="0066263B" w:rsidRDefault="001F63A5" w:rsidP="001F63A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Створы</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c>
          <w:tcPr>
            <w:tcW w:w="654" w:type="pct"/>
            <w:vAlign w:val="center"/>
          </w:tcPr>
          <w:p w:rsidR="001F63A5" w:rsidRPr="0066263B" w:rsidRDefault="001F63A5" w:rsidP="00B873E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РФ 2020</w:t>
            </w:r>
          </w:p>
        </w:tc>
      </w:tr>
      <w:tr w:rsidR="001F63A5" w:rsidRPr="0066263B" w:rsidTr="001F63A5">
        <w:trPr>
          <w:cantSplit/>
          <w:trHeight w:val="213"/>
        </w:trPr>
        <w:tc>
          <w:tcPr>
            <w:tcW w:w="5000" w:type="pct"/>
            <w:gridSpan w:val="6"/>
            <w:vAlign w:val="center"/>
          </w:tcPr>
          <w:p w:rsidR="001F63A5" w:rsidRPr="0066263B" w:rsidRDefault="001F63A5" w:rsidP="001F63A5">
            <w:pPr>
              <w:spacing w:before="20" w:after="20"/>
              <w:jc w:val="center"/>
              <w:rPr>
                <w:rFonts w:ascii="Times New Roman" w:eastAsia="Times New Roman" w:hAnsi="Times New Roman" w:cs="Times New Roman"/>
                <w:i/>
                <w:lang w:eastAsia="ru-RU"/>
              </w:rPr>
            </w:pPr>
            <w:r w:rsidRPr="0066263B">
              <w:rPr>
                <w:rFonts w:ascii="Times New Roman" w:eastAsia="Times New Roman" w:hAnsi="Times New Roman" w:cs="Times New Roman"/>
                <w:bCs/>
                <w:i/>
                <w:lang w:eastAsia="ru-RU"/>
              </w:rPr>
              <w:t>По санитарно-химическим показателям</w:t>
            </w:r>
          </w:p>
        </w:tc>
      </w:tr>
      <w:tr w:rsidR="001F63A5" w:rsidRPr="0066263B" w:rsidTr="001F63A5">
        <w:trPr>
          <w:cantSplit/>
          <w:trHeight w:val="265"/>
        </w:trPr>
        <w:tc>
          <w:tcPr>
            <w:tcW w:w="2278" w:type="pct"/>
            <w:vAlign w:val="center"/>
          </w:tcPr>
          <w:p w:rsidR="001F63A5" w:rsidRPr="0066263B" w:rsidRDefault="001F63A5" w:rsidP="001F63A5">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Водоёмы 1 категории водопользования</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14,2</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27,2</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20,0</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20,8</w:t>
            </w:r>
          </w:p>
        </w:tc>
        <w:tc>
          <w:tcPr>
            <w:tcW w:w="654"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30,34</w:t>
            </w:r>
          </w:p>
        </w:tc>
      </w:tr>
      <w:tr w:rsidR="001F63A5" w:rsidRPr="0066263B" w:rsidTr="001F63A5">
        <w:trPr>
          <w:cantSplit/>
          <w:trHeight w:val="265"/>
        </w:trPr>
        <w:tc>
          <w:tcPr>
            <w:tcW w:w="2278" w:type="pct"/>
            <w:vAlign w:val="center"/>
          </w:tcPr>
          <w:p w:rsidR="001F63A5" w:rsidRPr="0066263B" w:rsidRDefault="001F63A5" w:rsidP="001F63A5">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Водоёмы 2 категории водопользования</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50,6</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15,2</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23,4</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26,0</w:t>
            </w:r>
          </w:p>
        </w:tc>
        <w:tc>
          <w:tcPr>
            <w:tcW w:w="654"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18,31</w:t>
            </w:r>
          </w:p>
        </w:tc>
      </w:tr>
      <w:tr w:rsidR="001F63A5" w:rsidRPr="0066263B" w:rsidTr="001F63A5">
        <w:trPr>
          <w:cantSplit/>
          <w:trHeight w:val="265"/>
        </w:trPr>
        <w:tc>
          <w:tcPr>
            <w:tcW w:w="5000" w:type="pct"/>
            <w:gridSpan w:val="6"/>
            <w:vAlign w:val="center"/>
          </w:tcPr>
          <w:p w:rsidR="001F63A5" w:rsidRPr="0066263B" w:rsidRDefault="001F63A5" w:rsidP="001F63A5">
            <w:pPr>
              <w:spacing w:before="20" w:after="20"/>
              <w:jc w:val="center"/>
              <w:rPr>
                <w:rFonts w:ascii="Times New Roman" w:eastAsia="Times New Roman" w:hAnsi="Times New Roman" w:cs="Times New Roman"/>
                <w:bCs/>
                <w:i/>
                <w:lang w:eastAsia="ru-RU"/>
              </w:rPr>
            </w:pPr>
            <w:r w:rsidRPr="0066263B">
              <w:rPr>
                <w:rFonts w:ascii="Times New Roman" w:eastAsia="Times New Roman" w:hAnsi="Times New Roman" w:cs="Times New Roman"/>
                <w:bCs/>
                <w:i/>
                <w:lang w:eastAsia="ru-RU"/>
              </w:rPr>
              <w:t>По микробиологическим показателям</w:t>
            </w:r>
          </w:p>
        </w:tc>
      </w:tr>
      <w:tr w:rsidR="001F63A5" w:rsidRPr="0066263B" w:rsidTr="001F63A5">
        <w:trPr>
          <w:cantSplit/>
          <w:trHeight w:val="265"/>
        </w:trPr>
        <w:tc>
          <w:tcPr>
            <w:tcW w:w="2278" w:type="pct"/>
            <w:vAlign w:val="center"/>
          </w:tcPr>
          <w:p w:rsidR="001F63A5" w:rsidRPr="0066263B" w:rsidRDefault="001F63A5" w:rsidP="001F63A5">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Водоёмы 1 категории водопользования</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23,9</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28,9</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21,0</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7,0</w:t>
            </w:r>
          </w:p>
        </w:tc>
        <w:tc>
          <w:tcPr>
            <w:tcW w:w="654"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16,05</w:t>
            </w:r>
          </w:p>
        </w:tc>
      </w:tr>
      <w:tr w:rsidR="001F63A5" w:rsidRPr="0066263B" w:rsidTr="001F63A5">
        <w:trPr>
          <w:cantSplit/>
          <w:trHeight w:val="265"/>
        </w:trPr>
        <w:tc>
          <w:tcPr>
            <w:tcW w:w="2278" w:type="pct"/>
            <w:vAlign w:val="center"/>
          </w:tcPr>
          <w:p w:rsidR="001F63A5" w:rsidRPr="0066263B" w:rsidRDefault="001F63A5" w:rsidP="001F63A5">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Водоёмы 2 категории водопользования</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21,5</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18,0</w:t>
            </w:r>
          </w:p>
        </w:tc>
        <w:tc>
          <w:tcPr>
            <w:tcW w:w="517"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32,4</w:t>
            </w:r>
          </w:p>
        </w:tc>
        <w:tc>
          <w:tcPr>
            <w:tcW w:w="654" w:type="pct"/>
            <w:vAlign w:val="center"/>
          </w:tcPr>
          <w:p w:rsidR="001F63A5" w:rsidRPr="0066263B" w:rsidRDefault="001F63A5"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20,17</w:t>
            </w:r>
          </w:p>
        </w:tc>
      </w:tr>
    </w:tbl>
    <w:p w:rsidR="001F63A5" w:rsidRPr="0066263B" w:rsidRDefault="001F63A5" w:rsidP="001119C1">
      <w:pPr>
        <w:spacing w:before="0" w:after="0"/>
        <w:ind w:firstLine="709"/>
        <w:rPr>
          <w:rFonts w:ascii="Times New Roman" w:eastAsia="Times New Roman" w:hAnsi="Times New Roman" w:cs="Times New Roman"/>
          <w:sz w:val="24"/>
          <w:szCs w:val="24"/>
          <w:lang w:eastAsia="ru-RU"/>
        </w:rPr>
      </w:pPr>
    </w:p>
    <w:p w:rsidR="001119C1" w:rsidRPr="0066263B" w:rsidRDefault="001119C1" w:rsidP="001119C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Таким образом, по сравнению с 20</w:t>
      </w:r>
      <w:r w:rsidR="00434ABE"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годом качество воды в водоёмах 1 категории у</w:t>
      </w:r>
      <w:r w:rsidR="00434ABE" w:rsidRPr="0066263B">
        <w:rPr>
          <w:rFonts w:ascii="Times New Roman" w:eastAsia="Times New Roman" w:hAnsi="Times New Roman" w:cs="Times New Roman"/>
          <w:sz w:val="24"/>
          <w:szCs w:val="24"/>
          <w:lang w:eastAsia="ru-RU"/>
        </w:rPr>
        <w:t>х</w:t>
      </w:r>
      <w:r w:rsidRPr="0066263B">
        <w:rPr>
          <w:rFonts w:ascii="Times New Roman" w:eastAsia="Times New Roman" w:hAnsi="Times New Roman" w:cs="Times New Roman"/>
          <w:sz w:val="24"/>
          <w:szCs w:val="24"/>
          <w:lang w:eastAsia="ru-RU"/>
        </w:rPr>
        <w:t>у</w:t>
      </w:r>
      <w:r w:rsidR="00434ABE" w:rsidRPr="0066263B">
        <w:rPr>
          <w:rFonts w:ascii="Times New Roman" w:eastAsia="Times New Roman" w:hAnsi="Times New Roman" w:cs="Times New Roman"/>
          <w:sz w:val="24"/>
          <w:szCs w:val="24"/>
          <w:lang w:eastAsia="ru-RU"/>
        </w:rPr>
        <w:t>д</w:t>
      </w:r>
      <w:r w:rsidRPr="0066263B">
        <w:rPr>
          <w:rFonts w:ascii="Times New Roman" w:eastAsia="Times New Roman" w:hAnsi="Times New Roman" w:cs="Times New Roman"/>
          <w:sz w:val="24"/>
          <w:szCs w:val="24"/>
          <w:lang w:eastAsia="ru-RU"/>
        </w:rPr>
        <w:t>шилось как по санитарно-химическим, так и микробиологическим показателям.</w:t>
      </w:r>
    </w:p>
    <w:p w:rsidR="001119C1" w:rsidRPr="0066263B" w:rsidRDefault="001119C1" w:rsidP="001119C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Качество воды водоёмов 2 категории ухудшилось по сравнению с прошлым годом по санитарно-химическим показателям и </w:t>
      </w:r>
      <w:r w:rsidR="00434ABE" w:rsidRPr="0066263B">
        <w:rPr>
          <w:rFonts w:ascii="Times New Roman" w:eastAsia="Times New Roman" w:hAnsi="Times New Roman" w:cs="Times New Roman"/>
          <w:sz w:val="24"/>
          <w:szCs w:val="24"/>
          <w:lang w:eastAsia="ru-RU"/>
        </w:rPr>
        <w:t>улучшилось</w:t>
      </w:r>
      <w:r w:rsidRPr="0066263B">
        <w:rPr>
          <w:rFonts w:ascii="Times New Roman" w:eastAsia="Times New Roman" w:hAnsi="Times New Roman" w:cs="Times New Roman"/>
          <w:sz w:val="24"/>
          <w:szCs w:val="24"/>
          <w:lang w:eastAsia="ru-RU"/>
        </w:rPr>
        <w:t xml:space="preserve"> по микробиологическим и показателям.</w:t>
      </w:r>
    </w:p>
    <w:p w:rsidR="0096529E" w:rsidRPr="0066263B" w:rsidRDefault="0096529E" w:rsidP="001119C1">
      <w:pPr>
        <w:spacing w:before="0" w:after="0"/>
        <w:ind w:firstLine="709"/>
        <w:rPr>
          <w:rFonts w:ascii="Times New Roman" w:eastAsia="Times New Roman" w:hAnsi="Times New Roman" w:cs="Times New Roman"/>
          <w:sz w:val="24"/>
          <w:szCs w:val="24"/>
          <w:lang w:eastAsia="ru-RU"/>
        </w:rPr>
      </w:pPr>
    </w:p>
    <w:p w:rsidR="003F7740" w:rsidRPr="0066263B" w:rsidRDefault="003F7740" w:rsidP="003F77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Основная причина неудовлетворительных результатов анализов воды в водоёмах области – несоблюдение мероприятий в </w:t>
      </w:r>
      <w:proofErr w:type="spellStart"/>
      <w:r w:rsidRPr="0066263B">
        <w:rPr>
          <w:rFonts w:ascii="Times New Roman" w:eastAsia="Times New Roman" w:hAnsi="Times New Roman" w:cs="Times New Roman"/>
          <w:sz w:val="24"/>
          <w:szCs w:val="24"/>
          <w:lang w:eastAsia="ru-RU"/>
        </w:rPr>
        <w:t>водоохранных</w:t>
      </w:r>
      <w:proofErr w:type="spellEnd"/>
      <w:r w:rsidRPr="0066263B">
        <w:rPr>
          <w:rFonts w:ascii="Times New Roman" w:eastAsia="Times New Roman" w:hAnsi="Times New Roman" w:cs="Times New Roman"/>
          <w:sz w:val="24"/>
          <w:szCs w:val="24"/>
          <w:lang w:eastAsia="ru-RU"/>
        </w:rPr>
        <w:t xml:space="preserve"> зонах водоёмов.</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96529E" w:rsidRPr="0066263B" w:rsidRDefault="0096529E"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t>Атмосферный воздух населённых мест</w:t>
      </w:r>
    </w:p>
    <w:p w:rsidR="00324483" w:rsidRPr="0066263B" w:rsidRDefault="00324483"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Одним из ведущих факторов внешней среды, определяющих условия проживания населения, является состояние атмосферного воздуха.</w:t>
      </w:r>
    </w:p>
    <w:p w:rsidR="00BB5AA9" w:rsidRPr="0066263B" w:rsidRDefault="00BB5AA9" w:rsidP="00BB5AA9">
      <w:pPr>
        <w:autoSpaceDE w:val="0"/>
        <w:autoSpaceDN w:val="0"/>
        <w:adjustRightInd w:val="0"/>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Всего в 202</w:t>
      </w:r>
      <w:r w:rsidR="00434AB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исследовано </w:t>
      </w:r>
      <w:r w:rsidR="005E2B71" w:rsidRPr="0066263B">
        <w:rPr>
          <w:rFonts w:ascii="Times New Roman" w:eastAsia="Times New Roman" w:hAnsi="Times New Roman" w:cs="Times New Roman"/>
          <w:sz w:val="24"/>
          <w:szCs w:val="24"/>
          <w:lang w:eastAsia="ru-RU"/>
        </w:rPr>
        <w:t>7 239</w:t>
      </w:r>
      <w:r w:rsidRPr="0066263B">
        <w:rPr>
          <w:rFonts w:ascii="Times New Roman" w:eastAsia="Times New Roman" w:hAnsi="Times New Roman" w:cs="Times New Roman"/>
          <w:sz w:val="24"/>
          <w:szCs w:val="24"/>
          <w:lang w:eastAsia="ru-RU"/>
        </w:rPr>
        <w:t xml:space="preserve"> проб атмосферного воздуха населённых мест, из них:</w:t>
      </w:r>
    </w:p>
    <w:p w:rsidR="00BB5AA9" w:rsidRPr="0066263B" w:rsidRDefault="00434ABE" w:rsidP="00BE7104">
      <w:pPr>
        <w:pStyle w:val="aff9"/>
        <w:numPr>
          <w:ilvl w:val="0"/>
          <w:numId w:val="59"/>
        </w:numPr>
        <w:autoSpaceDE w:val="0"/>
        <w:autoSpaceDN w:val="0"/>
        <w:adjustRightInd w:val="0"/>
        <w:ind w:left="851" w:hanging="142"/>
        <w:jc w:val="both"/>
      </w:pPr>
      <w:r w:rsidRPr="0066263B">
        <w:t>6 226</w:t>
      </w:r>
      <w:r w:rsidR="00BB5AA9" w:rsidRPr="0066263B">
        <w:t xml:space="preserve"> проб или </w:t>
      </w:r>
      <w:r w:rsidR="005E2B71" w:rsidRPr="0066263B">
        <w:t>86,0</w:t>
      </w:r>
      <w:r w:rsidR="00BB5AA9" w:rsidRPr="0066263B">
        <w:t xml:space="preserve">% – в городских поселениях, из них </w:t>
      </w:r>
      <w:r w:rsidRPr="0066263B">
        <w:t>90</w:t>
      </w:r>
      <w:r w:rsidR="00BB5AA9" w:rsidRPr="0066263B">
        <w:t xml:space="preserve"> проб не соответствовали гигиеническим нормативам – 1,</w:t>
      </w:r>
      <w:r w:rsidRPr="0066263B">
        <w:t>45</w:t>
      </w:r>
      <w:r w:rsidR="00BB5AA9" w:rsidRPr="0066263B">
        <w:t>% (</w:t>
      </w:r>
      <w:r w:rsidRPr="0066263B">
        <w:t xml:space="preserve">2020 – 1,2%; </w:t>
      </w:r>
      <w:r w:rsidR="00BB5AA9" w:rsidRPr="0066263B">
        <w:t>2019 – 0,02%; 2018 – 0,6%</w:t>
      </w:r>
      <w:r w:rsidR="005E2B71" w:rsidRPr="0066263B">
        <w:t>; РФ 2020 – 0,83%</w:t>
      </w:r>
      <w:r w:rsidR="00BB5AA9" w:rsidRPr="0066263B">
        <w:t>);</w:t>
      </w:r>
    </w:p>
    <w:p w:rsidR="00BB5AA9" w:rsidRPr="0066263B" w:rsidRDefault="005E2B71" w:rsidP="00BE7104">
      <w:pPr>
        <w:pStyle w:val="aff9"/>
        <w:numPr>
          <w:ilvl w:val="0"/>
          <w:numId w:val="59"/>
        </w:numPr>
        <w:autoSpaceDE w:val="0"/>
        <w:autoSpaceDN w:val="0"/>
        <w:adjustRightInd w:val="0"/>
        <w:ind w:left="851" w:hanging="142"/>
        <w:jc w:val="both"/>
      </w:pPr>
      <w:r w:rsidRPr="0066263B">
        <w:t>1 013</w:t>
      </w:r>
      <w:r w:rsidR="00BB5AA9" w:rsidRPr="0066263B">
        <w:t xml:space="preserve"> проб или </w:t>
      </w:r>
      <w:r w:rsidRPr="0066263B">
        <w:t>14,0</w:t>
      </w:r>
      <w:r w:rsidR="00BB5AA9" w:rsidRPr="0066263B">
        <w:t>% – в сельских поселениях, превышений гигиенических нормативов не обнаружено (2019</w:t>
      </w:r>
      <w:r w:rsidR="00434ABE" w:rsidRPr="0066263B">
        <w:t>-2020 г.г.</w:t>
      </w:r>
      <w:r w:rsidR="00BB5AA9" w:rsidRPr="0066263B">
        <w:t xml:space="preserve"> – 0</w:t>
      </w:r>
      <w:r w:rsidR="005D04D2" w:rsidRPr="0066263B">
        <w:t>%</w:t>
      </w:r>
      <w:r w:rsidR="00BB5AA9" w:rsidRPr="0066263B">
        <w:t>; 2018 – 2,03%</w:t>
      </w:r>
      <w:r w:rsidRPr="0066263B">
        <w:t>; РФ 2020 – 0,45%</w:t>
      </w:r>
      <w:r w:rsidR="00BB5AA9" w:rsidRPr="0066263B">
        <w:t>) (табл. 2</w:t>
      </w:r>
      <w:r w:rsidR="00222578" w:rsidRPr="0066263B">
        <w:t>4</w:t>
      </w:r>
      <w:r w:rsidR="00BB5AA9" w:rsidRPr="0066263B">
        <w:t>).</w:t>
      </w:r>
    </w:p>
    <w:p w:rsidR="0096529E" w:rsidRPr="0066263B" w:rsidRDefault="0096529E" w:rsidP="0096529E">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атмосферного воздуха, не отвечающих гигиеническим</w:t>
      </w:r>
      <w:r w:rsidRPr="0066263B">
        <w:rPr>
          <w:rFonts w:ascii="Times New Roman" w:eastAsia="TimesNewRomanPS-BoldMT" w:hAnsi="Times New Roman" w:cs="Times New Roman"/>
          <w:b/>
          <w:bCs/>
        </w:rPr>
        <w:br/>
        <w:t>нормативам по приоритетным загрязняющим веществам, %</w:t>
      </w:r>
    </w:p>
    <w:p w:rsidR="00324483" w:rsidRPr="0066263B" w:rsidRDefault="00324483" w:rsidP="00324483">
      <w:pPr>
        <w:spacing w:before="0" w:after="0"/>
        <w:jc w:val="center"/>
        <w:rPr>
          <w:rFonts w:ascii="Times New Roman" w:eastAsia="TimesNewRomanPS-BoldMT" w:hAnsi="Times New Roman" w:cs="Times New Roman"/>
          <w:b/>
          <w:bCs/>
        </w:rPr>
      </w:pPr>
    </w:p>
    <w:tbl>
      <w:tblPr>
        <w:tblW w:w="4998" w:type="pct"/>
        <w:jc w:val="center"/>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10"/>
        <w:gridCol w:w="1135"/>
        <w:gridCol w:w="1135"/>
        <w:gridCol w:w="1134"/>
        <w:gridCol w:w="1134"/>
        <w:gridCol w:w="1134"/>
      </w:tblGrid>
      <w:tr w:rsidR="005E2B71" w:rsidRPr="0066263B" w:rsidTr="00B873EA">
        <w:trPr>
          <w:jc w:val="center"/>
        </w:trPr>
        <w:tc>
          <w:tcPr>
            <w:tcW w:w="1944" w:type="pct"/>
            <w:vAlign w:val="center"/>
          </w:tcPr>
          <w:p w:rsidR="005E2B71" w:rsidRPr="0066263B" w:rsidRDefault="005E2B71" w:rsidP="00324483">
            <w:pPr>
              <w:spacing w:before="20" w:after="20"/>
              <w:jc w:val="center"/>
              <w:rPr>
                <w:rFonts w:ascii="Times New Roman" w:eastAsia="Times New Roman" w:hAnsi="Times New Roman" w:cs="Times New Roman"/>
                <w:b/>
                <w:bCs/>
                <w:i/>
                <w:lang w:eastAsia="ru-RU"/>
              </w:rPr>
            </w:pPr>
          </w:p>
        </w:tc>
        <w:tc>
          <w:tcPr>
            <w:tcW w:w="611" w:type="pct"/>
          </w:tcPr>
          <w:p w:rsidR="005E2B71" w:rsidRPr="0066263B" w:rsidRDefault="005E2B71" w:rsidP="00BC233A">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2018</w:t>
            </w:r>
          </w:p>
        </w:tc>
        <w:tc>
          <w:tcPr>
            <w:tcW w:w="611" w:type="pct"/>
            <w:vAlign w:val="center"/>
          </w:tcPr>
          <w:p w:rsidR="005E2B71" w:rsidRPr="0066263B" w:rsidRDefault="005E2B71" w:rsidP="00BC233A">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2019</w:t>
            </w:r>
          </w:p>
        </w:tc>
        <w:tc>
          <w:tcPr>
            <w:tcW w:w="611" w:type="pct"/>
            <w:vAlign w:val="center"/>
          </w:tcPr>
          <w:p w:rsidR="005E2B71" w:rsidRPr="0066263B" w:rsidRDefault="005E2B71" w:rsidP="00BC233A">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2020</w:t>
            </w:r>
          </w:p>
        </w:tc>
        <w:tc>
          <w:tcPr>
            <w:tcW w:w="611" w:type="pct"/>
            <w:vAlign w:val="center"/>
          </w:tcPr>
          <w:p w:rsidR="005E2B71" w:rsidRPr="0066263B" w:rsidRDefault="005E2B71" w:rsidP="003E7CEE">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2021</w:t>
            </w:r>
          </w:p>
        </w:tc>
        <w:tc>
          <w:tcPr>
            <w:tcW w:w="611" w:type="pct"/>
          </w:tcPr>
          <w:p w:rsidR="005E2B71" w:rsidRPr="0066263B" w:rsidRDefault="005E2B71" w:rsidP="00B873EA">
            <w:pPr>
              <w:spacing w:before="20" w:after="20"/>
              <w:jc w:val="center"/>
              <w:rPr>
                <w:rFonts w:ascii="Times New Roman" w:eastAsia="Times New Roman" w:hAnsi="Times New Roman" w:cs="Times New Roman"/>
                <w:b/>
                <w:bCs/>
                <w:i/>
                <w:lang w:eastAsia="ru-RU"/>
              </w:rPr>
            </w:pPr>
            <w:r w:rsidRPr="0066263B">
              <w:rPr>
                <w:rFonts w:ascii="Times New Roman" w:eastAsia="Times New Roman" w:hAnsi="Times New Roman" w:cs="Times New Roman"/>
                <w:b/>
                <w:bCs/>
                <w:i/>
                <w:lang w:eastAsia="ru-RU"/>
              </w:rPr>
              <w:t>РФ 2020</w:t>
            </w:r>
          </w:p>
        </w:tc>
      </w:tr>
      <w:tr w:rsidR="005E2B71" w:rsidRPr="0066263B" w:rsidTr="00B873EA">
        <w:trPr>
          <w:jc w:val="center"/>
        </w:trPr>
        <w:tc>
          <w:tcPr>
            <w:tcW w:w="1944" w:type="pct"/>
            <w:vAlign w:val="center"/>
          </w:tcPr>
          <w:p w:rsidR="005E2B71" w:rsidRPr="0066263B" w:rsidRDefault="005E2B71" w:rsidP="00324483">
            <w:pPr>
              <w:spacing w:before="20" w:after="20"/>
              <w:ind w:left="57"/>
              <w:jc w:val="left"/>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В городских поселениях</w:t>
            </w:r>
          </w:p>
        </w:tc>
        <w:tc>
          <w:tcPr>
            <w:tcW w:w="611" w:type="pct"/>
          </w:tcPr>
          <w:p w:rsidR="005E2B71" w:rsidRPr="0066263B" w:rsidRDefault="005E2B71"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w:t>
            </w:r>
          </w:p>
        </w:tc>
        <w:tc>
          <w:tcPr>
            <w:tcW w:w="611" w:type="pct"/>
            <w:vAlign w:val="center"/>
          </w:tcPr>
          <w:p w:rsidR="005E2B71" w:rsidRPr="0066263B" w:rsidRDefault="005E2B71"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0,02</w:t>
            </w:r>
          </w:p>
        </w:tc>
        <w:tc>
          <w:tcPr>
            <w:tcW w:w="611" w:type="pct"/>
            <w:vAlign w:val="center"/>
          </w:tcPr>
          <w:p w:rsidR="005E2B71" w:rsidRPr="0066263B" w:rsidRDefault="005E2B71"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611" w:type="pct"/>
            <w:vAlign w:val="center"/>
          </w:tcPr>
          <w:p w:rsidR="005E2B71" w:rsidRPr="0066263B" w:rsidRDefault="005E2B71"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1,45</w:t>
            </w:r>
          </w:p>
        </w:tc>
        <w:tc>
          <w:tcPr>
            <w:tcW w:w="611" w:type="pct"/>
          </w:tcPr>
          <w:p w:rsidR="005E2B71" w:rsidRPr="0066263B" w:rsidRDefault="005E2B71"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0,83</w:t>
            </w:r>
          </w:p>
        </w:tc>
      </w:tr>
      <w:tr w:rsidR="005E2B71" w:rsidRPr="0066263B" w:rsidTr="00B873EA">
        <w:trPr>
          <w:jc w:val="center"/>
        </w:trPr>
        <w:tc>
          <w:tcPr>
            <w:tcW w:w="1944" w:type="pct"/>
            <w:vAlign w:val="center"/>
          </w:tcPr>
          <w:p w:rsidR="005E2B71" w:rsidRPr="0066263B" w:rsidRDefault="005E2B71" w:rsidP="00324483">
            <w:pPr>
              <w:spacing w:before="20" w:after="20"/>
              <w:ind w:left="57"/>
              <w:jc w:val="left"/>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В сельских поселениях</w:t>
            </w:r>
          </w:p>
        </w:tc>
        <w:tc>
          <w:tcPr>
            <w:tcW w:w="611" w:type="pct"/>
          </w:tcPr>
          <w:p w:rsidR="005E2B71" w:rsidRPr="0066263B" w:rsidRDefault="005E2B71"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2,03</w:t>
            </w:r>
          </w:p>
        </w:tc>
        <w:tc>
          <w:tcPr>
            <w:tcW w:w="611" w:type="pct"/>
            <w:vAlign w:val="center"/>
          </w:tcPr>
          <w:p w:rsidR="005E2B71" w:rsidRPr="0066263B" w:rsidRDefault="005E2B71"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11" w:type="pct"/>
            <w:vAlign w:val="center"/>
          </w:tcPr>
          <w:p w:rsidR="005E2B71" w:rsidRPr="0066263B" w:rsidRDefault="005E2B71"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11" w:type="pct"/>
            <w:vAlign w:val="center"/>
          </w:tcPr>
          <w:p w:rsidR="005E2B71" w:rsidRPr="0066263B" w:rsidRDefault="005E2B71"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11" w:type="pct"/>
          </w:tcPr>
          <w:p w:rsidR="005E2B71" w:rsidRPr="0066263B" w:rsidRDefault="005E2B71"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0,45</w:t>
            </w:r>
          </w:p>
        </w:tc>
      </w:tr>
    </w:tbl>
    <w:p w:rsidR="00324483" w:rsidRPr="0066263B" w:rsidRDefault="00324483"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5E2B71" w:rsidRPr="0066263B" w:rsidRDefault="005E2B71"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2021 году необходимо отметить незначительное ухудшение качества атмосферного воздуха в городских поселениях с одновременным стабильным отсутствием доли несоответствующих проб в сельских.</w:t>
      </w:r>
      <w:proofErr w:type="gramEnd"/>
    </w:p>
    <w:p w:rsidR="005E2B71" w:rsidRPr="0066263B" w:rsidRDefault="005E2B71"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BB5AA9" w:rsidRPr="0066263B" w:rsidRDefault="00BB5AA9" w:rsidP="00BB5AA9">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Превышения гигиенических нормативов отмечаются только в городских поселениях по следующим показателям: </w:t>
      </w:r>
      <w:r w:rsidR="0088059B"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 xml:space="preserve">5 проб не соответствовали гигиеническим нормативам по содержанию </w:t>
      </w:r>
      <w:proofErr w:type="spellStart"/>
      <w:r w:rsidRPr="0066263B">
        <w:rPr>
          <w:rFonts w:ascii="Times New Roman" w:eastAsia="Times New Roman" w:hAnsi="Times New Roman" w:cs="Times New Roman"/>
          <w:sz w:val="24"/>
          <w:szCs w:val="24"/>
          <w:lang w:eastAsia="ru-RU"/>
        </w:rPr>
        <w:t>дигидросульфида</w:t>
      </w:r>
      <w:proofErr w:type="spellEnd"/>
      <w:r w:rsidRPr="0066263B">
        <w:rPr>
          <w:rFonts w:ascii="Times New Roman" w:eastAsia="Times New Roman" w:hAnsi="Times New Roman" w:cs="Times New Roman"/>
          <w:sz w:val="24"/>
          <w:szCs w:val="24"/>
          <w:lang w:eastAsia="ru-RU"/>
        </w:rPr>
        <w:t xml:space="preserve"> (</w:t>
      </w:r>
      <w:r w:rsidR="0088059B" w:rsidRPr="0066263B">
        <w:rPr>
          <w:rFonts w:ascii="Times New Roman" w:eastAsia="Times New Roman" w:hAnsi="Times New Roman" w:cs="Times New Roman"/>
          <w:sz w:val="24"/>
          <w:szCs w:val="24"/>
          <w:lang w:eastAsia="ru-RU"/>
        </w:rPr>
        <w:t>38,9</w:t>
      </w:r>
      <w:r w:rsidRPr="0066263B">
        <w:rPr>
          <w:rFonts w:ascii="Times New Roman" w:eastAsia="Times New Roman" w:hAnsi="Times New Roman" w:cs="Times New Roman"/>
          <w:sz w:val="24"/>
          <w:szCs w:val="24"/>
          <w:lang w:eastAsia="ru-RU"/>
        </w:rPr>
        <w:t xml:space="preserve">% от объёма всех несоответствий), </w:t>
      </w:r>
      <w:r w:rsidR="0088059B" w:rsidRPr="0066263B">
        <w:rPr>
          <w:rFonts w:ascii="Times New Roman" w:eastAsia="Times New Roman" w:hAnsi="Times New Roman" w:cs="Times New Roman"/>
          <w:sz w:val="24"/>
          <w:szCs w:val="24"/>
          <w:lang w:eastAsia="ru-RU"/>
        </w:rPr>
        <w:lastRenderedPageBreak/>
        <w:t>35</w:t>
      </w:r>
      <w:r w:rsidRPr="0066263B">
        <w:rPr>
          <w:rFonts w:ascii="Times New Roman" w:eastAsia="Times New Roman" w:hAnsi="Times New Roman" w:cs="Times New Roman"/>
          <w:sz w:val="24"/>
          <w:szCs w:val="24"/>
          <w:lang w:eastAsia="ru-RU"/>
        </w:rPr>
        <w:t xml:space="preserve"> проб не соответствовали гигиеническим нормативам по содержанию аммиака (</w:t>
      </w:r>
      <w:r w:rsidR="0088059B" w:rsidRPr="0066263B">
        <w:rPr>
          <w:rFonts w:ascii="Times New Roman" w:eastAsia="Times New Roman" w:hAnsi="Times New Roman" w:cs="Times New Roman"/>
          <w:sz w:val="24"/>
          <w:szCs w:val="24"/>
          <w:lang w:eastAsia="ru-RU"/>
        </w:rPr>
        <w:t>38,9</w:t>
      </w:r>
      <w:r w:rsidRPr="0066263B">
        <w:rPr>
          <w:rFonts w:ascii="Times New Roman" w:eastAsia="Times New Roman" w:hAnsi="Times New Roman" w:cs="Times New Roman"/>
          <w:sz w:val="24"/>
          <w:szCs w:val="24"/>
          <w:lang w:eastAsia="ru-RU"/>
        </w:rPr>
        <w:t xml:space="preserve">% от объёма всех несоответствий), </w:t>
      </w:r>
      <w:r w:rsidR="0088059B"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проб не соответствовали гигиеническим нормативам по содержанию </w:t>
      </w:r>
      <w:r w:rsidR="007B108A" w:rsidRPr="0066263B">
        <w:rPr>
          <w:rFonts w:ascii="Times New Roman" w:eastAsia="Times New Roman" w:hAnsi="Times New Roman" w:cs="Times New Roman"/>
          <w:sz w:val="24"/>
          <w:szCs w:val="24"/>
          <w:lang w:eastAsia="ru-RU"/>
        </w:rPr>
        <w:t>углеводорода</w:t>
      </w:r>
      <w:r w:rsidRPr="0066263B">
        <w:rPr>
          <w:rFonts w:ascii="Times New Roman" w:eastAsia="Times New Roman" w:hAnsi="Times New Roman" w:cs="Times New Roman"/>
          <w:sz w:val="24"/>
          <w:szCs w:val="24"/>
          <w:lang w:eastAsia="ru-RU"/>
        </w:rPr>
        <w:t xml:space="preserve"> (</w:t>
      </w:r>
      <w:r w:rsidR="007B108A" w:rsidRPr="0066263B">
        <w:rPr>
          <w:rFonts w:ascii="Times New Roman" w:eastAsia="Times New Roman" w:hAnsi="Times New Roman" w:cs="Times New Roman"/>
          <w:sz w:val="24"/>
          <w:szCs w:val="24"/>
          <w:lang w:eastAsia="ru-RU"/>
        </w:rPr>
        <w:t>22,2</w:t>
      </w:r>
      <w:r w:rsidRPr="0066263B">
        <w:rPr>
          <w:rFonts w:ascii="Times New Roman" w:eastAsia="Times New Roman" w:hAnsi="Times New Roman" w:cs="Times New Roman"/>
          <w:sz w:val="24"/>
          <w:szCs w:val="24"/>
          <w:lang w:eastAsia="ru-RU"/>
        </w:rPr>
        <w:t>% от объёма всех несоответствий).</w:t>
      </w:r>
      <w:proofErr w:type="gramEnd"/>
    </w:p>
    <w:p w:rsidR="00BB5AA9" w:rsidRPr="0066263B" w:rsidRDefault="00BB5AA9" w:rsidP="00324483">
      <w:pPr>
        <w:autoSpaceDE w:val="0"/>
        <w:autoSpaceDN w:val="0"/>
        <w:adjustRightInd w:val="0"/>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25</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атмосферного воздуха превышающих ПДК, %</w:t>
      </w:r>
    </w:p>
    <w:p w:rsidR="00324483" w:rsidRPr="0066263B" w:rsidRDefault="00324483" w:rsidP="00324483">
      <w:pPr>
        <w:spacing w:before="0" w:after="0"/>
        <w:jc w:val="center"/>
        <w:rPr>
          <w:rFonts w:ascii="Times New Roman" w:eastAsia="TimesNewRomanPS-BoldMT" w:hAnsi="Times New Roman" w:cs="Times New Roman"/>
          <w:b/>
          <w:bCs/>
        </w:rPr>
      </w:pPr>
    </w:p>
    <w:tbl>
      <w:tblPr>
        <w:tblpPr w:leftFromText="180" w:rightFromText="180" w:vertAnchor="text" w:horzAnchor="margin" w:tblpXSpec="center"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0"/>
        <w:gridCol w:w="1007"/>
        <w:gridCol w:w="1007"/>
        <w:gridCol w:w="1007"/>
        <w:gridCol w:w="1007"/>
        <w:gridCol w:w="1008"/>
      </w:tblGrid>
      <w:tr w:rsidR="005E2B71" w:rsidRPr="0066263B" w:rsidTr="005E2B71">
        <w:tc>
          <w:tcPr>
            <w:tcW w:w="2288" w:type="pct"/>
            <w:vAlign w:val="center"/>
          </w:tcPr>
          <w:p w:rsidR="005E2B71" w:rsidRPr="0066263B" w:rsidRDefault="005E2B71" w:rsidP="00BB5A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Загрязняющие вещества</w:t>
            </w:r>
          </w:p>
        </w:tc>
        <w:tc>
          <w:tcPr>
            <w:tcW w:w="542" w:type="pct"/>
            <w:vAlign w:val="center"/>
          </w:tcPr>
          <w:p w:rsidR="005E2B71" w:rsidRPr="0066263B" w:rsidRDefault="005E2B71" w:rsidP="00BB5A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2017</w:t>
            </w:r>
          </w:p>
        </w:tc>
        <w:tc>
          <w:tcPr>
            <w:tcW w:w="542" w:type="pct"/>
          </w:tcPr>
          <w:p w:rsidR="005E2B71" w:rsidRPr="0066263B" w:rsidRDefault="005E2B71" w:rsidP="00BB5A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542" w:type="pct"/>
          </w:tcPr>
          <w:p w:rsidR="005E2B71" w:rsidRPr="0066263B" w:rsidRDefault="005E2B71" w:rsidP="00BB5A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542" w:type="pct"/>
          </w:tcPr>
          <w:p w:rsidR="005E2B71" w:rsidRPr="0066263B" w:rsidRDefault="005E2B71" w:rsidP="00BB5A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543" w:type="pct"/>
          </w:tcPr>
          <w:p w:rsidR="005E2B71" w:rsidRPr="0066263B" w:rsidRDefault="005E2B71" w:rsidP="00BB5A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5E2B71" w:rsidRPr="0066263B" w:rsidTr="0088059B">
        <w:tc>
          <w:tcPr>
            <w:tcW w:w="2288" w:type="pct"/>
            <w:vAlign w:val="center"/>
          </w:tcPr>
          <w:p w:rsidR="005E2B71" w:rsidRPr="0066263B" w:rsidRDefault="005E2B71" w:rsidP="00BB5A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Углерод (сажа)</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0,06</w:t>
            </w:r>
          </w:p>
        </w:tc>
        <w:tc>
          <w:tcPr>
            <w:tcW w:w="543" w:type="pct"/>
            <w:shd w:val="clear" w:color="auto" w:fill="auto"/>
          </w:tcPr>
          <w:p w:rsidR="005E2B71" w:rsidRPr="0066263B" w:rsidRDefault="007B108A"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5E2B71" w:rsidRPr="0066263B" w:rsidTr="0088059B">
        <w:tc>
          <w:tcPr>
            <w:tcW w:w="2288" w:type="pct"/>
            <w:vAlign w:val="center"/>
          </w:tcPr>
          <w:p w:rsidR="005E2B71" w:rsidRPr="0066263B" w:rsidRDefault="005E2B71" w:rsidP="00BB5A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Углеводороды</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3" w:type="pct"/>
            <w:shd w:val="clear" w:color="auto" w:fill="auto"/>
          </w:tcPr>
          <w:p w:rsidR="005E2B71" w:rsidRPr="0066263B" w:rsidRDefault="007B108A"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0,32</w:t>
            </w:r>
          </w:p>
        </w:tc>
      </w:tr>
      <w:tr w:rsidR="005E2B71" w:rsidRPr="0066263B" w:rsidTr="0088059B">
        <w:tc>
          <w:tcPr>
            <w:tcW w:w="2288" w:type="pct"/>
            <w:vAlign w:val="center"/>
          </w:tcPr>
          <w:p w:rsidR="005E2B71" w:rsidRPr="0066263B" w:rsidRDefault="005E2B71" w:rsidP="00BB5A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Аммиак</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0,27</w:t>
            </w:r>
          </w:p>
        </w:tc>
        <w:tc>
          <w:tcPr>
            <w:tcW w:w="543" w:type="pct"/>
            <w:shd w:val="clear" w:color="auto" w:fill="auto"/>
          </w:tcPr>
          <w:p w:rsidR="005E2B71" w:rsidRPr="0066263B" w:rsidRDefault="007B108A"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0,56</w:t>
            </w:r>
          </w:p>
        </w:tc>
      </w:tr>
      <w:tr w:rsidR="005E2B71" w:rsidRPr="0066263B" w:rsidTr="0088059B">
        <w:tc>
          <w:tcPr>
            <w:tcW w:w="2288" w:type="pct"/>
            <w:vAlign w:val="center"/>
          </w:tcPr>
          <w:p w:rsidR="005E2B71" w:rsidRPr="0066263B" w:rsidRDefault="005E2B71" w:rsidP="00BB5A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Взвешенные вещества</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0,67</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0,17</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3" w:type="pct"/>
            <w:shd w:val="clear" w:color="auto" w:fill="auto"/>
          </w:tcPr>
          <w:p w:rsidR="005E2B71" w:rsidRPr="0066263B" w:rsidRDefault="007B108A"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5E2B71" w:rsidRPr="0066263B" w:rsidTr="0088059B">
        <w:tc>
          <w:tcPr>
            <w:tcW w:w="2288" w:type="pct"/>
            <w:vAlign w:val="center"/>
          </w:tcPr>
          <w:p w:rsidR="005E2B71" w:rsidRPr="0066263B" w:rsidRDefault="005E2B71" w:rsidP="00BB5AA9">
            <w:pPr>
              <w:spacing w:before="20" w:after="20"/>
              <w:ind w:left="57"/>
              <w:jc w:val="left"/>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Дигидросульфид</w:t>
            </w:r>
            <w:proofErr w:type="spellEnd"/>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w:t>
            </w:r>
          </w:p>
        </w:tc>
        <w:tc>
          <w:tcPr>
            <w:tcW w:w="543" w:type="pct"/>
            <w:shd w:val="clear" w:color="auto" w:fill="auto"/>
          </w:tcPr>
          <w:p w:rsidR="005E2B71" w:rsidRPr="0066263B" w:rsidRDefault="007B108A"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0,56</w:t>
            </w:r>
          </w:p>
        </w:tc>
      </w:tr>
      <w:tr w:rsidR="005E2B71" w:rsidRPr="0066263B" w:rsidTr="0088059B">
        <w:tc>
          <w:tcPr>
            <w:tcW w:w="2288" w:type="pct"/>
            <w:vAlign w:val="center"/>
          </w:tcPr>
          <w:p w:rsidR="005E2B71" w:rsidRPr="0066263B" w:rsidRDefault="005E2B71" w:rsidP="00BB5A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Диоксид серы</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2" w:type="pct"/>
          </w:tcPr>
          <w:p w:rsidR="005E2B71" w:rsidRPr="0066263B" w:rsidRDefault="005E2B71"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0,06</w:t>
            </w:r>
          </w:p>
        </w:tc>
        <w:tc>
          <w:tcPr>
            <w:tcW w:w="543" w:type="pct"/>
            <w:shd w:val="clear" w:color="auto" w:fill="auto"/>
          </w:tcPr>
          <w:p w:rsidR="005E2B71" w:rsidRPr="0066263B" w:rsidRDefault="007B108A" w:rsidP="00BB5A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bl>
    <w:p w:rsidR="00BB5AA9" w:rsidRPr="0066263B" w:rsidRDefault="00BB5AA9" w:rsidP="0096529E">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t>Состояние почвы</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BB5AA9" w:rsidRPr="0066263B">
        <w:rPr>
          <w:rFonts w:ascii="Times New Roman" w:eastAsia="Times New Roman" w:hAnsi="Times New Roman" w:cs="Times New Roman"/>
          <w:sz w:val="24"/>
          <w:szCs w:val="24"/>
          <w:lang w:eastAsia="ru-RU"/>
        </w:rPr>
        <w:t>2</w:t>
      </w:r>
      <w:r w:rsidR="000D6A9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контроль состояния почвы осуществлялся в 76 мониторинговых точках на территории Брянской области.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Всего в 20</w:t>
      </w:r>
      <w:r w:rsidR="00BB5AA9" w:rsidRPr="0066263B">
        <w:rPr>
          <w:rFonts w:ascii="Times New Roman" w:eastAsia="Times New Roman" w:hAnsi="Times New Roman" w:cs="Times New Roman"/>
          <w:sz w:val="24"/>
          <w:szCs w:val="24"/>
          <w:lang w:eastAsia="ru-RU"/>
        </w:rPr>
        <w:t>2</w:t>
      </w:r>
      <w:r w:rsidR="000D6A9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отобрано и проанализировано</w:t>
      </w:r>
      <w:r w:rsidR="00417806" w:rsidRPr="0066263B">
        <w:rPr>
          <w:rFonts w:ascii="Times New Roman" w:eastAsia="Times New Roman" w:hAnsi="Times New Roman" w:cs="Times New Roman"/>
          <w:sz w:val="24"/>
          <w:szCs w:val="24"/>
          <w:lang w:eastAsia="ru-RU"/>
        </w:rPr>
        <w:t xml:space="preserve"> 1 824 пробы почвы</w:t>
      </w:r>
      <w:r w:rsidRPr="0066263B">
        <w:rPr>
          <w:rFonts w:ascii="Times New Roman" w:eastAsia="Times New Roman" w:hAnsi="Times New Roman" w:cs="Times New Roman"/>
          <w:sz w:val="24"/>
          <w:szCs w:val="24"/>
          <w:lang w:eastAsia="ru-RU"/>
        </w:rPr>
        <w:t>:</w:t>
      </w:r>
    </w:p>
    <w:p w:rsidR="00324483" w:rsidRPr="0066263B" w:rsidRDefault="00321B30"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4</w:t>
      </w:r>
      <w:r w:rsidR="000D6A97"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8</w:t>
      </w:r>
      <w:r w:rsidR="00324483" w:rsidRPr="0066263B">
        <w:rPr>
          <w:rFonts w:ascii="Times New Roman" w:eastAsia="Times New Roman" w:hAnsi="Times New Roman" w:cs="Times New Roman"/>
          <w:sz w:val="24"/>
          <w:szCs w:val="24"/>
          <w:lang w:eastAsia="ru-RU"/>
        </w:rPr>
        <w:t xml:space="preserve"> проб почвы на санитарно-химические показатели, из них </w:t>
      </w:r>
      <w:r w:rsidRPr="0066263B">
        <w:rPr>
          <w:rFonts w:ascii="Times New Roman" w:eastAsia="Times New Roman" w:hAnsi="Times New Roman" w:cs="Times New Roman"/>
          <w:sz w:val="24"/>
          <w:szCs w:val="24"/>
          <w:lang w:eastAsia="ru-RU"/>
        </w:rPr>
        <w:t>1</w:t>
      </w:r>
      <w:r w:rsidR="00324483" w:rsidRPr="0066263B">
        <w:rPr>
          <w:rFonts w:ascii="Times New Roman" w:eastAsia="Times New Roman" w:hAnsi="Times New Roman" w:cs="Times New Roman"/>
          <w:sz w:val="24"/>
          <w:szCs w:val="24"/>
          <w:lang w:eastAsia="ru-RU"/>
        </w:rPr>
        <w:t xml:space="preserve"> проб</w:t>
      </w:r>
      <w:r w:rsidR="000D6A97" w:rsidRPr="0066263B">
        <w:rPr>
          <w:rFonts w:ascii="Times New Roman" w:eastAsia="Times New Roman" w:hAnsi="Times New Roman" w:cs="Times New Roman"/>
          <w:sz w:val="24"/>
          <w:szCs w:val="24"/>
          <w:lang w:eastAsia="ru-RU"/>
        </w:rPr>
        <w:t xml:space="preserve">а </w:t>
      </w:r>
      <w:r w:rsidR="00324483" w:rsidRPr="0066263B">
        <w:rPr>
          <w:rFonts w:ascii="Times New Roman" w:eastAsia="Times New Roman" w:hAnsi="Times New Roman" w:cs="Times New Roman"/>
          <w:sz w:val="24"/>
          <w:szCs w:val="24"/>
          <w:lang w:eastAsia="ru-RU"/>
        </w:rPr>
        <w:t>не соответствовал</w:t>
      </w:r>
      <w:r w:rsidR="000D6A97" w:rsidRPr="0066263B">
        <w:rPr>
          <w:rFonts w:ascii="Times New Roman" w:eastAsia="Times New Roman" w:hAnsi="Times New Roman" w:cs="Times New Roman"/>
          <w:sz w:val="24"/>
          <w:szCs w:val="24"/>
          <w:lang w:eastAsia="ru-RU"/>
        </w:rPr>
        <w:t>а</w:t>
      </w:r>
      <w:r w:rsidR="00324483" w:rsidRPr="0066263B">
        <w:rPr>
          <w:rFonts w:ascii="Times New Roman" w:eastAsia="Times New Roman" w:hAnsi="Times New Roman" w:cs="Times New Roman"/>
          <w:sz w:val="24"/>
          <w:szCs w:val="24"/>
          <w:lang w:eastAsia="ru-RU"/>
        </w:rPr>
        <w:t xml:space="preserve"> гигиеническим нормативам, что составило </w:t>
      </w:r>
      <w:r w:rsidR="000D6A97" w:rsidRPr="0066263B">
        <w:rPr>
          <w:rFonts w:ascii="Times New Roman" w:eastAsia="Times New Roman" w:hAnsi="Times New Roman" w:cs="Times New Roman"/>
          <w:sz w:val="24"/>
          <w:szCs w:val="24"/>
          <w:lang w:eastAsia="ru-RU"/>
        </w:rPr>
        <w:t>0,2</w:t>
      </w:r>
      <w:r w:rsidR="00324483" w:rsidRPr="0066263B">
        <w:rPr>
          <w:rFonts w:ascii="Times New Roman" w:eastAsia="Times New Roman" w:hAnsi="Times New Roman" w:cs="Times New Roman"/>
          <w:sz w:val="24"/>
          <w:szCs w:val="24"/>
          <w:lang w:eastAsia="ru-RU"/>
        </w:rPr>
        <w:t>% (</w:t>
      </w:r>
      <w:r w:rsidR="000D6A97" w:rsidRPr="0066263B">
        <w:rPr>
          <w:rFonts w:ascii="Times New Roman" w:eastAsia="Times New Roman" w:hAnsi="Times New Roman" w:cs="Times New Roman"/>
          <w:sz w:val="24"/>
          <w:szCs w:val="24"/>
          <w:lang w:eastAsia="ru-RU"/>
        </w:rPr>
        <w:t xml:space="preserve">2020 – 3,4%; </w:t>
      </w:r>
      <w:r w:rsidRPr="0066263B">
        <w:rPr>
          <w:rFonts w:ascii="Times New Roman" w:eastAsia="Times New Roman" w:hAnsi="Times New Roman" w:cs="Times New Roman"/>
          <w:sz w:val="24"/>
          <w:szCs w:val="24"/>
          <w:lang w:eastAsia="ru-RU"/>
        </w:rPr>
        <w:t xml:space="preserve">2019 – 0,76%; </w:t>
      </w:r>
      <w:r w:rsidR="00324483" w:rsidRPr="0066263B">
        <w:rPr>
          <w:rFonts w:ascii="Times New Roman" w:eastAsia="Times New Roman" w:hAnsi="Times New Roman" w:cs="Times New Roman"/>
          <w:sz w:val="24"/>
          <w:szCs w:val="24"/>
          <w:lang w:eastAsia="ru-RU"/>
        </w:rPr>
        <w:t>2018 – 1,8%</w:t>
      </w:r>
      <w:r w:rsidR="000D6A97" w:rsidRPr="0066263B">
        <w:rPr>
          <w:rFonts w:ascii="Times New Roman" w:eastAsia="Times New Roman" w:hAnsi="Times New Roman" w:cs="Times New Roman"/>
          <w:sz w:val="24"/>
          <w:szCs w:val="24"/>
          <w:lang w:eastAsia="ru-RU"/>
        </w:rPr>
        <w:t>; РФ 2020 – 5,43%</w:t>
      </w:r>
      <w:r w:rsidR="00324483" w:rsidRPr="0066263B">
        <w:rPr>
          <w:rFonts w:ascii="Times New Roman" w:eastAsia="Times New Roman" w:hAnsi="Times New Roman" w:cs="Times New Roman"/>
          <w:sz w:val="24"/>
          <w:szCs w:val="24"/>
          <w:lang w:eastAsia="ru-RU"/>
        </w:rPr>
        <w:t>);</w:t>
      </w:r>
    </w:p>
    <w:p w:rsidR="00324483" w:rsidRPr="0066263B" w:rsidRDefault="000D6A97"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657</w:t>
      </w:r>
      <w:r w:rsidR="00324483" w:rsidRPr="0066263B">
        <w:rPr>
          <w:rFonts w:ascii="Times New Roman" w:eastAsia="Times New Roman" w:hAnsi="Times New Roman" w:cs="Times New Roman"/>
          <w:sz w:val="24"/>
          <w:szCs w:val="24"/>
          <w:lang w:eastAsia="ru-RU"/>
        </w:rPr>
        <w:t xml:space="preserve"> проб почвы </w:t>
      </w:r>
      <w:r w:rsidR="005D04D2" w:rsidRPr="0066263B">
        <w:rPr>
          <w:rFonts w:ascii="Times New Roman" w:eastAsia="Times New Roman" w:hAnsi="Times New Roman" w:cs="Times New Roman"/>
          <w:sz w:val="24"/>
          <w:szCs w:val="24"/>
          <w:lang w:eastAsia="ru-RU"/>
        </w:rPr>
        <w:t>на</w:t>
      </w:r>
      <w:r w:rsidR="00324483" w:rsidRPr="0066263B">
        <w:rPr>
          <w:rFonts w:ascii="Times New Roman" w:eastAsia="Times New Roman" w:hAnsi="Times New Roman" w:cs="Times New Roman"/>
          <w:sz w:val="24"/>
          <w:szCs w:val="24"/>
          <w:lang w:eastAsia="ru-RU"/>
        </w:rPr>
        <w:t xml:space="preserve"> микробиологические показатели, из них </w:t>
      </w:r>
      <w:r w:rsidRPr="0066263B">
        <w:rPr>
          <w:rFonts w:ascii="Times New Roman" w:eastAsia="Times New Roman" w:hAnsi="Times New Roman" w:cs="Times New Roman"/>
          <w:sz w:val="24"/>
          <w:szCs w:val="24"/>
          <w:lang w:eastAsia="ru-RU"/>
        </w:rPr>
        <w:t>30</w:t>
      </w:r>
      <w:r w:rsidR="00324483" w:rsidRPr="0066263B">
        <w:rPr>
          <w:rFonts w:ascii="Times New Roman" w:eastAsia="Times New Roman" w:hAnsi="Times New Roman" w:cs="Times New Roman"/>
          <w:sz w:val="24"/>
          <w:szCs w:val="24"/>
          <w:lang w:eastAsia="ru-RU"/>
        </w:rPr>
        <w:t xml:space="preserve"> проб не соответствовал</w:t>
      </w:r>
      <w:r w:rsidR="005D04D2" w:rsidRPr="0066263B">
        <w:rPr>
          <w:rFonts w:ascii="Times New Roman" w:eastAsia="Times New Roman" w:hAnsi="Times New Roman" w:cs="Times New Roman"/>
          <w:sz w:val="24"/>
          <w:szCs w:val="24"/>
          <w:lang w:eastAsia="ru-RU"/>
        </w:rPr>
        <w:t>и</w:t>
      </w:r>
      <w:r w:rsidR="00324483" w:rsidRPr="0066263B">
        <w:rPr>
          <w:rFonts w:ascii="Times New Roman" w:eastAsia="Times New Roman" w:hAnsi="Times New Roman" w:cs="Times New Roman"/>
          <w:sz w:val="24"/>
          <w:szCs w:val="24"/>
          <w:lang w:eastAsia="ru-RU"/>
        </w:rPr>
        <w:t xml:space="preserve"> гигиеническим нормативам, что составило </w:t>
      </w:r>
      <w:r w:rsidRPr="0066263B">
        <w:rPr>
          <w:rFonts w:ascii="Times New Roman" w:eastAsia="Times New Roman" w:hAnsi="Times New Roman" w:cs="Times New Roman"/>
          <w:sz w:val="24"/>
          <w:szCs w:val="24"/>
          <w:lang w:eastAsia="ru-RU"/>
        </w:rPr>
        <w:t>4</w:t>
      </w:r>
      <w:r w:rsidR="00324483" w:rsidRPr="0066263B">
        <w:rPr>
          <w:rFonts w:ascii="Times New Roman" w:eastAsia="Times New Roman" w:hAnsi="Times New Roman" w:cs="Times New Roman"/>
          <w:sz w:val="24"/>
          <w:szCs w:val="24"/>
          <w:lang w:eastAsia="ru-RU"/>
        </w:rPr>
        <w:t>,5% (</w:t>
      </w:r>
      <w:r w:rsidRPr="0066263B">
        <w:rPr>
          <w:rFonts w:ascii="Times New Roman" w:eastAsia="Times New Roman" w:hAnsi="Times New Roman" w:cs="Times New Roman"/>
          <w:sz w:val="24"/>
          <w:szCs w:val="24"/>
          <w:lang w:eastAsia="ru-RU"/>
        </w:rPr>
        <w:t xml:space="preserve">2020 – 6,5%; </w:t>
      </w:r>
      <w:r w:rsidR="00321B30" w:rsidRPr="0066263B">
        <w:rPr>
          <w:rFonts w:ascii="Times New Roman" w:eastAsia="Times New Roman" w:hAnsi="Times New Roman" w:cs="Times New Roman"/>
          <w:sz w:val="24"/>
          <w:szCs w:val="24"/>
          <w:lang w:eastAsia="ru-RU"/>
        </w:rPr>
        <w:t xml:space="preserve">2019 – 8,5%; </w:t>
      </w:r>
      <w:r w:rsidR="00324483" w:rsidRPr="0066263B">
        <w:rPr>
          <w:rFonts w:ascii="Times New Roman" w:eastAsia="Times New Roman" w:hAnsi="Times New Roman" w:cs="Times New Roman"/>
          <w:sz w:val="24"/>
          <w:szCs w:val="24"/>
          <w:lang w:eastAsia="ru-RU"/>
        </w:rPr>
        <w:t>2018 – 4,7%</w:t>
      </w:r>
      <w:r w:rsidRPr="0066263B">
        <w:rPr>
          <w:rFonts w:ascii="Times New Roman" w:eastAsia="Times New Roman" w:hAnsi="Times New Roman" w:cs="Times New Roman"/>
          <w:sz w:val="24"/>
          <w:szCs w:val="24"/>
          <w:lang w:eastAsia="ru-RU"/>
        </w:rPr>
        <w:t>; РФ 2020 – 5,82%</w:t>
      </w:r>
      <w:r w:rsidR="00324483" w:rsidRPr="0066263B">
        <w:rPr>
          <w:rFonts w:ascii="Times New Roman" w:eastAsia="Times New Roman" w:hAnsi="Times New Roman" w:cs="Times New Roman"/>
          <w:sz w:val="24"/>
          <w:szCs w:val="24"/>
          <w:lang w:eastAsia="ru-RU"/>
        </w:rPr>
        <w:t>);</w:t>
      </w:r>
    </w:p>
    <w:p w:rsidR="00324483" w:rsidRPr="0066263B" w:rsidRDefault="000D6A97"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719</w:t>
      </w:r>
      <w:r w:rsidR="00324483" w:rsidRPr="0066263B">
        <w:rPr>
          <w:rFonts w:ascii="Times New Roman" w:eastAsia="Times New Roman" w:hAnsi="Times New Roman" w:cs="Times New Roman"/>
          <w:sz w:val="24"/>
          <w:szCs w:val="24"/>
          <w:lang w:eastAsia="ru-RU"/>
        </w:rPr>
        <w:t xml:space="preserve"> проб почвы </w:t>
      </w:r>
      <w:r w:rsidR="005D04D2" w:rsidRPr="0066263B">
        <w:rPr>
          <w:rFonts w:ascii="Times New Roman" w:eastAsia="Times New Roman" w:hAnsi="Times New Roman" w:cs="Times New Roman"/>
          <w:sz w:val="24"/>
          <w:szCs w:val="24"/>
          <w:lang w:eastAsia="ru-RU"/>
        </w:rPr>
        <w:t>на</w:t>
      </w:r>
      <w:r w:rsidR="00324483" w:rsidRPr="0066263B">
        <w:rPr>
          <w:rFonts w:ascii="Times New Roman" w:eastAsia="Times New Roman" w:hAnsi="Times New Roman" w:cs="Times New Roman"/>
          <w:sz w:val="24"/>
          <w:szCs w:val="24"/>
          <w:lang w:eastAsia="ru-RU"/>
        </w:rPr>
        <w:t xml:space="preserve"> паразитологические показатели, из них </w:t>
      </w:r>
      <w:r w:rsidRPr="0066263B">
        <w:rPr>
          <w:rFonts w:ascii="Times New Roman" w:eastAsia="Times New Roman" w:hAnsi="Times New Roman" w:cs="Times New Roman"/>
          <w:sz w:val="24"/>
          <w:szCs w:val="24"/>
          <w:lang w:eastAsia="ru-RU"/>
        </w:rPr>
        <w:t>9</w:t>
      </w:r>
      <w:r w:rsidR="00324483" w:rsidRPr="0066263B">
        <w:rPr>
          <w:rFonts w:ascii="Times New Roman" w:eastAsia="Times New Roman" w:hAnsi="Times New Roman" w:cs="Times New Roman"/>
          <w:sz w:val="24"/>
          <w:szCs w:val="24"/>
          <w:lang w:eastAsia="ru-RU"/>
        </w:rPr>
        <w:t xml:space="preserve"> проб не соответствовали гигиеническим нормативам, что составило </w:t>
      </w:r>
      <w:r w:rsidRPr="0066263B">
        <w:rPr>
          <w:rFonts w:ascii="Times New Roman" w:eastAsia="Times New Roman" w:hAnsi="Times New Roman" w:cs="Times New Roman"/>
          <w:sz w:val="24"/>
          <w:szCs w:val="24"/>
          <w:lang w:eastAsia="ru-RU"/>
        </w:rPr>
        <w:t>1,2</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0,6%; </w:t>
      </w:r>
      <w:r w:rsidR="00321B30" w:rsidRPr="0066263B">
        <w:rPr>
          <w:rFonts w:ascii="Times New Roman" w:eastAsia="Times New Roman" w:hAnsi="Times New Roman" w:cs="Times New Roman"/>
          <w:sz w:val="24"/>
          <w:szCs w:val="24"/>
          <w:lang w:eastAsia="ru-RU"/>
        </w:rPr>
        <w:t xml:space="preserve">2019 – 3,1%; </w:t>
      </w:r>
      <w:r w:rsidR="00324483" w:rsidRPr="0066263B">
        <w:rPr>
          <w:rFonts w:ascii="Times New Roman" w:eastAsia="Times New Roman" w:hAnsi="Times New Roman" w:cs="Times New Roman"/>
          <w:sz w:val="24"/>
          <w:szCs w:val="24"/>
          <w:lang w:eastAsia="ru-RU"/>
        </w:rPr>
        <w:t xml:space="preserve">2018 – 1,8%; </w:t>
      </w:r>
      <w:r w:rsidRPr="0066263B">
        <w:rPr>
          <w:rFonts w:ascii="Times New Roman" w:eastAsia="Times New Roman" w:hAnsi="Times New Roman" w:cs="Times New Roman"/>
          <w:sz w:val="24"/>
          <w:szCs w:val="24"/>
          <w:lang w:eastAsia="ru-RU"/>
        </w:rPr>
        <w:t>РФ 2020 – 0,9%</w:t>
      </w:r>
      <w:r w:rsidR="00324483" w:rsidRPr="0066263B">
        <w:rPr>
          <w:rFonts w:ascii="Times New Roman" w:eastAsia="Times New Roman" w:hAnsi="Times New Roman" w:cs="Times New Roman"/>
          <w:sz w:val="24"/>
          <w:szCs w:val="24"/>
          <w:lang w:eastAsia="ru-RU"/>
        </w:rPr>
        <w:t>) (табл. 2</w:t>
      </w:r>
      <w:r w:rsidR="00222578" w:rsidRPr="0066263B">
        <w:rPr>
          <w:rFonts w:ascii="Times New Roman" w:eastAsia="Times New Roman" w:hAnsi="Times New Roman" w:cs="Times New Roman"/>
          <w:sz w:val="24"/>
          <w:szCs w:val="24"/>
          <w:lang w:eastAsia="ru-RU"/>
        </w:rPr>
        <w:t>6</w:t>
      </w:r>
      <w:r w:rsidR="00324483" w:rsidRPr="0066263B">
        <w:rPr>
          <w:rFonts w:ascii="Times New Roman" w:eastAsia="Times New Roman" w:hAnsi="Times New Roman" w:cs="Times New Roman"/>
          <w:sz w:val="24"/>
          <w:szCs w:val="24"/>
          <w:lang w:eastAsia="ru-RU"/>
        </w:rPr>
        <w:t>).</w:t>
      </w:r>
    </w:p>
    <w:p w:rsidR="000D6A97" w:rsidRPr="0066263B" w:rsidRDefault="000D6A97" w:rsidP="00306846">
      <w:pPr>
        <w:autoSpaceDE w:val="0"/>
        <w:autoSpaceDN w:val="0"/>
        <w:adjustRightInd w:val="0"/>
        <w:spacing w:before="0" w:after="0"/>
        <w:ind w:left="993"/>
        <w:contextualSpacing/>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26</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почвы, не соответствующих гигиеническим нормативам, %</w:t>
      </w:r>
    </w:p>
    <w:p w:rsidR="00324483" w:rsidRPr="0066263B" w:rsidRDefault="00324483" w:rsidP="00324483">
      <w:pPr>
        <w:spacing w:before="0" w:after="0"/>
        <w:jc w:val="center"/>
        <w:rPr>
          <w:rFonts w:ascii="Times New Roman" w:eastAsia="TimesNewRomanPS-BoldMT" w:hAnsi="Times New Roman" w:cs="Times New Roman"/>
          <w:b/>
          <w:bC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8"/>
        <w:gridCol w:w="1087"/>
        <w:gridCol w:w="1087"/>
        <w:gridCol w:w="1087"/>
        <w:gridCol w:w="2799"/>
      </w:tblGrid>
      <w:tr w:rsidR="00417806" w:rsidRPr="0066263B" w:rsidTr="00BC233A">
        <w:trPr>
          <w:trHeight w:val="279"/>
        </w:trPr>
        <w:tc>
          <w:tcPr>
            <w:tcW w:w="1699" w:type="pct"/>
            <w:vAlign w:val="center"/>
          </w:tcPr>
          <w:p w:rsidR="00417806" w:rsidRPr="0066263B" w:rsidRDefault="00417806" w:rsidP="00324483">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Исследуемые показатели</w:t>
            </w:r>
          </w:p>
        </w:tc>
        <w:tc>
          <w:tcPr>
            <w:tcW w:w="592" w:type="pct"/>
            <w:vAlign w:val="center"/>
          </w:tcPr>
          <w:p w:rsidR="00417806" w:rsidRPr="0066263B" w:rsidRDefault="00417806" w:rsidP="00BC233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2019</w:t>
            </w:r>
          </w:p>
        </w:tc>
        <w:tc>
          <w:tcPr>
            <w:tcW w:w="592" w:type="pct"/>
            <w:vAlign w:val="center"/>
          </w:tcPr>
          <w:p w:rsidR="00417806" w:rsidRPr="0066263B" w:rsidRDefault="00417806" w:rsidP="00BC233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2020</w:t>
            </w:r>
          </w:p>
        </w:tc>
        <w:tc>
          <w:tcPr>
            <w:tcW w:w="592" w:type="pct"/>
            <w:vAlign w:val="center"/>
          </w:tcPr>
          <w:p w:rsidR="00417806" w:rsidRPr="0066263B" w:rsidRDefault="00417806" w:rsidP="003E7CEE">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2021</w:t>
            </w:r>
          </w:p>
        </w:tc>
        <w:tc>
          <w:tcPr>
            <w:tcW w:w="1525" w:type="pct"/>
          </w:tcPr>
          <w:p w:rsidR="00417806" w:rsidRPr="0066263B" w:rsidRDefault="00417806" w:rsidP="00417806">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Темп прироста к 2019</w:t>
            </w:r>
            <w:r w:rsidRPr="0066263B">
              <w:rPr>
                <w:rFonts w:ascii="Times New Roman" w:eastAsia="Times New Roman" w:hAnsi="Times New Roman" w:cs="Times New Roman"/>
                <w:b/>
                <w:i/>
                <w:lang w:eastAsia="ru-RU"/>
              </w:rPr>
              <w:t>, %</w:t>
            </w:r>
          </w:p>
        </w:tc>
      </w:tr>
      <w:tr w:rsidR="003F7740" w:rsidRPr="0066263B" w:rsidTr="00BC233A">
        <w:tc>
          <w:tcPr>
            <w:tcW w:w="1699" w:type="pct"/>
            <w:vAlign w:val="center"/>
          </w:tcPr>
          <w:p w:rsidR="003F7740" w:rsidRPr="0066263B" w:rsidRDefault="003F7740"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Санитарно-химические</w:t>
            </w:r>
          </w:p>
        </w:tc>
        <w:tc>
          <w:tcPr>
            <w:tcW w:w="59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w:t>
            </w:r>
          </w:p>
        </w:tc>
        <w:tc>
          <w:tcPr>
            <w:tcW w:w="59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w:t>
            </w:r>
          </w:p>
        </w:tc>
        <w:tc>
          <w:tcPr>
            <w:tcW w:w="592" w:type="pct"/>
            <w:vAlign w:val="center"/>
          </w:tcPr>
          <w:p w:rsidR="003F7740" w:rsidRPr="0066263B" w:rsidRDefault="003F7740"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w:t>
            </w:r>
          </w:p>
        </w:tc>
        <w:tc>
          <w:tcPr>
            <w:tcW w:w="1525" w:type="pct"/>
            <w:shd w:val="clear" w:color="auto" w:fill="auto"/>
            <w:vAlign w:val="center"/>
          </w:tcPr>
          <w:p w:rsidR="003F7740" w:rsidRPr="0066263B" w:rsidRDefault="003F7740"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w:t>
            </w:r>
          </w:p>
        </w:tc>
      </w:tr>
      <w:tr w:rsidR="003F7740" w:rsidRPr="0066263B" w:rsidTr="00BC233A">
        <w:tc>
          <w:tcPr>
            <w:tcW w:w="1699" w:type="pct"/>
          </w:tcPr>
          <w:p w:rsidR="003F7740" w:rsidRPr="0066263B" w:rsidRDefault="003F7740"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Микробиологические</w:t>
            </w:r>
          </w:p>
        </w:tc>
        <w:tc>
          <w:tcPr>
            <w:tcW w:w="59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8,5</w:t>
            </w:r>
          </w:p>
        </w:tc>
        <w:tc>
          <w:tcPr>
            <w:tcW w:w="59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6,5</w:t>
            </w:r>
          </w:p>
        </w:tc>
        <w:tc>
          <w:tcPr>
            <w:tcW w:w="592" w:type="pct"/>
            <w:vAlign w:val="center"/>
          </w:tcPr>
          <w:p w:rsidR="003F7740" w:rsidRPr="0066263B" w:rsidRDefault="003F7740"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w:t>
            </w:r>
          </w:p>
        </w:tc>
        <w:tc>
          <w:tcPr>
            <w:tcW w:w="1525" w:type="pct"/>
            <w:shd w:val="clear" w:color="auto" w:fill="auto"/>
            <w:vAlign w:val="center"/>
          </w:tcPr>
          <w:p w:rsidR="003F7740" w:rsidRPr="0066263B" w:rsidRDefault="003F7740"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-40,06</w:t>
            </w:r>
          </w:p>
        </w:tc>
      </w:tr>
      <w:tr w:rsidR="003F7740" w:rsidRPr="0066263B" w:rsidTr="00BC233A">
        <w:tc>
          <w:tcPr>
            <w:tcW w:w="1699" w:type="pct"/>
          </w:tcPr>
          <w:p w:rsidR="003F7740" w:rsidRPr="0066263B" w:rsidRDefault="003F7740"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Паразитологические</w:t>
            </w:r>
          </w:p>
        </w:tc>
        <w:tc>
          <w:tcPr>
            <w:tcW w:w="59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w:t>
            </w:r>
          </w:p>
        </w:tc>
        <w:tc>
          <w:tcPr>
            <w:tcW w:w="59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w:t>
            </w:r>
          </w:p>
        </w:tc>
        <w:tc>
          <w:tcPr>
            <w:tcW w:w="592" w:type="pct"/>
            <w:vAlign w:val="center"/>
          </w:tcPr>
          <w:p w:rsidR="003F7740" w:rsidRPr="0066263B" w:rsidRDefault="003F7740"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1525" w:type="pct"/>
            <w:shd w:val="clear" w:color="auto" w:fill="auto"/>
            <w:vAlign w:val="center"/>
          </w:tcPr>
          <w:p w:rsidR="003F7740" w:rsidRPr="0066263B" w:rsidRDefault="003F7740"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-61,30</w:t>
            </w:r>
          </w:p>
        </w:tc>
      </w:tr>
    </w:tbl>
    <w:p w:rsidR="0096529E" w:rsidRPr="0066263B" w:rsidRDefault="0096529E" w:rsidP="002F1CA3">
      <w:pPr>
        <w:spacing w:before="0" w:after="0"/>
        <w:ind w:firstLine="709"/>
        <w:rPr>
          <w:rFonts w:ascii="Times New Roman" w:eastAsia="Times New Roman" w:hAnsi="Times New Roman" w:cs="Times New Roman"/>
          <w:sz w:val="24"/>
          <w:szCs w:val="24"/>
          <w:lang w:eastAsia="ru-RU"/>
        </w:rPr>
      </w:pPr>
    </w:p>
    <w:p w:rsidR="00417806" w:rsidRPr="0066263B" w:rsidRDefault="00417806" w:rsidP="0041780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Таким образом, отмечается улучшение качества почвы по микробиологическим и санитарно-химическим показателям. Вместе с тем, по паразитологическим показателям – резкое ухудшение.</w:t>
      </w:r>
    </w:p>
    <w:p w:rsidR="00417806" w:rsidRPr="0066263B" w:rsidRDefault="00417806" w:rsidP="002F1CA3">
      <w:pPr>
        <w:spacing w:before="0" w:after="0"/>
        <w:ind w:firstLine="709"/>
        <w:rPr>
          <w:rFonts w:ascii="Times New Roman" w:eastAsia="Times New Roman" w:hAnsi="Times New Roman" w:cs="Times New Roman"/>
          <w:sz w:val="24"/>
          <w:szCs w:val="24"/>
          <w:lang w:eastAsia="ru-RU"/>
        </w:rPr>
      </w:pPr>
    </w:p>
    <w:p w:rsidR="001F63A5" w:rsidRPr="0066263B" w:rsidRDefault="001F63A5">
      <w:pPr>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br w:type="page"/>
      </w:r>
    </w:p>
    <w:p w:rsidR="001F63A5" w:rsidRPr="0066263B" w:rsidRDefault="001F63A5" w:rsidP="00324483">
      <w:pPr>
        <w:spacing w:before="0" w:after="0"/>
        <w:ind w:firstLine="709"/>
        <w:rPr>
          <w:rFonts w:ascii="Times New Roman" w:eastAsia="Times New Roman" w:hAnsi="Times New Roman" w:cs="Times New Roman"/>
          <w:bCs/>
          <w:sz w:val="24"/>
          <w:szCs w:val="24"/>
          <w:lang w:eastAsia="ru-RU"/>
        </w:rPr>
      </w:pPr>
    </w:p>
    <w:p w:rsidR="00324483" w:rsidRPr="0066263B" w:rsidRDefault="00324483" w:rsidP="00324483">
      <w:pPr>
        <w:spacing w:before="0" w:after="0"/>
        <w:jc w:val="center"/>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noProof/>
          <w:sz w:val="24"/>
          <w:szCs w:val="24"/>
          <w:lang w:eastAsia="ru-RU"/>
        </w:rPr>
        <w:drawing>
          <wp:inline distT="0" distB="0" distL="0" distR="0">
            <wp:extent cx="5956814" cy="3292898"/>
            <wp:effectExtent l="0" t="0" r="0" b="0"/>
            <wp:docPr id="150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F1B1B" w:rsidRPr="0066263B" w:rsidRDefault="009F1B1B"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31</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Доля проб почвы не соответствующих гигиеническим нормативам, %</w:t>
      </w:r>
    </w:p>
    <w:p w:rsidR="00546F46" w:rsidRPr="0066263B" w:rsidRDefault="00546F46" w:rsidP="00321B30">
      <w:pPr>
        <w:spacing w:before="0" w:after="0"/>
        <w:ind w:firstLine="709"/>
        <w:rPr>
          <w:rFonts w:ascii="Times New Roman" w:eastAsia="Times New Roman" w:hAnsi="Times New Roman" w:cs="Times New Roman"/>
          <w:bCs/>
          <w:sz w:val="24"/>
          <w:szCs w:val="24"/>
          <w:lang w:eastAsia="ru-RU"/>
        </w:rPr>
      </w:pPr>
    </w:p>
    <w:p w:rsidR="009F1B1B" w:rsidRPr="0066263B" w:rsidRDefault="009F1B1B" w:rsidP="00321B30">
      <w:pPr>
        <w:spacing w:before="0" w:after="0"/>
        <w:ind w:firstLine="709"/>
        <w:rPr>
          <w:rFonts w:ascii="Times New Roman" w:eastAsia="Times New Roman" w:hAnsi="Times New Roman" w:cs="Times New Roman"/>
          <w:bCs/>
          <w:sz w:val="24"/>
          <w:szCs w:val="24"/>
          <w:lang w:eastAsia="ru-RU"/>
        </w:rPr>
      </w:pPr>
    </w:p>
    <w:p w:rsidR="009F1B1B" w:rsidRPr="0066263B" w:rsidRDefault="009F1B1B" w:rsidP="00321B30">
      <w:pPr>
        <w:spacing w:before="0" w:after="0"/>
        <w:ind w:firstLine="709"/>
        <w:rPr>
          <w:rFonts w:ascii="Times New Roman" w:eastAsia="Times New Roman" w:hAnsi="Times New Roman" w:cs="Times New Roman"/>
          <w:bCs/>
          <w:sz w:val="24"/>
          <w:szCs w:val="24"/>
          <w:lang w:eastAsia="ru-RU"/>
        </w:rPr>
      </w:pPr>
    </w:p>
    <w:p w:rsidR="00DC2A2C" w:rsidRPr="0066263B" w:rsidRDefault="00417806" w:rsidP="00DC2A2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ходе проведённого анализа результатов исследований по административным территориям Брянской области установлено, что в 2021 году пробы почвы, не соответствующие гигиеническим нормативам по санитарно-химическим показателям, отмечаются в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Брянске</w:t>
      </w:r>
      <w:r w:rsidR="00DC2A2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по микробиологическим показателям (превышающим среднеобластной показатель – 4,5%) – на территориях г. Брянска, Брянского, Дятьковского, Клинцовского, Красногорского, Навлинского, Севского и Трубчевского районов</w:t>
      </w:r>
      <w:r w:rsidR="00DC2A2C" w:rsidRPr="0066263B">
        <w:rPr>
          <w:rFonts w:ascii="Times New Roman" w:eastAsia="Times New Roman" w:hAnsi="Times New Roman" w:cs="Times New Roman"/>
          <w:sz w:val="24"/>
          <w:szCs w:val="24"/>
          <w:lang w:eastAsia="ru-RU"/>
        </w:rPr>
        <w:t xml:space="preserve">; по паразитологическим показателям (превышающим среднеобластной показатель – 1,2%) – на территориях </w:t>
      </w:r>
      <w:proofErr w:type="gramStart"/>
      <w:r w:rsidR="00DC2A2C" w:rsidRPr="0066263B">
        <w:rPr>
          <w:rFonts w:ascii="Times New Roman" w:eastAsia="Times New Roman" w:hAnsi="Times New Roman" w:cs="Times New Roman"/>
          <w:sz w:val="24"/>
          <w:szCs w:val="24"/>
          <w:lang w:eastAsia="ru-RU"/>
        </w:rPr>
        <w:t>г</w:t>
      </w:r>
      <w:proofErr w:type="gramEnd"/>
      <w:r w:rsidR="00DC2A2C" w:rsidRPr="0066263B">
        <w:rPr>
          <w:rFonts w:ascii="Times New Roman" w:eastAsia="Times New Roman" w:hAnsi="Times New Roman" w:cs="Times New Roman"/>
          <w:sz w:val="24"/>
          <w:szCs w:val="24"/>
          <w:lang w:eastAsia="ru-RU"/>
        </w:rPr>
        <w:t>.г. Брянска, Клинцы, Брянского, Красногорского, Навлинского и Новозыбковского районов.</w:t>
      </w:r>
    </w:p>
    <w:p w:rsidR="001F63A5" w:rsidRPr="0066263B" w:rsidRDefault="001F63A5">
      <w:pPr>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br w:type="page"/>
      </w:r>
    </w:p>
    <w:p w:rsidR="001F63A5" w:rsidRPr="0066263B" w:rsidRDefault="001F63A5" w:rsidP="00321B30">
      <w:pPr>
        <w:spacing w:before="0" w:after="0"/>
        <w:ind w:firstLine="709"/>
        <w:rPr>
          <w:rFonts w:ascii="Times New Roman" w:eastAsia="Times New Roman" w:hAnsi="Times New Roman" w:cs="Times New Roman"/>
          <w:bCs/>
          <w:sz w:val="24"/>
          <w:szCs w:val="24"/>
          <w:lang w:eastAsia="ru-RU"/>
        </w:rPr>
      </w:pPr>
    </w:p>
    <w:p w:rsidR="00324483" w:rsidRPr="0066263B" w:rsidRDefault="003702B6" w:rsidP="00324483">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445000" cy="3856909"/>
            <wp:effectExtent l="19050" t="0" r="0" b="0"/>
            <wp:docPr id="5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9" cstate="print"/>
                    <a:srcRect/>
                    <a:stretch>
                      <a:fillRect/>
                    </a:stretch>
                  </pic:blipFill>
                  <pic:spPr bwMode="auto">
                    <a:xfrm>
                      <a:off x="0" y="0"/>
                      <a:ext cx="4443819" cy="3855884"/>
                    </a:xfrm>
                    <a:prstGeom prst="rect">
                      <a:avLst/>
                    </a:prstGeom>
                    <a:noFill/>
                    <a:ln w="9525">
                      <a:noFill/>
                      <a:miter lim="800000"/>
                      <a:headEnd/>
                      <a:tailEnd/>
                    </a:ln>
                  </pic:spPr>
                </pic:pic>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32</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почвы с превышением гигиенических нормативов по микробиологическим показателям</w:t>
      </w:r>
    </w:p>
    <w:p w:rsidR="001F63A5" w:rsidRPr="0066263B" w:rsidRDefault="001F63A5" w:rsidP="00324483">
      <w:pPr>
        <w:spacing w:before="0" w:after="0"/>
        <w:jc w:val="center"/>
        <w:rPr>
          <w:rFonts w:ascii="Times New Roman" w:eastAsia="Times New Roman" w:hAnsi="Times New Roman" w:cs="Times New Roman"/>
          <w:lang w:eastAsia="ru-RU"/>
        </w:rPr>
      </w:pPr>
    </w:p>
    <w:p w:rsidR="001F63A5" w:rsidRPr="0066263B" w:rsidRDefault="001F63A5" w:rsidP="00324483">
      <w:pPr>
        <w:spacing w:before="0" w:after="0"/>
        <w:jc w:val="center"/>
        <w:rPr>
          <w:rFonts w:ascii="Times New Roman" w:eastAsia="Times New Roman" w:hAnsi="Times New Roman" w:cs="Times New Roman"/>
          <w:lang w:eastAsia="ru-RU"/>
        </w:rPr>
      </w:pPr>
    </w:p>
    <w:p w:rsidR="00324483" w:rsidRPr="0066263B" w:rsidRDefault="003702B6" w:rsidP="00324483">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393930" cy="3803650"/>
            <wp:effectExtent l="19050" t="0" r="6620" b="0"/>
            <wp:docPr id="5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0" cstate="print"/>
                    <a:srcRect/>
                    <a:stretch>
                      <a:fillRect/>
                    </a:stretch>
                  </pic:blipFill>
                  <pic:spPr bwMode="auto">
                    <a:xfrm>
                      <a:off x="0" y="0"/>
                      <a:ext cx="4393009" cy="3802852"/>
                    </a:xfrm>
                    <a:prstGeom prst="rect">
                      <a:avLst/>
                    </a:prstGeom>
                    <a:noFill/>
                    <a:ln w="9525">
                      <a:noFill/>
                      <a:miter lim="800000"/>
                      <a:headEnd/>
                      <a:tailEnd/>
                    </a:ln>
                  </pic:spPr>
                </pic:pic>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33</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проб почвы с превышением гигиенических нормативов по паразитологическим показателям</w:t>
      </w:r>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lastRenderedPageBreak/>
        <w:t>Гигиеническая характеристика почвы в селитебной зоне</w:t>
      </w:r>
    </w:p>
    <w:p w:rsidR="00324483" w:rsidRPr="0066263B" w:rsidRDefault="00324483" w:rsidP="00324483">
      <w:pPr>
        <w:spacing w:before="0" w:after="0"/>
        <w:ind w:firstLine="708"/>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В 20</w:t>
      </w:r>
      <w:r w:rsidR="004F7562" w:rsidRPr="0066263B">
        <w:rPr>
          <w:rFonts w:ascii="Times New Roman" w:eastAsia="Times New Roman" w:hAnsi="Times New Roman" w:cs="Times New Roman"/>
          <w:bCs/>
          <w:sz w:val="24"/>
          <w:szCs w:val="24"/>
          <w:lang w:eastAsia="ru-RU"/>
        </w:rPr>
        <w:t>2</w:t>
      </w:r>
      <w:r w:rsidR="00DC2A2C" w:rsidRPr="0066263B">
        <w:rPr>
          <w:rFonts w:ascii="Times New Roman" w:eastAsia="Times New Roman" w:hAnsi="Times New Roman" w:cs="Times New Roman"/>
          <w:bCs/>
          <w:sz w:val="24"/>
          <w:szCs w:val="24"/>
          <w:lang w:eastAsia="ru-RU"/>
        </w:rPr>
        <w:t>1</w:t>
      </w:r>
      <w:r w:rsidRPr="0066263B">
        <w:rPr>
          <w:rFonts w:ascii="Times New Roman" w:eastAsia="Times New Roman" w:hAnsi="Times New Roman" w:cs="Times New Roman"/>
          <w:bCs/>
          <w:sz w:val="24"/>
          <w:szCs w:val="24"/>
          <w:lang w:eastAsia="ru-RU"/>
        </w:rPr>
        <w:t xml:space="preserve"> году </w:t>
      </w:r>
      <w:r w:rsidR="00DC2A2C" w:rsidRPr="0066263B">
        <w:rPr>
          <w:rFonts w:ascii="Times New Roman" w:eastAsia="Times New Roman" w:hAnsi="Times New Roman" w:cs="Times New Roman"/>
          <w:bCs/>
          <w:sz w:val="24"/>
          <w:szCs w:val="24"/>
          <w:lang w:eastAsia="ru-RU"/>
        </w:rPr>
        <w:t xml:space="preserve">отобрано и </w:t>
      </w:r>
      <w:r w:rsidRPr="0066263B">
        <w:rPr>
          <w:rFonts w:ascii="Times New Roman" w:eastAsia="Times New Roman" w:hAnsi="Times New Roman" w:cs="Times New Roman"/>
          <w:bCs/>
          <w:sz w:val="24"/>
          <w:szCs w:val="24"/>
          <w:lang w:eastAsia="ru-RU"/>
        </w:rPr>
        <w:t>исследовано</w:t>
      </w:r>
      <w:r w:rsidR="00DC2A2C" w:rsidRPr="0066263B">
        <w:rPr>
          <w:rFonts w:ascii="Times New Roman" w:eastAsia="Times New Roman" w:hAnsi="Times New Roman" w:cs="Times New Roman"/>
          <w:bCs/>
          <w:sz w:val="24"/>
          <w:szCs w:val="24"/>
          <w:lang w:eastAsia="ru-RU"/>
        </w:rPr>
        <w:t xml:space="preserve"> 1 288 проб почвы в селитебной зоне</w:t>
      </w:r>
      <w:r w:rsidRPr="0066263B">
        <w:rPr>
          <w:rFonts w:ascii="Times New Roman" w:eastAsia="Times New Roman" w:hAnsi="Times New Roman" w:cs="Times New Roman"/>
          <w:bCs/>
          <w:sz w:val="24"/>
          <w:szCs w:val="24"/>
          <w:lang w:eastAsia="ru-RU"/>
        </w:rPr>
        <w:t>:</w:t>
      </w:r>
    </w:p>
    <w:p w:rsidR="00324483" w:rsidRPr="0066263B" w:rsidRDefault="004F7562"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3</w:t>
      </w:r>
      <w:r w:rsidR="00DC2A2C" w:rsidRPr="0066263B">
        <w:rPr>
          <w:rFonts w:ascii="Times New Roman" w:eastAsia="Times New Roman" w:hAnsi="Times New Roman" w:cs="Times New Roman"/>
          <w:sz w:val="24"/>
          <w:szCs w:val="24"/>
          <w:lang w:eastAsia="ru-RU"/>
        </w:rPr>
        <w:t>11</w:t>
      </w:r>
      <w:r w:rsidR="00324483" w:rsidRPr="0066263B">
        <w:rPr>
          <w:rFonts w:ascii="Times New Roman" w:eastAsia="Times New Roman" w:hAnsi="Times New Roman" w:cs="Times New Roman"/>
          <w:sz w:val="24"/>
          <w:szCs w:val="24"/>
          <w:lang w:eastAsia="ru-RU"/>
        </w:rPr>
        <w:t xml:space="preserve"> проб почвы на санитарно-химические показатели, </w:t>
      </w:r>
      <w:r w:rsidR="00DC2A2C" w:rsidRPr="0066263B">
        <w:rPr>
          <w:rFonts w:ascii="Times New Roman" w:eastAsia="Times New Roman" w:hAnsi="Times New Roman" w:cs="Times New Roman"/>
          <w:sz w:val="24"/>
          <w:szCs w:val="24"/>
          <w:lang w:eastAsia="ru-RU"/>
        </w:rPr>
        <w:t xml:space="preserve">несоответствий не обнаружено </w:t>
      </w:r>
      <w:r w:rsidR="00324483" w:rsidRPr="0066263B">
        <w:rPr>
          <w:rFonts w:ascii="Times New Roman" w:eastAsia="Times New Roman" w:hAnsi="Times New Roman" w:cs="Times New Roman"/>
          <w:sz w:val="24"/>
          <w:szCs w:val="24"/>
          <w:lang w:eastAsia="ru-RU"/>
        </w:rPr>
        <w:t>(</w:t>
      </w:r>
      <w:r w:rsidR="00DC2A2C" w:rsidRPr="0066263B">
        <w:rPr>
          <w:rFonts w:ascii="Times New Roman" w:eastAsia="Times New Roman" w:hAnsi="Times New Roman" w:cs="Times New Roman"/>
          <w:sz w:val="24"/>
          <w:szCs w:val="24"/>
          <w:lang w:eastAsia="ru-RU"/>
        </w:rPr>
        <w:t xml:space="preserve">2020 – 3,6%; </w:t>
      </w:r>
      <w:r w:rsidRPr="0066263B">
        <w:rPr>
          <w:rFonts w:ascii="Times New Roman" w:eastAsia="Times New Roman" w:hAnsi="Times New Roman" w:cs="Times New Roman"/>
          <w:sz w:val="24"/>
          <w:szCs w:val="24"/>
          <w:lang w:eastAsia="ru-RU"/>
        </w:rPr>
        <w:t xml:space="preserve">2019 – 0,8%; </w:t>
      </w:r>
      <w:r w:rsidR="00324483" w:rsidRPr="0066263B">
        <w:rPr>
          <w:rFonts w:ascii="Times New Roman" w:eastAsia="Times New Roman" w:hAnsi="Times New Roman" w:cs="Times New Roman"/>
          <w:sz w:val="24"/>
          <w:szCs w:val="24"/>
          <w:lang w:eastAsia="ru-RU"/>
        </w:rPr>
        <w:t>2018 – 1,1%</w:t>
      </w:r>
      <w:r w:rsidR="00DC2A2C" w:rsidRPr="0066263B">
        <w:rPr>
          <w:rFonts w:ascii="Times New Roman" w:eastAsia="Times New Roman" w:hAnsi="Times New Roman" w:cs="Times New Roman"/>
          <w:sz w:val="24"/>
          <w:szCs w:val="24"/>
          <w:lang w:eastAsia="ru-RU"/>
        </w:rPr>
        <w:t>; РФ 2020 – 4,76%</w:t>
      </w:r>
      <w:r w:rsidR="00324483" w:rsidRPr="0066263B">
        <w:rPr>
          <w:rFonts w:ascii="Times New Roman" w:eastAsia="Times New Roman" w:hAnsi="Times New Roman" w:cs="Times New Roman"/>
          <w:sz w:val="24"/>
          <w:szCs w:val="24"/>
          <w:lang w:eastAsia="ru-RU"/>
        </w:rPr>
        <w:t>);</w:t>
      </w:r>
    </w:p>
    <w:p w:rsidR="00324483" w:rsidRPr="0066263B" w:rsidRDefault="00DC2A2C"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464</w:t>
      </w:r>
      <w:r w:rsidR="00324483" w:rsidRPr="0066263B">
        <w:rPr>
          <w:rFonts w:ascii="Times New Roman" w:eastAsia="Times New Roman" w:hAnsi="Times New Roman" w:cs="Times New Roman"/>
          <w:sz w:val="24"/>
          <w:szCs w:val="24"/>
          <w:lang w:eastAsia="ru-RU"/>
        </w:rPr>
        <w:t xml:space="preserve"> проб</w:t>
      </w:r>
      <w:r w:rsidRPr="0066263B">
        <w:rPr>
          <w:rFonts w:ascii="Times New Roman" w:eastAsia="Times New Roman" w:hAnsi="Times New Roman" w:cs="Times New Roman"/>
          <w:sz w:val="24"/>
          <w:szCs w:val="24"/>
          <w:lang w:eastAsia="ru-RU"/>
        </w:rPr>
        <w:t>ы</w:t>
      </w:r>
      <w:r w:rsidR="00324483" w:rsidRPr="0066263B">
        <w:rPr>
          <w:rFonts w:ascii="Times New Roman" w:eastAsia="Times New Roman" w:hAnsi="Times New Roman" w:cs="Times New Roman"/>
          <w:sz w:val="24"/>
          <w:szCs w:val="24"/>
          <w:lang w:eastAsia="ru-RU"/>
        </w:rPr>
        <w:t xml:space="preserve"> почвы на микробиологические показатели, из них </w:t>
      </w:r>
      <w:r w:rsidRPr="0066263B">
        <w:rPr>
          <w:rFonts w:ascii="Times New Roman" w:eastAsia="Times New Roman" w:hAnsi="Times New Roman" w:cs="Times New Roman"/>
          <w:sz w:val="24"/>
          <w:szCs w:val="24"/>
          <w:lang w:eastAsia="ru-RU"/>
        </w:rPr>
        <w:t>17</w:t>
      </w:r>
      <w:r w:rsidR="00324483" w:rsidRPr="0066263B">
        <w:rPr>
          <w:rFonts w:ascii="Times New Roman" w:eastAsia="Times New Roman" w:hAnsi="Times New Roman" w:cs="Times New Roman"/>
          <w:sz w:val="24"/>
          <w:szCs w:val="24"/>
          <w:lang w:eastAsia="ru-RU"/>
        </w:rPr>
        <w:t xml:space="preserve"> проб не соответствовали гигиеническим нормативам, что составило </w:t>
      </w:r>
      <w:r w:rsidRPr="0066263B">
        <w:rPr>
          <w:rFonts w:ascii="Times New Roman" w:eastAsia="Times New Roman" w:hAnsi="Times New Roman" w:cs="Times New Roman"/>
          <w:sz w:val="24"/>
          <w:szCs w:val="24"/>
          <w:lang w:eastAsia="ru-RU"/>
        </w:rPr>
        <w:t>3,6</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6,5%; </w:t>
      </w:r>
      <w:r w:rsidR="004F7562" w:rsidRPr="0066263B">
        <w:rPr>
          <w:rFonts w:ascii="Times New Roman" w:eastAsia="Times New Roman" w:hAnsi="Times New Roman" w:cs="Times New Roman"/>
          <w:sz w:val="24"/>
          <w:szCs w:val="24"/>
          <w:lang w:eastAsia="ru-RU"/>
        </w:rPr>
        <w:t xml:space="preserve">2019 – 6,0%; </w:t>
      </w:r>
      <w:r w:rsidR="00324483" w:rsidRPr="0066263B">
        <w:rPr>
          <w:rFonts w:ascii="Times New Roman" w:eastAsia="Times New Roman" w:hAnsi="Times New Roman" w:cs="Times New Roman"/>
          <w:sz w:val="24"/>
          <w:szCs w:val="24"/>
          <w:lang w:eastAsia="ru-RU"/>
        </w:rPr>
        <w:t>2018 – 4,4%</w:t>
      </w:r>
      <w:r w:rsidRPr="0066263B">
        <w:rPr>
          <w:rFonts w:ascii="Times New Roman" w:eastAsia="Times New Roman" w:hAnsi="Times New Roman" w:cs="Times New Roman"/>
          <w:sz w:val="24"/>
          <w:szCs w:val="24"/>
          <w:lang w:eastAsia="ru-RU"/>
        </w:rPr>
        <w:t>; РФ 2020 – 5,52%</w:t>
      </w:r>
      <w:r w:rsidR="00324483" w:rsidRPr="0066263B">
        <w:rPr>
          <w:rFonts w:ascii="Times New Roman" w:eastAsia="Times New Roman" w:hAnsi="Times New Roman" w:cs="Times New Roman"/>
          <w:sz w:val="24"/>
          <w:szCs w:val="24"/>
          <w:lang w:eastAsia="ru-RU"/>
        </w:rPr>
        <w:t>);</w:t>
      </w:r>
    </w:p>
    <w:p w:rsidR="00324483" w:rsidRPr="0066263B" w:rsidRDefault="00DC2A2C"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513</w:t>
      </w:r>
      <w:r w:rsidR="00324483" w:rsidRPr="0066263B">
        <w:rPr>
          <w:rFonts w:ascii="Times New Roman" w:eastAsia="Times New Roman" w:hAnsi="Times New Roman" w:cs="Times New Roman"/>
          <w:sz w:val="24"/>
          <w:szCs w:val="24"/>
          <w:lang w:eastAsia="ru-RU"/>
        </w:rPr>
        <w:t xml:space="preserve"> проб почвы на паразитологические показатели, из них </w:t>
      </w:r>
      <w:r w:rsidRPr="0066263B">
        <w:rPr>
          <w:rFonts w:ascii="Times New Roman" w:eastAsia="Times New Roman" w:hAnsi="Times New Roman" w:cs="Times New Roman"/>
          <w:sz w:val="24"/>
          <w:szCs w:val="24"/>
          <w:lang w:eastAsia="ru-RU"/>
        </w:rPr>
        <w:t>8</w:t>
      </w:r>
      <w:r w:rsidR="00324483" w:rsidRPr="0066263B">
        <w:rPr>
          <w:rFonts w:ascii="Times New Roman" w:eastAsia="Times New Roman" w:hAnsi="Times New Roman" w:cs="Times New Roman"/>
          <w:sz w:val="24"/>
          <w:szCs w:val="24"/>
          <w:lang w:eastAsia="ru-RU"/>
        </w:rPr>
        <w:t xml:space="preserve"> проб не соответствовали гигиеническим нормативам, что составило </w:t>
      </w:r>
      <w:r w:rsidRPr="0066263B">
        <w:rPr>
          <w:rFonts w:ascii="Times New Roman" w:eastAsia="Times New Roman" w:hAnsi="Times New Roman" w:cs="Times New Roman"/>
          <w:sz w:val="24"/>
          <w:szCs w:val="24"/>
          <w:lang w:eastAsia="ru-RU"/>
        </w:rPr>
        <w:t>1</w:t>
      </w:r>
      <w:r w:rsidR="00BF5132" w:rsidRPr="0066263B">
        <w:rPr>
          <w:rFonts w:ascii="Times New Roman" w:eastAsia="Times New Roman" w:hAnsi="Times New Roman" w:cs="Times New Roman"/>
          <w:sz w:val="24"/>
          <w:szCs w:val="24"/>
          <w:lang w:eastAsia="ru-RU"/>
        </w:rPr>
        <w:t>,6</w:t>
      </w:r>
      <w:r w:rsidR="0032448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2020 – 0,6%; </w:t>
      </w:r>
      <w:r w:rsidR="004F7562" w:rsidRPr="0066263B">
        <w:rPr>
          <w:rFonts w:ascii="Times New Roman" w:eastAsia="Times New Roman" w:hAnsi="Times New Roman" w:cs="Times New Roman"/>
          <w:sz w:val="24"/>
          <w:szCs w:val="24"/>
          <w:lang w:eastAsia="ru-RU"/>
        </w:rPr>
        <w:t xml:space="preserve">2019 – 2,2%; </w:t>
      </w:r>
      <w:r w:rsidR="00324483" w:rsidRPr="0066263B">
        <w:rPr>
          <w:rFonts w:ascii="Times New Roman" w:eastAsia="Times New Roman" w:hAnsi="Times New Roman" w:cs="Times New Roman"/>
          <w:sz w:val="24"/>
          <w:szCs w:val="24"/>
          <w:lang w:eastAsia="ru-RU"/>
        </w:rPr>
        <w:t>2018 – 1,2%</w:t>
      </w:r>
      <w:r w:rsidRPr="0066263B">
        <w:rPr>
          <w:rFonts w:ascii="Times New Roman" w:eastAsia="Times New Roman" w:hAnsi="Times New Roman" w:cs="Times New Roman"/>
          <w:sz w:val="24"/>
          <w:szCs w:val="24"/>
          <w:lang w:eastAsia="ru-RU"/>
        </w:rPr>
        <w:t>; РФ 2020 – 0,82%</w:t>
      </w:r>
      <w:r w:rsidR="00324483" w:rsidRPr="0066263B">
        <w:rPr>
          <w:rFonts w:ascii="Times New Roman" w:eastAsia="Times New Roman" w:hAnsi="Times New Roman" w:cs="Times New Roman"/>
          <w:sz w:val="24"/>
          <w:szCs w:val="24"/>
          <w:lang w:eastAsia="ru-RU"/>
        </w:rPr>
        <w:t>) (табл. 2</w:t>
      </w:r>
      <w:r w:rsidR="00222578" w:rsidRPr="0066263B">
        <w:rPr>
          <w:rFonts w:ascii="Times New Roman" w:eastAsia="Times New Roman" w:hAnsi="Times New Roman" w:cs="Times New Roman"/>
          <w:sz w:val="24"/>
          <w:szCs w:val="24"/>
          <w:lang w:eastAsia="ru-RU"/>
        </w:rPr>
        <w:t>7</w:t>
      </w:r>
      <w:r w:rsidR="00324483"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27</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почвы, не соответствующих гигиеническим нормативам в селитебной зоне, %</w:t>
      </w:r>
    </w:p>
    <w:p w:rsidR="00324483" w:rsidRPr="0066263B" w:rsidRDefault="00324483" w:rsidP="00324483">
      <w:pPr>
        <w:spacing w:before="0" w:after="0"/>
        <w:jc w:val="center"/>
        <w:rPr>
          <w:rFonts w:ascii="Times New Roman" w:eastAsia="TimesNewRomanPS-BoldMT" w:hAnsi="Times New Roman" w:cs="Times New Roman"/>
          <w:b/>
          <w:bCs/>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1038"/>
        <w:gridCol w:w="1037"/>
        <w:gridCol w:w="1037"/>
        <w:gridCol w:w="2833"/>
      </w:tblGrid>
      <w:tr w:rsidR="00DC2A2C" w:rsidRPr="0066263B" w:rsidTr="003F7740">
        <w:trPr>
          <w:trHeight w:val="279"/>
        </w:trPr>
        <w:tc>
          <w:tcPr>
            <w:tcW w:w="1722" w:type="pct"/>
            <w:vAlign w:val="center"/>
          </w:tcPr>
          <w:p w:rsidR="00DC2A2C" w:rsidRPr="0066263B" w:rsidRDefault="00DC2A2C" w:rsidP="00324483">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Исследуемые показатели</w:t>
            </w:r>
          </w:p>
        </w:tc>
        <w:tc>
          <w:tcPr>
            <w:tcW w:w="572" w:type="pct"/>
            <w:vAlign w:val="center"/>
          </w:tcPr>
          <w:p w:rsidR="00DC2A2C" w:rsidRPr="0066263B" w:rsidRDefault="00DC2A2C" w:rsidP="00BC233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2019</w:t>
            </w:r>
          </w:p>
        </w:tc>
        <w:tc>
          <w:tcPr>
            <w:tcW w:w="572" w:type="pct"/>
            <w:vAlign w:val="center"/>
          </w:tcPr>
          <w:p w:rsidR="00DC2A2C" w:rsidRPr="0066263B" w:rsidRDefault="00DC2A2C" w:rsidP="00BC233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2020</w:t>
            </w:r>
          </w:p>
        </w:tc>
        <w:tc>
          <w:tcPr>
            <w:tcW w:w="572" w:type="pct"/>
            <w:vAlign w:val="center"/>
          </w:tcPr>
          <w:p w:rsidR="00DC2A2C" w:rsidRPr="0066263B" w:rsidRDefault="00DC2A2C" w:rsidP="003E7CEE">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2021</w:t>
            </w:r>
          </w:p>
        </w:tc>
        <w:tc>
          <w:tcPr>
            <w:tcW w:w="1562" w:type="pct"/>
          </w:tcPr>
          <w:p w:rsidR="00DC2A2C" w:rsidRPr="0066263B" w:rsidRDefault="00DC2A2C" w:rsidP="00DC2A2C">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Темп прироста к 2019</w:t>
            </w:r>
            <w:r w:rsidRPr="0066263B">
              <w:rPr>
                <w:rFonts w:ascii="Times New Roman" w:eastAsia="Times New Roman" w:hAnsi="Times New Roman" w:cs="Times New Roman"/>
                <w:b/>
                <w:i/>
                <w:lang w:eastAsia="ru-RU"/>
              </w:rPr>
              <w:t>, %</w:t>
            </w:r>
          </w:p>
        </w:tc>
      </w:tr>
      <w:tr w:rsidR="003F7740" w:rsidRPr="0066263B" w:rsidTr="003F7740">
        <w:tc>
          <w:tcPr>
            <w:tcW w:w="1722" w:type="pct"/>
            <w:vAlign w:val="center"/>
          </w:tcPr>
          <w:p w:rsidR="003F7740" w:rsidRPr="0066263B" w:rsidRDefault="003F7740"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Санитарно-химические</w:t>
            </w:r>
          </w:p>
        </w:tc>
        <w:tc>
          <w:tcPr>
            <w:tcW w:w="57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w:t>
            </w:r>
          </w:p>
        </w:tc>
        <w:tc>
          <w:tcPr>
            <w:tcW w:w="57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w:t>
            </w:r>
          </w:p>
        </w:tc>
        <w:tc>
          <w:tcPr>
            <w:tcW w:w="572" w:type="pct"/>
            <w:vAlign w:val="center"/>
          </w:tcPr>
          <w:p w:rsidR="003F7740" w:rsidRPr="0066263B" w:rsidRDefault="003F7740"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562" w:type="pct"/>
            <w:shd w:val="clear" w:color="auto" w:fill="auto"/>
            <w:vAlign w:val="center"/>
          </w:tcPr>
          <w:p w:rsidR="003F7740" w:rsidRPr="0066263B" w:rsidRDefault="003F7740"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r>
      <w:tr w:rsidR="003F7740" w:rsidRPr="0066263B" w:rsidTr="003F7740">
        <w:tc>
          <w:tcPr>
            <w:tcW w:w="1722" w:type="pct"/>
          </w:tcPr>
          <w:p w:rsidR="003F7740" w:rsidRPr="0066263B" w:rsidRDefault="003F7740"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Микробиологические</w:t>
            </w:r>
          </w:p>
        </w:tc>
        <w:tc>
          <w:tcPr>
            <w:tcW w:w="57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w:t>
            </w:r>
          </w:p>
        </w:tc>
        <w:tc>
          <w:tcPr>
            <w:tcW w:w="57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6,5</w:t>
            </w:r>
          </w:p>
        </w:tc>
        <w:tc>
          <w:tcPr>
            <w:tcW w:w="572" w:type="pct"/>
            <w:vAlign w:val="center"/>
          </w:tcPr>
          <w:p w:rsidR="003F7740" w:rsidRPr="0066263B" w:rsidRDefault="003F7740"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w:t>
            </w:r>
          </w:p>
        </w:tc>
        <w:tc>
          <w:tcPr>
            <w:tcW w:w="1562" w:type="pct"/>
            <w:shd w:val="clear" w:color="auto" w:fill="auto"/>
            <w:vAlign w:val="center"/>
          </w:tcPr>
          <w:p w:rsidR="003F7740" w:rsidRPr="0066263B" w:rsidRDefault="003F7740"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w:t>
            </w:r>
          </w:p>
        </w:tc>
      </w:tr>
      <w:tr w:rsidR="003F7740" w:rsidRPr="0066263B" w:rsidTr="003F7740">
        <w:tc>
          <w:tcPr>
            <w:tcW w:w="1722" w:type="pct"/>
          </w:tcPr>
          <w:p w:rsidR="003F7740" w:rsidRPr="0066263B" w:rsidRDefault="003F7740"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Паразитологические</w:t>
            </w:r>
          </w:p>
        </w:tc>
        <w:tc>
          <w:tcPr>
            <w:tcW w:w="57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c>
          <w:tcPr>
            <w:tcW w:w="572" w:type="pct"/>
            <w:vAlign w:val="center"/>
          </w:tcPr>
          <w:p w:rsidR="003F7740" w:rsidRPr="0066263B" w:rsidRDefault="003F7740"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w:t>
            </w:r>
          </w:p>
        </w:tc>
        <w:tc>
          <w:tcPr>
            <w:tcW w:w="572" w:type="pct"/>
            <w:vAlign w:val="center"/>
          </w:tcPr>
          <w:p w:rsidR="003F7740" w:rsidRPr="0066263B" w:rsidRDefault="003F7740" w:rsidP="003E7CE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w:t>
            </w:r>
          </w:p>
        </w:tc>
        <w:tc>
          <w:tcPr>
            <w:tcW w:w="1562" w:type="pct"/>
            <w:shd w:val="clear" w:color="auto" w:fill="auto"/>
            <w:vAlign w:val="center"/>
          </w:tcPr>
          <w:p w:rsidR="003F7740" w:rsidRPr="0066263B" w:rsidRDefault="003F7740"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-27,28</w:t>
            </w:r>
          </w:p>
        </w:tc>
      </w:tr>
    </w:tbl>
    <w:p w:rsidR="00324483" w:rsidRDefault="00324483" w:rsidP="00324483">
      <w:pPr>
        <w:spacing w:before="0" w:after="0"/>
        <w:ind w:firstLine="709"/>
        <w:rPr>
          <w:rFonts w:ascii="Times New Roman" w:eastAsia="Times New Roman" w:hAnsi="Times New Roman" w:cs="Times New Roman"/>
          <w:bCs/>
          <w:sz w:val="24"/>
          <w:szCs w:val="24"/>
          <w:lang w:eastAsia="ru-RU"/>
        </w:rPr>
      </w:pPr>
    </w:p>
    <w:p w:rsidR="00C50843" w:rsidRPr="0066263B" w:rsidRDefault="00C50843" w:rsidP="00324483">
      <w:pPr>
        <w:spacing w:before="0" w:after="0"/>
        <w:ind w:firstLine="709"/>
        <w:rPr>
          <w:rFonts w:ascii="Times New Roman" w:eastAsia="Times New Roman" w:hAnsi="Times New Roman" w:cs="Times New Roman"/>
          <w:bCs/>
          <w:sz w:val="24"/>
          <w:szCs w:val="24"/>
          <w:lang w:eastAsia="ru-RU"/>
        </w:rPr>
      </w:pPr>
    </w:p>
    <w:p w:rsidR="00E35072" w:rsidRPr="0066263B" w:rsidRDefault="00E35072" w:rsidP="00E35072">
      <w:pPr>
        <w:spacing w:before="0" w:after="0"/>
        <w:ind w:firstLine="709"/>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В 2021 году наблюдается существенное снижение доли проб почвы, не соответствующих гигиеническим нормативам по санитарно-химическим и микробиологическим показателям, но в тоже время наблюдается более чем в 2 раза увеличение доли проб почвы, не соответствующей гигиеническим нормативам по паразитологическим показателям.</w:t>
      </w:r>
    </w:p>
    <w:p w:rsidR="00E35072" w:rsidRDefault="00E35072" w:rsidP="00324483">
      <w:pPr>
        <w:spacing w:before="0" w:after="0"/>
        <w:ind w:firstLine="709"/>
        <w:rPr>
          <w:rFonts w:ascii="Times New Roman" w:eastAsia="Times New Roman" w:hAnsi="Times New Roman" w:cs="Times New Roman"/>
          <w:bCs/>
          <w:sz w:val="24"/>
          <w:szCs w:val="24"/>
          <w:lang w:eastAsia="ru-RU"/>
        </w:rPr>
      </w:pPr>
    </w:p>
    <w:p w:rsidR="00C50843" w:rsidRPr="0066263B" w:rsidRDefault="00C50843" w:rsidP="00324483">
      <w:pPr>
        <w:spacing w:before="0" w:after="0"/>
        <w:ind w:firstLine="709"/>
        <w:rPr>
          <w:rFonts w:ascii="Times New Roman" w:eastAsia="Times New Roman" w:hAnsi="Times New Roman" w:cs="Times New Roman"/>
          <w:bCs/>
          <w:sz w:val="24"/>
          <w:szCs w:val="24"/>
          <w:lang w:eastAsia="ru-RU"/>
        </w:rPr>
      </w:pPr>
    </w:p>
    <w:p w:rsidR="00324483" w:rsidRPr="0066263B" w:rsidRDefault="00324483" w:rsidP="00324483">
      <w:pPr>
        <w:spacing w:before="0" w:after="0"/>
        <w:jc w:val="center"/>
        <w:outlineLvl w:val="1"/>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noProof/>
          <w:sz w:val="24"/>
          <w:szCs w:val="24"/>
          <w:lang w:eastAsia="ru-RU"/>
        </w:rPr>
        <w:drawing>
          <wp:inline distT="0" distB="0" distL="0" distR="0">
            <wp:extent cx="5734821" cy="2917624"/>
            <wp:effectExtent l="0" t="0" r="0" b="0"/>
            <wp:docPr id="73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24483" w:rsidRDefault="00324483" w:rsidP="00324483">
      <w:pPr>
        <w:spacing w:before="0" w:after="0"/>
        <w:jc w:val="center"/>
        <w:rPr>
          <w:rFonts w:ascii="Times New Roman" w:eastAsia="Calibri" w:hAnsi="Times New Roman" w:cs="Times New Roman"/>
          <w:b/>
          <w:bCs/>
        </w:rPr>
      </w:pPr>
    </w:p>
    <w:p w:rsidR="00C50843" w:rsidRPr="0066263B" w:rsidRDefault="00C50843"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34</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Доля проб почвы в селитебной зоне с превышением гигиенических нормативов, %</w:t>
      </w:r>
    </w:p>
    <w:p w:rsidR="003702B6" w:rsidRPr="0066263B" w:rsidRDefault="003702B6"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3702B6" w:rsidRPr="0066263B" w:rsidRDefault="003702B6" w:rsidP="00324483">
      <w:pPr>
        <w:spacing w:before="0" w:after="0"/>
        <w:ind w:firstLine="709"/>
        <w:rPr>
          <w:rFonts w:ascii="Times New Roman" w:eastAsia="Times New Roman" w:hAnsi="Times New Roman" w:cs="Times New Roman"/>
          <w:sz w:val="24"/>
          <w:szCs w:val="24"/>
          <w:lang w:eastAsia="ru-RU"/>
        </w:rPr>
      </w:pPr>
    </w:p>
    <w:p w:rsidR="003702B6" w:rsidRPr="0066263B" w:rsidRDefault="003702B6" w:rsidP="003702B6">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413250" cy="3784870"/>
            <wp:effectExtent l="19050" t="0" r="6350" b="0"/>
            <wp:docPr id="5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2" cstate="print"/>
                    <a:srcRect/>
                    <a:stretch>
                      <a:fillRect/>
                    </a:stretch>
                  </pic:blipFill>
                  <pic:spPr bwMode="auto">
                    <a:xfrm>
                      <a:off x="0" y="0"/>
                      <a:ext cx="4416593" cy="3787737"/>
                    </a:xfrm>
                    <a:prstGeom prst="rect">
                      <a:avLst/>
                    </a:prstGeom>
                    <a:noFill/>
                    <a:ln w="9525">
                      <a:noFill/>
                      <a:miter lim="800000"/>
                      <a:headEnd/>
                      <a:tailEnd/>
                    </a:ln>
                  </pic:spPr>
                </pic:pic>
              </a:graphicData>
            </a:graphic>
          </wp:inline>
        </w:drawing>
      </w:r>
    </w:p>
    <w:p w:rsidR="003702B6" w:rsidRPr="0066263B" w:rsidRDefault="003702B6" w:rsidP="003702B6">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35</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 xml:space="preserve">Территориальное распределение по доле проб почвы </w:t>
      </w:r>
      <w:r w:rsidR="00765A82" w:rsidRPr="0066263B">
        <w:rPr>
          <w:rFonts w:ascii="Times New Roman" w:eastAsia="Times New Roman" w:hAnsi="Times New Roman" w:cs="Times New Roman"/>
          <w:lang w:eastAsia="ru-RU"/>
        </w:rPr>
        <w:t xml:space="preserve">в селитебной зоне </w:t>
      </w:r>
      <w:r w:rsidRPr="0066263B">
        <w:rPr>
          <w:rFonts w:ascii="Times New Roman" w:eastAsia="Times New Roman" w:hAnsi="Times New Roman" w:cs="Times New Roman"/>
          <w:lang w:eastAsia="ru-RU"/>
        </w:rPr>
        <w:t xml:space="preserve">с превышением гигиенических нормативов по </w:t>
      </w:r>
      <w:r w:rsidR="00765A82" w:rsidRPr="0066263B">
        <w:rPr>
          <w:rFonts w:ascii="Times New Roman" w:eastAsia="Times New Roman" w:hAnsi="Times New Roman" w:cs="Times New Roman"/>
          <w:lang w:eastAsia="ru-RU"/>
        </w:rPr>
        <w:t xml:space="preserve">микробиологическим </w:t>
      </w:r>
      <w:r w:rsidRPr="0066263B">
        <w:rPr>
          <w:rFonts w:ascii="Times New Roman" w:eastAsia="Times New Roman" w:hAnsi="Times New Roman" w:cs="Times New Roman"/>
          <w:lang w:eastAsia="ru-RU"/>
        </w:rPr>
        <w:t>показателям</w:t>
      </w:r>
    </w:p>
    <w:p w:rsidR="003702B6" w:rsidRPr="0066263B" w:rsidRDefault="003702B6"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3702B6" w:rsidRPr="0066263B" w:rsidRDefault="00765A82" w:rsidP="003702B6">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664319" cy="3895329"/>
            <wp:effectExtent l="19050" t="0" r="2931" b="0"/>
            <wp:docPr id="5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3" cstate="print"/>
                    <a:srcRect/>
                    <a:stretch>
                      <a:fillRect/>
                    </a:stretch>
                  </pic:blipFill>
                  <pic:spPr bwMode="auto">
                    <a:xfrm>
                      <a:off x="0" y="0"/>
                      <a:ext cx="4663528" cy="3894668"/>
                    </a:xfrm>
                    <a:prstGeom prst="rect">
                      <a:avLst/>
                    </a:prstGeom>
                    <a:noFill/>
                    <a:ln w="9525">
                      <a:noFill/>
                      <a:miter lim="800000"/>
                      <a:headEnd/>
                      <a:tailEnd/>
                    </a:ln>
                  </pic:spPr>
                </pic:pic>
              </a:graphicData>
            </a:graphic>
          </wp:inline>
        </w:drawing>
      </w:r>
    </w:p>
    <w:p w:rsidR="003702B6" w:rsidRPr="0066263B" w:rsidRDefault="003702B6" w:rsidP="003702B6">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36</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 xml:space="preserve">Территориальное распределение по доле проб почвы </w:t>
      </w:r>
      <w:r w:rsidR="00765A82" w:rsidRPr="0066263B">
        <w:rPr>
          <w:rFonts w:ascii="Times New Roman" w:eastAsia="Times New Roman" w:hAnsi="Times New Roman" w:cs="Times New Roman"/>
          <w:lang w:eastAsia="ru-RU"/>
        </w:rPr>
        <w:t xml:space="preserve">селитебной зоне </w:t>
      </w:r>
      <w:r w:rsidRPr="0066263B">
        <w:rPr>
          <w:rFonts w:ascii="Times New Roman" w:eastAsia="Times New Roman" w:hAnsi="Times New Roman" w:cs="Times New Roman"/>
          <w:lang w:eastAsia="ru-RU"/>
        </w:rPr>
        <w:t>с превышением гигиенических нормативов по паразитологическим показателям</w:t>
      </w:r>
    </w:p>
    <w:p w:rsidR="00BF5132" w:rsidRPr="0066263B" w:rsidRDefault="00BF5132" w:rsidP="00324483">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lastRenderedPageBreak/>
        <w:t xml:space="preserve">В ходе проведённого анализа результатов исследований по административным территориям Брянской области установлено, что </w:t>
      </w:r>
      <w:r w:rsidR="00620119" w:rsidRPr="0066263B">
        <w:rPr>
          <w:rFonts w:ascii="Times New Roman" w:eastAsia="Times New Roman" w:hAnsi="Times New Roman" w:cs="Times New Roman"/>
          <w:sz w:val="24"/>
          <w:szCs w:val="24"/>
          <w:lang w:eastAsia="ru-RU"/>
        </w:rPr>
        <w:t>в 202</w:t>
      </w:r>
      <w:r w:rsidR="00E35072" w:rsidRPr="0066263B">
        <w:rPr>
          <w:rFonts w:ascii="Times New Roman" w:eastAsia="Times New Roman" w:hAnsi="Times New Roman" w:cs="Times New Roman"/>
          <w:sz w:val="24"/>
          <w:szCs w:val="24"/>
          <w:lang w:eastAsia="ru-RU"/>
        </w:rPr>
        <w:t>1</w:t>
      </w:r>
      <w:r w:rsidR="00620119" w:rsidRPr="0066263B">
        <w:rPr>
          <w:rFonts w:ascii="Times New Roman" w:eastAsia="Times New Roman" w:hAnsi="Times New Roman" w:cs="Times New Roman"/>
          <w:sz w:val="24"/>
          <w:szCs w:val="24"/>
          <w:lang w:eastAsia="ru-RU"/>
        </w:rPr>
        <w:t xml:space="preserve"> году превышение гигиенических нормативов по </w:t>
      </w:r>
      <w:r w:rsidR="00E35072" w:rsidRPr="0066263B">
        <w:rPr>
          <w:rFonts w:ascii="Times New Roman" w:eastAsia="Times New Roman" w:hAnsi="Times New Roman" w:cs="Times New Roman"/>
          <w:sz w:val="24"/>
          <w:szCs w:val="24"/>
          <w:lang w:eastAsia="ru-RU"/>
        </w:rPr>
        <w:t xml:space="preserve">микробиологическим </w:t>
      </w:r>
      <w:r w:rsidR="00620119" w:rsidRPr="0066263B">
        <w:rPr>
          <w:rFonts w:ascii="Times New Roman" w:eastAsia="Times New Roman" w:hAnsi="Times New Roman" w:cs="Times New Roman"/>
          <w:sz w:val="24"/>
          <w:szCs w:val="24"/>
          <w:lang w:eastAsia="ru-RU"/>
        </w:rPr>
        <w:t xml:space="preserve">в пробах почвы в селитебной зоне, и превышающих среднеобластной показатель (3,6%) отмечается </w:t>
      </w:r>
      <w:r w:rsidRPr="0066263B">
        <w:rPr>
          <w:rFonts w:ascii="Times New Roman" w:eastAsia="Times New Roman" w:hAnsi="Times New Roman" w:cs="Times New Roman"/>
          <w:sz w:val="24"/>
          <w:szCs w:val="24"/>
          <w:lang w:eastAsia="ru-RU"/>
        </w:rPr>
        <w:t>на территори</w:t>
      </w:r>
      <w:r w:rsidR="00E35072" w:rsidRPr="0066263B">
        <w:rPr>
          <w:rFonts w:ascii="Times New Roman" w:eastAsia="Times New Roman" w:hAnsi="Times New Roman" w:cs="Times New Roman"/>
          <w:sz w:val="24"/>
          <w:szCs w:val="24"/>
          <w:lang w:eastAsia="ru-RU"/>
        </w:rPr>
        <w:t>ях</w:t>
      </w:r>
      <w:r w:rsidRPr="0066263B">
        <w:rPr>
          <w:rFonts w:ascii="Times New Roman" w:eastAsia="Times New Roman" w:hAnsi="Times New Roman" w:cs="Times New Roman"/>
          <w:sz w:val="24"/>
          <w:szCs w:val="24"/>
          <w:lang w:eastAsia="ru-RU"/>
        </w:rPr>
        <w:t xml:space="preserve"> г. </w:t>
      </w:r>
      <w:r w:rsidR="00E35072" w:rsidRPr="0066263B">
        <w:rPr>
          <w:rFonts w:ascii="Times New Roman" w:eastAsia="Times New Roman" w:hAnsi="Times New Roman" w:cs="Times New Roman"/>
          <w:sz w:val="24"/>
          <w:szCs w:val="24"/>
          <w:lang w:eastAsia="ru-RU"/>
        </w:rPr>
        <w:t>Клинцы,</w:t>
      </w:r>
      <w:r w:rsidRPr="0066263B">
        <w:rPr>
          <w:rFonts w:ascii="Times New Roman" w:eastAsia="Times New Roman" w:hAnsi="Times New Roman" w:cs="Times New Roman"/>
          <w:sz w:val="24"/>
          <w:szCs w:val="24"/>
          <w:lang w:eastAsia="ru-RU"/>
        </w:rPr>
        <w:t xml:space="preserve"> </w:t>
      </w:r>
      <w:r w:rsidR="00E35072" w:rsidRPr="0066263B">
        <w:rPr>
          <w:rFonts w:ascii="Times New Roman" w:eastAsia="Times New Roman" w:hAnsi="Times New Roman" w:cs="Times New Roman"/>
          <w:sz w:val="24"/>
          <w:szCs w:val="24"/>
          <w:lang w:eastAsia="ru-RU"/>
        </w:rPr>
        <w:t>Дятьковского, Клинцовского, Красногорского,</w:t>
      </w:r>
      <w:r w:rsidRPr="0066263B">
        <w:rPr>
          <w:rFonts w:ascii="Times New Roman" w:eastAsia="Times New Roman" w:hAnsi="Times New Roman" w:cs="Times New Roman"/>
          <w:sz w:val="24"/>
          <w:szCs w:val="24"/>
          <w:lang w:eastAsia="ru-RU"/>
        </w:rPr>
        <w:t xml:space="preserve"> </w:t>
      </w:r>
      <w:r w:rsidR="00E35072" w:rsidRPr="0066263B">
        <w:rPr>
          <w:rFonts w:ascii="Times New Roman" w:eastAsia="Times New Roman" w:hAnsi="Times New Roman" w:cs="Times New Roman"/>
          <w:sz w:val="24"/>
          <w:szCs w:val="24"/>
          <w:lang w:eastAsia="ru-RU"/>
        </w:rPr>
        <w:t xml:space="preserve">Севского, </w:t>
      </w:r>
      <w:r w:rsidRPr="0066263B">
        <w:rPr>
          <w:rFonts w:ascii="Times New Roman" w:eastAsia="Times New Roman" w:hAnsi="Times New Roman" w:cs="Times New Roman"/>
          <w:sz w:val="24"/>
          <w:szCs w:val="24"/>
          <w:lang w:eastAsia="ru-RU"/>
        </w:rPr>
        <w:t xml:space="preserve">Навлинского </w:t>
      </w:r>
      <w:r w:rsidR="00E35072" w:rsidRPr="0066263B">
        <w:rPr>
          <w:rFonts w:ascii="Times New Roman" w:eastAsia="Times New Roman" w:hAnsi="Times New Roman" w:cs="Times New Roman"/>
          <w:sz w:val="24"/>
          <w:szCs w:val="24"/>
          <w:lang w:eastAsia="ru-RU"/>
        </w:rPr>
        <w:t xml:space="preserve">и Трубчевского </w:t>
      </w:r>
      <w:r w:rsidRPr="0066263B">
        <w:rPr>
          <w:rFonts w:ascii="Times New Roman" w:eastAsia="Times New Roman" w:hAnsi="Times New Roman" w:cs="Times New Roman"/>
          <w:sz w:val="24"/>
          <w:szCs w:val="24"/>
          <w:lang w:eastAsia="ru-RU"/>
        </w:rPr>
        <w:t>района.</w:t>
      </w:r>
      <w:proofErr w:type="gramEnd"/>
    </w:p>
    <w:p w:rsidR="00324483" w:rsidRPr="0066263B" w:rsidRDefault="00DD396E" w:rsidP="00DD396E">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территориях: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xml:space="preserve">.г. Брянска, Клинцы, Брянского, </w:t>
      </w:r>
      <w:r w:rsidR="00E35072" w:rsidRPr="0066263B">
        <w:rPr>
          <w:rFonts w:ascii="Times New Roman" w:eastAsia="Times New Roman" w:hAnsi="Times New Roman" w:cs="Times New Roman"/>
          <w:sz w:val="24"/>
          <w:szCs w:val="24"/>
          <w:lang w:eastAsia="ru-RU"/>
        </w:rPr>
        <w:t xml:space="preserve">Красногорского, </w:t>
      </w:r>
      <w:r w:rsidRPr="0066263B">
        <w:rPr>
          <w:rFonts w:ascii="Times New Roman" w:eastAsia="Times New Roman" w:hAnsi="Times New Roman" w:cs="Times New Roman"/>
          <w:sz w:val="24"/>
          <w:szCs w:val="24"/>
          <w:lang w:eastAsia="ru-RU"/>
        </w:rPr>
        <w:t xml:space="preserve">Навлинского </w:t>
      </w:r>
      <w:r w:rsidR="00E35072" w:rsidRPr="0066263B">
        <w:rPr>
          <w:rFonts w:ascii="Times New Roman" w:eastAsia="Times New Roman" w:hAnsi="Times New Roman" w:cs="Times New Roman"/>
          <w:sz w:val="24"/>
          <w:szCs w:val="24"/>
          <w:lang w:eastAsia="ru-RU"/>
        </w:rPr>
        <w:t xml:space="preserve">и Новозыбковского </w:t>
      </w:r>
      <w:r w:rsidRPr="0066263B">
        <w:rPr>
          <w:rFonts w:ascii="Times New Roman" w:eastAsia="Times New Roman" w:hAnsi="Times New Roman" w:cs="Times New Roman"/>
          <w:sz w:val="24"/>
          <w:szCs w:val="24"/>
          <w:lang w:eastAsia="ru-RU"/>
        </w:rPr>
        <w:t xml:space="preserve">районов – наибольшая доля проб почвы, не соответствующих гигиеническим нормативам в селитебной зоне по </w:t>
      </w:r>
      <w:r w:rsidR="00E35072" w:rsidRPr="0066263B">
        <w:rPr>
          <w:rFonts w:ascii="Times New Roman" w:eastAsia="Times New Roman" w:hAnsi="Times New Roman" w:cs="Times New Roman"/>
          <w:sz w:val="24"/>
          <w:szCs w:val="24"/>
          <w:lang w:eastAsia="ru-RU"/>
        </w:rPr>
        <w:t xml:space="preserve">паразитологическим </w:t>
      </w:r>
      <w:r w:rsidRPr="0066263B">
        <w:rPr>
          <w:rFonts w:ascii="Times New Roman" w:eastAsia="Times New Roman" w:hAnsi="Times New Roman" w:cs="Times New Roman"/>
          <w:sz w:val="24"/>
          <w:szCs w:val="24"/>
          <w:lang w:eastAsia="ru-RU"/>
        </w:rPr>
        <w:t>показателям</w:t>
      </w:r>
      <w:r w:rsidR="00E35072" w:rsidRPr="0066263B">
        <w:rPr>
          <w:rFonts w:ascii="Times New Roman" w:eastAsia="Times New Roman" w:hAnsi="Times New Roman" w:cs="Times New Roman"/>
          <w:sz w:val="24"/>
          <w:szCs w:val="24"/>
          <w:lang w:eastAsia="ru-RU"/>
        </w:rPr>
        <w:t xml:space="preserve"> и</w:t>
      </w:r>
      <w:r w:rsidRPr="0066263B">
        <w:rPr>
          <w:rFonts w:ascii="Times New Roman" w:eastAsia="Times New Roman" w:hAnsi="Times New Roman" w:cs="Times New Roman"/>
          <w:sz w:val="24"/>
          <w:szCs w:val="24"/>
          <w:lang w:eastAsia="ru-RU"/>
        </w:rPr>
        <w:t xml:space="preserve"> превышающая среднеобластной показатель (</w:t>
      </w:r>
      <w:r w:rsidR="00E35072" w:rsidRPr="0066263B">
        <w:rPr>
          <w:rFonts w:ascii="Times New Roman" w:eastAsia="Times New Roman" w:hAnsi="Times New Roman" w:cs="Times New Roman"/>
          <w:sz w:val="24"/>
          <w:szCs w:val="24"/>
          <w:lang w:eastAsia="ru-RU"/>
        </w:rPr>
        <w:t>1,6</w:t>
      </w:r>
      <w:r w:rsidRPr="0066263B">
        <w:rPr>
          <w:rFonts w:ascii="Times New Roman" w:eastAsia="Times New Roman" w:hAnsi="Times New Roman" w:cs="Times New Roman"/>
          <w:sz w:val="24"/>
          <w:szCs w:val="24"/>
          <w:lang w:eastAsia="ru-RU"/>
        </w:rPr>
        <w:t>%).</w:t>
      </w:r>
    </w:p>
    <w:p w:rsidR="00E35072" w:rsidRPr="0066263B" w:rsidRDefault="00E35072" w:rsidP="00DD396E">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Гигиеническая характеристика почвы на территории детских</w:t>
      </w:r>
    </w:p>
    <w:p w:rsidR="00324483" w:rsidRPr="0066263B" w:rsidRDefault="00324483" w:rsidP="00324483">
      <w:pPr>
        <w:spacing w:before="0" w:after="0"/>
        <w:ind w:left="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учреждений и детских площадок</w:t>
      </w:r>
    </w:p>
    <w:p w:rsidR="00324483" w:rsidRPr="0066263B" w:rsidRDefault="00324483" w:rsidP="00324483">
      <w:pPr>
        <w:spacing w:before="0" w:after="0"/>
        <w:ind w:firstLine="709"/>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В 20</w:t>
      </w:r>
      <w:r w:rsidR="00DD396E" w:rsidRPr="0066263B">
        <w:rPr>
          <w:rFonts w:ascii="Times New Roman" w:eastAsia="Times New Roman" w:hAnsi="Times New Roman" w:cs="Times New Roman"/>
          <w:bCs/>
          <w:sz w:val="24"/>
          <w:szCs w:val="24"/>
          <w:lang w:eastAsia="ru-RU"/>
        </w:rPr>
        <w:t>2</w:t>
      </w:r>
      <w:r w:rsidR="00E35072" w:rsidRPr="0066263B">
        <w:rPr>
          <w:rFonts w:ascii="Times New Roman" w:eastAsia="Times New Roman" w:hAnsi="Times New Roman" w:cs="Times New Roman"/>
          <w:bCs/>
          <w:sz w:val="24"/>
          <w:szCs w:val="24"/>
          <w:lang w:eastAsia="ru-RU"/>
        </w:rPr>
        <w:t>1</w:t>
      </w:r>
      <w:r w:rsidRPr="0066263B">
        <w:rPr>
          <w:rFonts w:ascii="Times New Roman" w:eastAsia="Times New Roman" w:hAnsi="Times New Roman" w:cs="Times New Roman"/>
          <w:bCs/>
          <w:sz w:val="24"/>
          <w:szCs w:val="24"/>
          <w:lang w:eastAsia="ru-RU"/>
        </w:rPr>
        <w:t xml:space="preserve"> году всего отобрано и исследовано </w:t>
      </w:r>
      <w:r w:rsidR="00C0681F" w:rsidRPr="0066263B">
        <w:rPr>
          <w:rFonts w:ascii="Times New Roman" w:eastAsia="Times New Roman" w:hAnsi="Times New Roman" w:cs="Times New Roman"/>
          <w:bCs/>
          <w:sz w:val="24"/>
          <w:szCs w:val="24"/>
          <w:lang w:eastAsia="ru-RU"/>
        </w:rPr>
        <w:t xml:space="preserve">808 </w:t>
      </w:r>
      <w:r w:rsidRPr="0066263B">
        <w:rPr>
          <w:rFonts w:ascii="Times New Roman" w:eastAsia="Times New Roman" w:hAnsi="Times New Roman" w:cs="Times New Roman"/>
          <w:bCs/>
          <w:sz w:val="24"/>
          <w:szCs w:val="24"/>
          <w:lang w:eastAsia="ru-RU"/>
        </w:rPr>
        <w:t>проб почвы на территории детских организаций и детских площадок:</w:t>
      </w:r>
    </w:p>
    <w:p w:rsidR="00324483" w:rsidRPr="0066263B" w:rsidRDefault="00C0681F"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w:t>
      </w:r>
      <w:r w:rsidR="00324483" w:rsidRPr="0066263B">
        <w:rPr>
          <w:rFonts w:ascii="Times New Roman" w:eastAsia="Times New Roman" w:hAnsi="Times New Roman" w:cs="Times New Roman"/>
          <w:sz w:val="24"/>
          <w:szCs w:val="24"/>
          <w:lang w:eastAsia="ru-RU"/>
        </w:rPr>
        <w:t xml:space="preserve"> санитарно-химически</w:t>
      </w:r>
      <w:r w:rsidRPr="0066263B">
        <w:rPr>
          <w:rFonts w:ascii="Times New Roman" w:eastAsia="Times New Roman" w:hAnsi="Times New Roman" w:cs="Times New Roman"/>
          <w:sz w:val="24"/>
          <w:szCs w:val="24"/>
          <w:lang w:eastAsia="ru-RU"/>
        </w:rPr>
        <w:t>е</w:t>
      </w:r>
      <w:r w:rsidR="00324483" w:rsidRPr="0066263B">
        <w:rPr>
          <w:rFonts w:ascii="Times New Roman" w:eastAsia="Times New Roman" w:hAnsi="Times New Roman" w:cs="Times New Roman"/>
          <w:sz w:val="24"/>
          <w:szCs w:val="24"/>
          <w:lang w:eastAsia="ru-RU"/>
        </w:rPr>
        <w:t xml:space="preserve"> показател</w:t>
      </w:r>
      <w:r w:rsidRPr="0066263B">
        <w:rPr>
          <w:rFonts w:ascii="Times New Roman" w:eastAsia="Times New Roman" w:hAnsi="Times New Roman" w:cs="Times New Roman"/>
          <w:sz w:val="24"/>
          <w:szCs w:val="24"/>
          <w:lang w:eastAsia="ru-RU"/>
        </w:rPr>
        <w:t>и</w:t>
      </w:r>
      <w:r w:rsidR="00324483" w:rsidRPr="0066263B">
        <w:rPr>
          <w:rFonts w:ascii="Times New Roman" w:eastAsia="Times New Roman" w:hAnsi="Times New Roman" w:cs="Times New Roman"/>
          <w:sz w:val="24"/>
          <w:szCs w:val="24"/>
          <w:lang w:eastAsia="ru-RU"/>
        </w:rPr>
        <w:t xml:space="preserve"> – </w:t>
      </w:r>
      <w:r w:rsidR="002F1CA3" w:rsidRPr="0066263B">
        <w:rPr>
          <w:rFonts w:ascii="Times New Roman" w:eastAsia="Times New Roman" w:hAnsi="Times New Roman" w:cs="Times New Roman"/>
          <w:sz w:val="24"/>
          <w:szCs w:val="24"/>
          <w:lang w:eastAsia="ru-RU"/>
        </w:rPr>
        <w:t>1</w:t>
      </w:r>
      <w:r w:rsidR="00E35072" w:rsidRPr="0066263B">
        <w:rPr>
          <w:rFonts w:ascii="Times New Roman" w:eastAsia="Times New Roman" w:hAnsi="Times New Roman" w:cs="Times New Roman"/>
          <w:sz w:val="24"/>
          <w:szCs w:val="24"/>
          <w:lang w:eastAsia="ru-RU"/>
        </w:rPr>
        <w:t>92</w:t>
      </w:r>
      <w:r w:rsidR="00324483" w:rsidRPr="0066263B">
        <w:rPr>
          <w:rFonts w:ascii="Times New Roman" w:eastAsia="Times New Roman" w:hAnsi="Times New Roman" w:cs="Times New Roman"/>
          <w:sz w:val="24"/>
          <w:szCs w:val="24"/>
          <w:lang w:eastAsia="ru-RU"/>
        </w:rPr>
        <w:t xml:space="preserve"> проб</w:t>
      </w:r>
      <w:r w:rsidR="00E35072" w:rsidRPr="0066263B">
        <w:rPr>
          <w:rFonts w:ascii="Times New Roman" w:eastAsia="Times New Roman" w:hAnsi="Times New Roman" w:cs="Times New Roman"/>
          <w:sz w:val="24"/>
          <w:szCs w:val="24"/>
          <w:lang w:eastAsia="ru-RU"/>
        </w:rPr>
        <w:t>ы</w:t>
      </w:r>
      <w:r w:rsidR="00324483" w:rsidRPr="0066263B">
        <w:rPr>
          <w:rFonts w:ascii="Times New Roman" w:eastAsia="Times New Roman" w:hAnsi="Times New Roman" w:cs="Times New Roman"/>
          <w:sz w:val="24"/>
          <w:szCs w:val="24"/>
          <w:lang w:eastAsia="ru-RU"/>
        </w:rPr>
        <w:t xml:space="preserve">, </w:t>
      </w:r>
      <w:r w:rsidR="00E35072" w:rsidRPr="0066263B">
        <w:rPr>
          <w:rFonts w:ascii="Times New Roman" w:eastAsia="Times New Roman" w:hAnsi="Times New Roman" w:cs="Times New Roman"/>
          <w:sz w:val="24"/>
          <w:szCs w:val="24"/>
          <w:lang w:eastAsia="ru-RU"/>
        </w:rPr>
        <w:t>несоответствий не выявлено</w:t>
      </w:r>
      <w:r w:rsidR="00324483" w:rsidRPr="0066263B">
        <w:rPr>
          <w:rFonts w:ascii="Times New Roman" w:eastAsia="Times New Roman" w:hAnsi="Times New Roman" w:cs="Times New Roman"/>
          <w:sz w:val="24"/>
          <w:szCs w:val="24"/>
          <w:lang w:eastAsia="ru-RU"/>
        </w:rPr>
        <w:t xml:space="preserve"> (</w:t>
      </w:r>
      <w:r w:rsidR="00E35072" w:rsidRPr="0066263B">
        <w:rPr>
          <w:rFonts w:ascii="Times New Roman" w:eastAsia="Times New Roman" w:hAnsi="Times New Roman" w:cs="Times New Roman"/>
          <w:sz w:val="24"/>
          <w:szCs w:val="24"/>
          <w:lang w:eastAsia="ru-RU"/>
        </w:rPr>
        <w:t xml:space="preserve">2020 – 1,3%; </w:t>
      </w:r>
      <w:r w:rsidR="0086273E" w:rsidRPr="0066263B">
        <w:rPr>
          <w:rFonts w:ascii="Times New Roman" w:eastAsia="Times New Roman" w:hAnsi="Times New Roman" w:cs="Times New Roman"/>
          <w:sz w:val="24"/>
          <w:szCs w:val="24"/>
          <w:lang w:eastAsia="ru-RU"/>
        </w:rPr>
        <w:t xml:space="preserve">2019 – 1,1%; </w:t>
      </w:r>
      <w:r w:rsidR="00324483" w:rsidRPr="0066263B">
        <w:rPr>
          <w:rFonts w:ascii="Times New Roman" w:eastAsia="Times New Roman" w:hAnsi="Times New Roman" w:cs="Times New Roman"/>
          <w:sz w:val="24"/>
          <w:szCs w:val="24"/>
          <w:lang w:eastAsia="ru-RU"/>
        </w:rPr>
        <w:t>2018 – 1,3%);</w:t>
      </w:r>
    </w:p>
    <w:p w:rsidR="00324483" w:rsidRPr="0066263B" w:rsidRDefault="00C0681F"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w:t>
      </w:r>
      <w:r w:rsidR="00324483" w:rsidRPr="0066263B">
        <w:rPr>
          <w:rFonts w:ascii="Times New Roman" w:eastAsia="Times New Roman" w:hAnsi="Times New Roman" w:cs="Times New Roman"/>
          <w:sz w:val="24"/>
          <w:szCs w:val="24"/>
          <w:lang w:eastAsia="ru-RU"/>
        </w:rPr>
        <w:t xml:space="preserve"> микробиологически</w:t>
      </w:r>
      <w:r w:rsidRPr="0066263B">
        <w:rPr>
          <w:rFonts w:ascii="Times New Roman" w:eastAsia="Times New Roman" w:hAnsi="Times New Roman" w:cs="Times New Roman"/>
          <w:sz w:val="24"/>
          <w:szCs w:val="24"/>
          <w:lang w:eastAsia="ru-RU"/>
        </w:rPr>
        <w:t>е</w:t>
      </w:r>
      <w:r w:rsidR="00324483" w:rsidRPr="0066263B">
        <w:rPr>
          <w:rFonts w:ascii="Times New Roman" w:eastAsia="Times New Roman" w:hAnsi="Times New Roman" w:cs="Times New Roman"/>
          <w:sz w:val="24"/>
          <w:szCs w:val="24"/>
          <w:lang w:eastAsia="ru-RU"/>
        </w:rPr>
        <w:t xml:space="preserve"> показател</w:t>
      </w:r>
      <w:r w:rsidRPr="0066263B">
        <w:rPr>
          <w:rFonts w:ascii="Times New Roman" w:eastAsia="Times New Roman" w:hAnsi="Times New Roman" w:cs="Times New Roman"/>
          <w:sz w:val="24"/>
          <w:szCs w:val="24"/>
          <w:lang w:eastAsia="ru-RU"/>
        </w:rPr>
        <w:t>и</w:t>
      </w:r>
      <w:r w:rsidR="00324483" w:rsidRPr="0066263B">
        <w:rPr>
          <w:rFonts w:ascii="Times New Roman" w:eastAsia="Times New Roman" w:hAnsi="Times New Roman" w:cs="Times New Roman"/>
          <w:sz w:val="24"/>
          <w:szCs w:val="24"/>
          <w:lang w:eastAsia="ru-RU"/>
        </w:rPr>
        <w:t xml:space="preserve"> – </w:t>
      </w:r>
      <w:r w:rsidR="00E35072" w:rsidRPr="0066263B">
        <w:rPr>
          <w:rFonts w:ascii="Times New Roman" w:eastAsia="Times New Roman" w:hAnsi="Times New Roman" w:cs="Times New Roman"/>
          <w:sz w:val="24"/>
          <w:szCs w:val="24"/>
          <w:lang w:eastAsia="ru-RU"/>
        </w:rPr>
        <w:t>289</w:t>
      </w:r>
      <w:r w:rsidR="00324483" w:rsidRPr="0066263B">
        <w:rPr>
          <w:rFonts w:ascii="Times New Roman" w:eastAsia="Times New Roman" w:hAnsi="Times New Roman" w:cs="Times New Roman"/>
          <w:sz w:val="24"/>
          <w:szCs w:val="24"/>
          <w:lang w:eastAsia="ru-RU"/>
        </w:rPr>
        <w:t xml:space="preserve"> проб, из </w:t>
      </w:r>
      <w:r w:rsidR="00620119" w:rsidRPr="0066263B">
        <w:rPr>
          <w:rFonts w:ascii="Times New Roman" w:eastAsia="Times New Roman" w:hAnsi="Times New Roman" w:cs="Times New Roman"/>
          <w:sz w:val="24"/>
          <w:szCs w:val="24"/>
          <w:lang w:eastAsia="ru-RU"/>
        </w:rPr>
        <w:t>них</w:t>
      </w:r>
      <w:r w:rsidR="00324483" w:rsidRPr="0066263B">
        <w:rPr>
          <w:rFonts w:ascii="Times New Roman" w:eastAsia="Times New Roman" w:hAnsi="Times New Roman" w:cs="Times New Roman"/>
          <w:sz w:val="24"/>
          <w:szCs w:val="24"/>
          <w:lang w:eastAsia="ru-RU"/>
        </w:rPr>
        <w:t xml:space="preserve"> </w:t>
      </w:r>
      <w:r w:rsidR="00E35072" w:rsidRPr="0066263B">
        <w:rPr>
          <w:rFonts w:ascii="Times New Roman" w:eastAsia="Times New Roman" w:hAnsi="Times New Roman" w:cs="Times New Roman"/>
          <w:sz w:val="24"/>
          <w:szCs w:val="24"/>
          <w:lang w:eastAsia="ru-RU"/>
        </w:rPr>
        <w:t>5</w:t>
      </w:r>
      <w:r w:rsidR="00324483" w:rsidRPr="0066263B">
        <w:rPr>
          <w:rFonts w:ascii="Times New Roman" w:eastAsia="Times New Roman" w:hAnsi="Times New Roman" w:cs="Times New Roman"/>
          <w:sz w:val="24"/>
          <w:szCs w:val="24"/>
          <w:lang w:eastAsia="ru-RU"/>
        </w:rPr>
        <w:t xml:space="preserve"> проб не соответствовали гигиеническим нормативам, что состав</w:t>
      </w:r>
      <w:r w:rsidR="00C50843">
        <w:rPr>
          <w:rFonts w:ascii="Times New Roman" w:eastAsia="Times New Roman" w:hAnsi="Times New Roman" w:cs="Times New Roman"/>
          <w:sz w:val="24"/>
          <w:szCs w:val="24"/>
          <w:lang w:eastAsia="ru-RU"/>
        </w:rPr>
        <w:t>ило</w:t>
      </w:r>
      <w:r w:rsidR="00324483" w:rsidRPr="0066263B">
        <w:rPr>
          <w:rFonts w:ascii="Times New Roman" w:eastAsia="Times New Roman" w:hAnsi="Times New Roman" w:cs="Times New Roman"/>
          <w:sz w:val="24"/>
          <w:szCs w:val="24"/>
          <w:lang w:eastAsia="ru-RU"/>
        </w:rPr>
        <w:t xml:space="preserve"> </w:t>
      </w:r>
      <w:r w:rsidR="00E35072" w:rsidRPr="0066263B">
        <w:rPr>
          <w:rFonts w:ascii="Times New Roman" w:eastAsia="Times New Roman" w:hAnsi="Times New Roman" w:cs="Times New Roman"/>
          <w:sz w:val="24"/>
          <w:szCs w:val="24"/>
          <w:lang w:eastAsia="ru-RU"/>
        </w:rPr>
        <w:t>1,7</w:t>
      </w:r>
      <w:r w:rsidR="00324483" w:rsidRPr="0066263B">
        <w:rPr>
          <w:rFonts w:ascii="Times New Roman" w:eastAsia="Times New Roman" w:hAnsi="Times New Roman" w:cs="Times New Roman"/>
          <w:sz w:val="24"/>
          <w:szCs w:val="24"/>
          <w:lang w:eastAsia="ru-RU"/>
        </w:rPr>
        <w:t>% (</w:t>
      </w:r>
      <w:r w:rsidR="00E35072" w:rsidRPr="0066263B">
        <w:rPr>
          <w:rFonts w:ascii="Times New Roman" w:eastAsia="Times New Roman" w:hAnsi="Times New Roman" w:cs="Times New Roman"/>
          <w:sz w:val="24"/>
          <w:szCs w:val="24"/>
          <w:lang w:eastAsia="ru-RU"/>
        </w:rPr>
        <w:t xml:space="preserve">2020 – 0,9%; </w:t>
      </w:r>
      <w:r w:rsidR="002F1CA3" w:rsidRPr="0066263B">
        <w:rPr>
          <w:rFonts w:ascii="Times New Roman" w:eastAsia="Times New Roman" w:hAnsi="Times New Roman" w:cs="Times New Roman"/>
          <w:sz w:val="24"/>
          <w:szCs w:val="24"/>
          <w:lang w:eastAsia="ru-RU"/>
        </w:rPr>
        <w:t xml:space="preserve">2019 – 2,4%; </w:t>
      </w:r>
      <w:r w:rsidR="00324483" w:rsidRPr="0066263B">
        <w:rPr>
          <w:rFonts w:ascii="Times New Roman" w:eastAsia="Times New Roman" w:hAnsi="Times New Roman" w:cs="Times New Roman"/>
          <w:sz w:val="24"/>
          <w:szCs w:val="24"/>
          <w:lang w:eastAsia="ru-RU"/>
        </w:rPr>
        <w:t>2018 – 2,5%);</w:t>
      </w:r>
    </w:p>
    <w:p w:rsidR="00324483" w:rsidRPr="0066263B" w:rsidRDefault="00C0681F" w:rsidP="00160BD2">
      <w:pPr>
        <w:numPr>
          <w:ilvl w:val="0"/>
          <w:numId w:val="25"/>
        </w:numPr>
        <w:autoSpaceDE w:val="0"/>
        <w:autoSpaceDN w:val="0"/>
        <w:adjustRightInd w:val="0"/>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w:t>
      </w:r>
      <w:r w:rsidR="00324483" w:rsidRPr="0066263B">
        <w:rPr>
          <w:rFonts w:ascii="Times New Roman" w:eastAsia="Times New Roman" w:hAnsi="Times New Roman" w:cs="Times New Roman"/>
          <w:sz w:val="24"/>
          <w:szCs w:val="24"/>
          <w:lang w:eastAsia="ru-RU"/>
        </w:rPr>
        <w:t xml:space="preserve"> паразитологически</w:t>
      </w:r>
      <w:r w:rsidRPr="0066263B">
        <w:rPr>
          <w:rFonts w:ascii="Times New Roman" w:eastAsia="Times New Roman" w:hAnsi="Times New Roman" w:cs="Times New Roman"/>
          <w:sz w:val="24"/>
          <w:szCs w:val="24"/>
          <w:lang w:eastAsia="ru-RU"/>
        </w:rPr>
        <w:t>е</w:t>
      </w:r>
      <w:r w:rsidR="00324483" w:rsidRPr="0066263B">
        <w:rPr>
          <w:rFonts w:ascii="Times New Roman" w:eastAsia="Times New Roman" w:hAnsi="Times New Roman" w:cs="Times New Roman"/>
          <w:sz w:val="24"/>
          <w:szCs w:val="24"/>
          <w:lang w:eastAsia="ru-RU"/>
        </w:rPr>
        <w:t xml:space="preserve"> показател</w:t>
      </w:r>
      <w:r w:rsidRPr="0066263B">
        <w:rPr>
          <w:rFonts w:ascii="Times New Roman" w:eastAsia="Times New Roman" w:hAnsi="Times New Roman" w:cs="Times New Roman"/>
          <w:sz w:val="24"/>
          <w:szCs w:val="24"/>
          <w:lang w:eastAsia="ru-RU"/>
        </w:rPr>
        <w:t>и</w:t>
      </w:r>
      <w:r w:rsidR="00324483"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327</w:t>
      </w:r>
      <w:r w:rsidR="00324483" w:rsidRPr="0066263B">
        <w:rPr>
          <w:rFonts w:ascii="Times New Roman" w:eastAsia="Times New Roman" w:hAnsi="Times New Roman" w:cs="Times New Roman"/>
          <w:sz w:val="24"/>
          <w:szCs w:val="24"/>
          <w:lang w:eastAsia="ru-RU"/>
        </w:rPr>
        <w:t xml:space="preserve"> проб, из них все соответствовали гигиеническим нормативам (</w:t>
      </w:r>
      <w:r w:rsidR="002F1CA3" w:rsidRPr="0066263B">
        <w:rPr>
          <w:rFonts w:ascii="Times New Roman" w:eastAsia="Times New Roman" w:hAnsi="Times New Roman" w:cs="Times New Roman"/>
          <w:sz w:val="24"/>
          <w:szCs w:val="24"/>
          <w:lang w:eastAsia="ru-RU"/>
        </w:rPr>
        <w:t>2019</w:t>
      </w:r>
      <w:r w:rsidRPr="0066263B">
        <w:rPr>
          <w:rFonts w:ascii="Times New Roman" w:eastAsia="Times New Roman" w:hAnsi="Times New Roman" w:cs="Times New Roman"/>
          <w:sz w:val="24"/>
          <w:szCs w:val="24"/>
          <w:lang w:eastAsia="ru-RU"/>
        </w:rPr>
        <w:t>-2020 г.г.</w:t>
      </w:r>
      <w:r w:rsidR="002F1CA3" w:rsidRPr="0066263B">
        <w:rPr>
          <w:rFonts w:ascii="Times New Roman" w:eastAsia="Times New Roman" w:hAnsi="Times New Roman" w:cs="Times New Roman"/>
          <w:sz w:val="24"/>
          <w:szCs w:val="24"/>
          <w:lang w:eastAsia="ru-RU"/>
        </w:rPr>
        <w:t xml:space="preserve"> – все пробы соответствовали; </w:t>
      </w:r>
      <w:r w:rsidR="00324483" w:rsidRPr="0066263B">
        <w:rPr>
          <w:rFonts w:ascii="Times New Roman" w:eastAsia="Times New Roman" w:hAnsi="Times New Roman" w:cs="Times New Roman"/>
          <w:sz w:val="24"/>
          <w:szCs w:val="24"/>
          <w:lang w:eastAsia="ru-RU"/>
        </w:rPr>
        <w:t>2018 – 0,2%) (табл. 2</w:t>
      </w:r>
      <w:r w:rsidR="00222578" w:rsidRPr="0066263B">
        <w:rPr>
          <w:rFonts w:ascii="Times New Roman" w:eastAsia="Times New Roman" w:hAnsi="Times New Roman" w:cs="Times New Roman"/>
          <w:sz w:val="24"/>
          <w:szCs w:val="24"/>
          <w:lang w:eastAsia="ru-RU"/>
        </w:rPr>
        <w:t>8</w:t>
      </w:r>
      <w:r w:rsidR="00324483" w:rsidRPr="0066263B">
        <w:rPr>
          <w:rFonts w:ascii="Times New Roman" w:eastAsia="Times New Roman" w:hAnsi="Times New Roman" w:cs="Times New Roman"/>
          <w:sz w:val="24"/>
          <w:szCs w:val="24"/>
          <w:lang w:eastAsia="ru-RU"/>
        </w:rPr>
        <w:t>).</w:t>
      </w:r>
    </w:p>
    <w:p w:rsidR="00B2489F" w:rsidRPr="0066263B" w:rsidRDefault="00B2489F" w:rsidP="00324483">
      <w:pPr>
        <w:spacing w:before="0" w:after="0"/>
        <w:ind w:firstLine="709"/>
        <w:jc w:val="right"/>
        <w:rPr>
          <w:rFonts w:ascii="Times New Roman" w:eastAsia="Calibri" w:hAnsi="Times New Roman" w:cs="Times New Roman"/>
        </w:rPr>
      </w:pPr>
    </w:p>
    <w:p w:rsidR="00324483" w:rsidRPr="0066263B" w:rsidRDefault="00324483" w:rsidP="00324483">
      <w:pPr>
        <w:spacing w:before="0" w:after="0"/>
        <w:ind w:firstLine="709"/>
        <w:jc w:val="right"/>
        <w:rPr>
          <w:rFonts w:ascii="Times New Roman" w:eastAsia="TimesNewRomanPS-BoldMT" w:hAnsi="Times New Roman" w:cs="Times New Roman"/>
          <w:bCs/>
          <w:sz w:val="24"/>
          <w:szCs w:val="24"/>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28</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NewRomanPS-BoldMT" w:hAnsi="Times New Roman" w:cs="Times New Roman"/>
          <w:b/>
          <w:bCs/>
        </w:rPr>
      </w:pPr>
      <w:r w:rsidRPr="0066263B">
        <w:rPr>
          <w:rFonts w:ascii="Times New Roman" w:eastAsia="TimesNewRomanPS-BoldMT" w:hAnsi="Times New Roman" w:cs="Times New Roman"/>
          <w:b/>
          <w:bCs/>
        </w:rPr>
        <w:t>Доля проб почвы на территории детских организаций и детских площадок,</w:t>
      </w:r>
      <w:r w:rsidRPr="0066263B">
        <w:rPr>
          <w:rFonts w:ascii="Times New Roman" w:eastAsia="TimesNewRomanPS-BoldMT" w:hAnsi="Times New Roman" w:cs="Times New Roman"/>
          <w:b/>
          <w:bCs/>
        </w:rPr>
        <w:br/>
        <w:t>не соответствующих гигиеническим нормативам в селитебной зоне, %</w:t>
      </w:r>
    </w:p>
    <w:p w:rsidR="00324483" w:rsidRPr="0066263B" w:rsidRDefault="00324483" w:rsidP="00324483">
      <w:pPr>
        <w:spacing w:before="0" w:after="0"/>
        <w:jc w:val="center"/>
        <w:rPr>
          <w:rFonts w:ascii="Times New Roman" w:eastAsia="TimesNewRomanPS-BoldMT" w:hAnsi="Times New Roman" w:cs="Times New Roman"/>
          <w:b/>
          <w:bCs/>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993"/>
        <w:gridCol w:w="993"/>
        <w:gridCol w:w="993"/>
        <w:gridCol w:w="2832"/>
      </w:tblGrid>
      <w:tr w:rsidR="009F1B1B" w:rsidRPr="0066263B" w:rsidTr="009F1B1B">
        <w:trPr>
          <w:trHeight w:val="279"/>
        </w:trPr>
        <w:tc>
          <w:tcPr>
            <w:tcW w:w="1797" w:type="pct"/>
            <w:vAlign w:val="center"/>
          </w:tcPr>
          <w:p w:rsidR="009F1B1B" w:rsidRPr="0066263B" w:rsidRDefault="009F1B1B" w:rsidP="00324483">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Исследуемые показатели</w:t>
            </w:r>
          </w:p>
        </w:tc>
        <w:tc>
          <w:tcPr>
            <w:tcW w:w="547" w:type="pct"/>
            <w:vAlign w:val="center"/>
          </w:tcPr>
          <w:p w:rsidR="009F1B1B" w:rsidRPr="0066263B" w:rsidRDefault="009F1B1B" w:rsidP="00C35F3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2019</w:t>
            </w:r>
          </w:p>
        </w:tc>
        <w:tc>
          <w:tcPr>
            <w:tcW w:w="547" w:type="pct"/>
            <w:vAlign w:val="center"/>
          </w:tcPr>
          <w:p w:rsidR="009F1B1B" w:rsidRPr="0066263B" w:rsidRDefault="009F1B1B" w:rsidP="00C35F3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2020</w:t>
            </w:r>
          </w:p>
        </w:tc>
        <w:tc>
          <w:tcPr>
            <w:tcW w:w="547" w:type="pct"/>
            <w:vAlign w:val="center"/>
          </w:tcPr>
          <w:p w:rsidR="009F1B1B" w:rsidRPr="0066263B" w:rsidRDefault="009F1B1B" w:rsidP="00C35F3A">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2021</w:t>
            </w:r>
          </w:p>
        </w:tc>
        <w:tc>
          <w:tcPr>
            <w:tcW w:w="1561" w:type="pct"/>
          </w:tcPr>
          <w:p w:rsidR="009F1B1B" w:rsidRPr="0066263B" w:rsidRDefault="009F1B1B" w:rsidP="00C0681F">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Темп прироста к 2019</w:t>
            </w:r>
            <w:r w:rsidRPr="0066263B">
              <w:rPr>
                <w:rFonts w:ascii="Times New Roman" w:eastAsia="Times New Roman" w:hAnsi="Times New Roman" w:cs="Times New Roman"/>
                <w:b/>
                <w:i/>
                <w:lang w:eastAsia="ru-RU"/>
              </w:rPr>
              <w:t>, %</w:t>
            </w:r>
          </w:p>
        </w:tc>
      </w:tr>
      <w:tr w:rsidR="009F1B1B" w:rsidRPr="0066263B" w:rsidTr="009F1B1B">
        <w:tc>
          <w:tcPr>
            <w:tcW w:w="1797" w:type="pct"/>
            <w:vAlign w:val="center"/>
          </w:tcPr>
          <w:p w:rsidR="009F1B1B" w:rsidRPr="0066263B" w:rsidRDefault="009F1B1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Санитарно-химические</w:t>
            </w:r>
          </w:p>
        </w:tc>
        <w:tc>
          <w:tcPr>
            <w:tcW w:w="547" w:type="pct"/>
            <w:vAlign w:val="center"/>
          </w:tcPr>
          <w:p w:rsidR="009F1B1B" w:rsidRPr="0066263B" w:rsidRDefault="009F1B1B"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c>
          <w:tcPr>
            <w:tcW w:w="547" w:type="pct"/>
            <w:vAlign w:val="center"/>
          </w:tcPr>
          <w:p w:rsidR="009F1B1B" w:rsidRPr="0066263B" w:rsidRDefault="009F1B1B"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547" w:type="pct"/>
            <w:vAlign w:val="center"/>
          </w:tcPr>
          <w:p w:rsidR="009F1B1B" w:rsidRPr="0066263B" w:rsidRDefault="009F1B1B"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561" w:type="pct"/>
            <w:shd w:val="clear" w:color="auto" w:fill="auto"/>
            <w:vAlign w:val="center"/>
          </w:tcPr>
          <w:p w:rsidR="009F1B1B" w:rsidRPr="0066263B" w:rsidRDefault="009F1B1B" w:rsidP="0023526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9F1B1B" w:rsidRPr="0066263B" w:rsidTr="009F1B1B">
        <w:tc>
          <w:tcPr>
            <w:tcW w:w="1797" w:type="pct"/>
          </w:tcPr>
          <w:p w:rsidR="009F1B1B" w:rsidRPr="0066263B" w:rsidRDefault="009F1B1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Микробиологические</w:t>
            </w:r>
          </w:p>
        </w:tc>
        <w:tc>
          <w:tcPr>
            <w:tcW w:w="547" w:type="pct"/>
            <w:vAlign w:val="center"/>
          </w:tcPr>
          <w:p w:rsidR="009F1B1B" w:rsidRPr="0066263B" w:rsidRDefault="009F1B1B"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w:t>
            </w:r>
          </w:p>
        </w:tc>
        <w:tc>
          <w:tcPr>
            <w:tcW w:w="547" w:type="pct"/>
            <w:vAlign w:val="center"/>
          </w:tcPr>
          <w:p w:rsidR="009F1B1B" w:rsidRPr="0066263B" w:rsidRDefault="009F1B1B"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w:t>
            </w:r>
          </w:p>
        </w:tc>
        <w:tc>
          <w:tcPr>
            <w:tcW w:w="547" w:type="pct"/>
            <w:vAlign w:val="center"/>
          </w:tcPr>
          <w:p w:rsidR="009F1B1B" w:rsidRPr="0066263B" w:rsidRDefault="009F1B1B"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w:t>
            </w:r>
          </w:p>
        </w:tc>
        <w:tc>
          <w:tcPr>
            <w:tcW w:w="1561" w:type="pct"/>
            <w:shd w:val="clear" w:color="auto" w:fill="auto"/>
            <w:vAlign w:val="center"/>
          </w:tcPr>
          <w:p w:rsidR="009F1B1B" w:rsidRPr="0066263B" w:rsidRDefault="009F1B1B" w:rsidP="007C47A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w:t>
            </w:r>
          </w:p>
        </w:tc>
      </w:tr>
      <w:tr w:rsidR="009F1B1B" w:rsidRPr="0066263B" w:rsidTr="009F1B1B">
        <w:tc>
          <w:tcPr>
            <w:tcW w:w="1797" w:type="pct"/>
          </w:tcPr>
          <w:p w:rsidR="009F1B1B" w:rsidRPr="0066263B" w:rsidRDefault="009F1B1B" w:rsidP="00324483">
            <w:pPr>
              <w:spacing w:before="20" w:after="20"/>
              <w:ind w:left="57"/>
              <w:jc w:val="left"/>
              <w:rPr>
                <w:rFonts w:ascii="Times New Roman" w:eastAsia="TimesNewRomanPSMT" w:hAnsi="Times New Roman" w:cs="Times New Roman"/>
              </w:rPr>
            </w:pPr>
            <w:r w:rsidRPr="0066263B">
              <w:rPr>
                <w:rFonts w:ascii="Times New Roman" w:eastAsia="TimesNewRomanPSMT" w:hAnsi="Times New Roman" w:cs="Times New Roman"/>
              </w:rPr>
              <w:t>Паразитологические</w:t>
            </w:r>
          </w:p>
        </w:tc>
        <w:tc>
          <w:tcPr>
            <w:tcW w:w="547" w:type="pct"/>
            <w:vAlign w:val="center"/>
          </w:tcPr>
          <w:p w:rsidR="009F1B1B" w:rsidRPr="0066263B" w:rsidRDefault="009F1B1B"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7" w:type="pct"/>
            <w:vAlign w:val="center"/>
          </w:tcPr>
          <w:p w:rsidR="009F1B1B" w:rsidRPr="0066263B" w:rsidRDefault="009F1B1B"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47" w:type="pct"/>
            <w:vAlign w:val="center"/>
          </w:tcPr>
          <w:p w:rsidR="009F1B1B" w:rsidRPr="0066263B" w:rsidRDefault="009F1B1B"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561" w:type="pct"/>
            <w:shd w:val="clear" w:color="auto" w:fill="auto"/>
            <w:vAlign w:val="center"/>
          </w:tcPr>
          <w:p w:rsidR="009F1B1B" w:rsidRPr="0066263B" w:rsidRDefault="009F1B1B" w:rsidP="0023526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26723" cy="2426677"/>
            <wp:effectExtent l="0" t="0" r="0" b="0"/>
            <wp:docPr id="739"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0681F" w:rsidRPr="0066263B" w:rsidRDefault="00C0681F" w:rsidP="00324483">
      <w:pPr>
        <w:spacing w:before="0" w:after="0"/>
        <w:jc w:val="center"/>
        <w:rPr>
          <w:rFonts w:ascii="Times New Roman" w:eastAsia="Calibri" w:hAnsi="Times New Roman" w:cs="Times New Roman"/>
          <w:b/>
          <w:bCs/>
        </w:rPr>
      </w:pPr>
    </w:p>
    <w:p w:rsidR="00324483" w:rsidRPr="0066263B" w:rsidRDefault="00324483" w:rsidP="00324483">
      <w:pPr>
        <w:spacing w:before="0" w:after="0"/>
        <w:jc w:val="center"/>
        <w:rPr>
          <w:rFonts w:ascii="Times New Roman" w:eastAsia="TimesNewRomanPS-BoldMT" w:hAnsi="Times New Roman" w:cs="Times New Roman"/>
          <w:bCs/>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37</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NewRomanPS-BoldMT" w:hAnsi="Times New Roman" w:cs="Times New Roman"/>
          <w:bCs/>
          <w:lang w:eastAsia="ru-RU"/>
        </w:rPr>
        <w:t>Доля проб почвы территорий детских организаций и детских площадок</w:t>
      </w:r>
      <w:r w:rsidRPr="0066263B">
        <w:rPr>
          <w:rFonts w:ascii="Times New Roman" w:eastAsia="TimesNewRomanPS-BoldMT" w:hAnsi="Times New Roman" w:cs="Times New Roman"/>
          <w:bCs/>
          <w:lang w:eastAsia="ru-RU"/>
        </w:rPr>
        <w:br/>
        <w:t>с превышением гигиенических нормативов, %</w:t>
      </w:r>
    </w:p>
    <w:p w:rsidR="003702B6" w:rsidRPr="0066263B" w:rsidRDefault="003702B6" w:rsidP="00324483">
      <w:pPr>
        <w:spacing w:before="0" w:after="0"/>
        <w:ind w:firstLine="709"/>
        <w:rPr>
          <w:rFonts w:ascii="Times New Roman" w:eastAsia="Times New Roman" w:hAnsi="Times New Roman" w:cs="Times New Roman"/>
          <w:sz w:val="24"/>
          <w:szCs w:val="24"/>
          <w:lang w:eastAsia="ru-RU"/>
        </w:rPr>
      </w:pPr>
    </w:p>
    <w:p w:rsidR="007C47A7" w:rsidRPr="0066263B" w:rsidRDefault="007C47A7" w:rsidP="007C47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Необходимо отметить отсутствие доли проб почвы, не соответствующих гигиеническим нормативам на территории детских организаций и детских площадок по санитарно-химическим показателям, но в тоже время незначительное увеличение аналогичных проб почвы по микробиологическим показателям при стабильном (на протяжении 3-х последних лет) отсутствии несоответствий по паразитологическим показателям.</w:t>
      </w:r>
    </w:p>
    <w:p w:rsidR="007C47A7" w:rsidRPr="0066263B" w:rsidRDefault="007C47A7" w:rsidP="007C47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ходе проведённого анализа результатов исследований за 2021 год по административным территориям Брянской области установлено, что пробы почвы, не соответствующие гигиеническим нормативам на территории детских организаций и детских площадок по микробиологическим показателям отмечаются на территориях Дятьковского района, Севского района и Трубчевского районов.</w:t>
      </w:r>
    </w:p>
    <w:p w:rsidR="007C47A7" w:rsidRPr="0066263B" w:rsidRDefault="007C47A7" w:rsidP="00324483">
      <w:pPr>
        <w:spacing w:before="0" w:after="0"/>
        <w:ind w:firstLine="709"/>
        <w:rPr>
          <w:rFonts w:ascii="Times New Roman" w:eastAsia="TimesNewRomanPSMT" w:hAnsi="Times New Roman" w:cs="Times New Roman"/>
          <w:sz w:val="24"/>
          <w:szCs w:val="24"/>
        </w:rPr>
      </w:pPr>
    </w:p>
    <w:p w:rsidR="003F7740" w:rsidRPr="0066263B" w:rsidRDefault="003F7740" w:rsidP="00324483">
      <w:pPr>
        <w:spacing w:before="0" w:after="0"/>
        <w:ind w:firstLine="709"/>
        <w:rPr>
          <w:rFonts w:ascii="Times New Roman" w:eastAsia="TimesNewRomanPSMT" w:hAnsi="Times New Roman" w:cs="Times New Roman"/>
          <w:sz w:val="24"/>
          <w:szCs w:val="24"/>
        </w:rPr>
      </w:pPr>
    </w:p>
    <w:p w:rsidR="003F7740" w:rsidRPr="0066263B" w:rsidRDefault="003F7740" w:rsidP="00324483">
      <w:pPr>
        <w:spacing w:before="0" w:after="0"/>
        <w:ind w:firstLine="709"/>
        <w:rPr>
          <w:rFonts w:ascii="Times New Roman" w:eastAsia="TimesNewRomanPSMT" w:hAnsi="Times New Roman" w:cs="Times New Roman"/>
          <w:sz w:val="24"/>
          <w:szCs w:val="24"/>
        </w:rPr>
      </w:pP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t>Показатели химического загрязнения, неблагоприятных физических факторов</w:t>
      </w:r>
      <w:r w:rsidRPr="0066263B">
        <w:rPr>
          <w:rFonts w:ascii="Times New Roman" w:eastAsia="TimesNewRomanPS-BoldMT" w:hAnsi="Times New Roman" w:cs="Times New Roman"/>
          <w:bCs/>
          <w:i/>
          <w:sz w:val="24"/>
          <w:szCs w:val="24"/>
        </w:rPr>
        <w:br/>
        <w:t>и ионизирующих излучений</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hint="eastAsia"/>
          <w:sz w:val="24"/>
          <w:szCs w:val="24"/>
          <w:lang w:eastAsia="ru-RU"/>
        </w:rPr>
        <w:t>Основное</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влияние</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на</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санитарно</w:t>
      </w:r>
      <w:r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hint="eastAsia"/>
          <w:sz w:val="24"/>
          <w:szCs w:val="24"/>
          <w:lang w:eastAsia="ru-RU"/>
        </w:rPr>
        <w:t>эпидемиологическую</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обстановку</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при</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эксплуатации</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источников</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потенциально</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опасных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физических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факторов</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неионизирующей</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природы</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оказывается</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на</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промышленных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объектах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территории</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жилой</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застройки</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в</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жилых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и</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общественных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зданиях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в</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учебных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заведениях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детских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и</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лечебно</w:t>
      </w:r>
      <w:r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hint="eastAsia"/>
          <w:sz w:val="24"/>
          <w:szCs w:val="24"/>
          <w:lang w:eastAsia="ru-RU"/>
        </w:rPr>
        <w:t>профилактических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учреждениях</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и</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на</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hint="eastAsia"/>
          <w:sz w:val="24"/>
          <w:szCs w:val="24"/>
          <w:lang w:eastAsia="ru-RU"/>
        </w:rPr>
        <w:t>транспорте</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F7224C" w:rsidRPr="0066263B">
        <w:rPr>
          <w:rFonts w:ascii="Times New Roman" w:eastAsia="Times New Roman" w:hAnsi="Times New Roman" w:cs="Times New Roman"/>
          <w:sz w:val="24"/>
          <w:szCs w:val="24"/>
          <w:lang w:eastAsia="ru-RU"/>
        </w:rPr>
        <w:t>2</w:t>
      </w:r>
      <w:r w:rsidR="00923DC9"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проведено </w:t>
      </w:r>
      <w:r w:rsidR="00923DC9" w:rsidRPr="0066263B">
        <w:rPr>
          <w:rFonts w:ascii="Times New Roman" w:eastAsia="Times New Roman" w:hAnsi="Times New Roman" w:cs="Times New Roman"/>
          <w:bCs/>
          <w:sz w:val="24"/>
          <w:szCs w:val="24"/>
          <w:lang w:eastAsia="ru-RU"/>
        </w:rPr>
        <w:t>66</w:t>
      </w:r>
      <w:r w:rsidRPr="0066263B">
        <w:rPr>
          <w:rFonts w:ascii="Times New Roman" w:eastAsia="Times New Roman" w:hAnsi="Times New Roman" w:cs="Times New Roman"/>
          <w:bCs/>
          <w:sz w:val="24"/>
          <w:szCs w:val="24"/>
          <w:lang w:eastAsia="ru-RU"/>
        </w:rPr>
        <w:t xml:space="preserve"> измерени</w:t>
      </w:r>
      <w:r w:rsidR="00F7224C" w:rsidRPr="0066263B">
        <w:rPr>
          <w:rFonts w:ascii="Times New Roman" w:eastAsia="Times New Roman" w:hAnsi="Times New Roman" w:cs="Times New Roman"/>
          <w:bCs/>
          <w:sz w:val="24"/>
          <w:szCs w:val="24"/>
          <w:lang w:eastAsia="ru-RU"/>
        </w:rPr>
        <w:t>й</w:t>
      </w:r>
      <w:r w:rsidRPr="0066263B">
        <w:rPr>
          <w:rFonts w:ascii="Times New Roman" w:eastAsia="Times New Roman" w:hAnsi="Times New Roman" w:cs="Times New Roman"/>
          <w:bCs/>
          <w:sz w:val="24"/>
          <w:szCs w:val="24"/>
          <w:lang w:eastAsia="ru-RU"/>
        </w:rPr>
        <w:t xml:space="preserve"> уровня шума на автомагистралях, улицах с интенсивным движением в городских и сельских поселениях, из них </w:t>
      </w:r>
      <w:r w:rsidR="00923DC9" w:rsidRPr="0066263B">
        <w:rPr>
          <w:rFonts w:ascii="Times New Roman" w:eastAsia="Times New Roman" w:hAnsi="Times New Roman" w:cs="Times New Roman"/>
          <w:bCs/>
          <w:sz w:val="24"/>
          <w:szCs w:val="24"/>
          <w:lang w:eastAsia="ru-RU"/>
        </w:rPr>
        <w:t>52</w:t>
      </w:r>
      <w:r w:rsidRPr="0066263B">
        <w:rPr>
          <w:rFonts w:ascii="Times New Roman" w:eastAsia="Times New Roman" w:hAnsi="Times New Roman" w:cs="Times New Roman"/>
          <w:bCs/>
          <w:sz w:val="24"/>
          <w:szCs w:val="24"/>
          <w:lang w:eastAsia="ru-RU"/>
        </w:rPr>
        <w:t xml:space="preserve"> измерени</w:t>
      </w:r>
      <w:r w:rsidR="00923DC9" w:rsidRPr="0066263B">
        <w:rPr>
          <w:rFonts w:ascii="Times New Roman" w:eastAsia="Times New Roman" w:hAnsi="Times New Roman" w:cs="Times New Roman"/>
          <w:bCs/>
          <w:sz w:val="24"/>
          <w:szCs w:val="24"/>
          <w:lang w:eastAsia="ru-RU"/>
        </w:rPr>
        <w:t>я</w:t>
      </w:r>
      <w:r w:rsidRPr="0066263B">
        <w:rPr>
          <w:rFonts w:ascii="Times New Roman" w:eastAsia="Times New Roman" w:hAnsi="Times New Roman" w:cs="Times New Roman"/>
          <w:bCs/>
          <w:sz w:val="24"/>
          <w:szCs w:val="24"/>
          <w:lang w:eastAsia="ru-RU"/>
        </w:rPr>
        <w:t xml:space="preserve"> не соответствовал</w:t>
      </w:r>
      <w:r w:rsidR="00620119" w:rsidRPr="0066263B">
        <w:rPr>
          <w:rFonts w:ascii="Times New Roman" w:eastAsia="Times New Roman" w:hAnsi="Times New Roman" w:cs="Times New Roman"/>
          <w:bCs/>
          <w:sz w:val="24"/>
          <w:szCs w:val="24"/>
          <w:lang w:eastAsia="ru-RU"/>
        </w:rPr>
        <w:t>и</w:t>
      </w:r>
      <w:r w:rsidRPr="0066263B">
        <w:rPr>
          <w:rFonts w:ascii="Times New Roman" w:eastAsia="Times New Roman" w:hAnsi="Times New Roman" w:cs="Times New Roman"/>
          <w:bCs/>
          <w:sz w:val="24"/>
          <w:szCs w:val="24"/>
          <w:lang w:eastAsia="ru-RU"/>
        </w:rPr>
        <w:t xml:space="preserve"> гигиеническим нормативам, что составило </w:t>
      </w:r>
      <w:r w:rsidR="00923DC9" w:rsidRPr="0066263B">
        <w:rPr>
          <w:rFonts w:ascii="Times New Roman" w:eastAsia="Times New Roman" w:hAnsi="Times New Roman" w:cs="Times New Roman"/>
          <w:bCs/>
          <w:sz w:val="24"/>
          <w:szCs w:val="24"/>
          <w:lang w:eastAsia="ru-RU"/>
        </w:rPr>
        <w:t>78,8</w:t>
      </w:r>
      <w:r w:rsidRPr="0066263B">
        <w:rPr>
          <w:rFonts w:ascii="Times New Roman" w:eastAsia="Times New Roman" w:hAnsi="Times New Roman" w:cs="Times New Roman"/>
          <w:bCs/>
          <w:sz w:val="24"/>
          <w:szCs w:val="24"/>
          <w:lang w:eastAsia="ru-RU"/>
        </w:rPr>
        <w:t>% (</w:t>
      </w:r>
      <w:r w:rsidR="00923DC9" w:rsidRPr="0066263B">
        <w:rPr>
          <w:rFonts w:ascii="Times New Roman" w:eastAsia="Times New Roman" w:hAnsi="Times New Roman" w:cs="Times New Roman"/>
          <w:bCs/>
          <w:sz w:val="24"/>
          <w:szCs w:val="24"/>
          <w:lang w:eastAsia="ru-RU"/>
        </w:rPr>
        <w:t xml:space="preserve">2020 – 68,7%; </w:t>
      </w:r>
      <w:r w:rsidR="00F7224C" w:rsidRPr="0066263B">
        <w:rPr>
          <w:rFonts w:ascii="Times New Roman" w:eastAsia="Times New Roman" w:hAnsi="Times New Roman" w:cs="Times New Roman"/>
          <w:bCs/>
          <w:sz w:val="24"/>
          <w:szCs w:val="24"/>
          <w:lang w:eastAsia="ru-RU"/>
        </w:rPr>
        <w:t xml:space="preserve">2019 </w:t>
      </w:r>
      <w:r w:rsidR="00F7224C" w:rsidRPr="0066263B">
        <w:rPr>
          <w:rFonts w:ascii="Times New Roman" w:eastAsia="Times New Roman" w:hAnsi="Times New Roman" w:cs="Times New Roman"/>
          <w:sz w:val="24"/>
          <w:szCs w:val="24"/>
          <w:lang w:eastAsia="ru-RU"/>
        </w:rPr>
        <w:t xml:space="preserve">– 82%; </w:t>
      </w:r>
      <w:r w:rsidRPr="0066263B">
        <w:rPr>
          <w:rFonts w:ascii="Times New Roman" w:eastAsia="Times New Roman" w:hAnsi="Times New Roman" w:cs="Times New Roman"/>
          <w:bCs/>
          <w:sz w:val="24"/>
          <w:szCs w:val="24"/>
          <w:lang w:eastAsia="ru-RU"/>
        </w:rPr>
        <w:t xml:space="preserve">2018 </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bCs/>
          <w:sz w:val="24"/>
          <w:szCs w:val="24"/>
          <w:lang w:eastAsia="ru-RU"/>
        </w:rPr>
        <w:t>100%</w:t>
      </w:r>
      <w:r w:rsidR="00923DC9" w:rsidRPr="0066263B">
        <w:rPr>
          <w:rFonts w:ascii="Times New Roman" w:eastAsia="Times New Roman" w:hAnsi="Times New Roman" w:cs="Times New Roman"/>
          <w:bCs/>
          <w:sz w:val="24"/>
          <w:szCs w:val="24"/>
          <w:lang w:eastAsia="ru-RU"/>
        </w:rPr>
        <w:t>; РФ 2020 – 42,2%)</w:t>
      </w:r>
      <w:r w:rsidRPr="0066263B">
        <w:rPr>
          <w:rFonts w:ascii="Times New Roman" w:eastAsia="Times New Roman" w:hAnsi="Times New Roman" w:cs="Times New Roman"/>
          <w:sz w:val="24"/>
          <w:szCs w:val="24"/>
          <w:lang w:eastAsia="ru-RU"/>
        </w:rPr>
        <w:t>.</w:t>
      </w:r>
    </w:p>
    <w:p w:rsidR="00923DC9" w:rsidRPr="0066263B" w:rsidRDefault="00923DC9" w:rsidP="00923DC9">
      <w:pPr>
        <w:spacing w:before="0" w:after="0"/>
        <w:ind w:firstLine="709"/>
        <w:rPr>
          <w:rFonts w:ascii="Times New Roman" w:eastAsia="Times New Roman" w:hAnsi="Times New Roman" w:cs="Times New Roman"/>
          <w:sz w:val="24"/>
          <w:szCs w:val="24"/>
          <w:lang w:eastAsia="ru-RU"/>
        </w:rPr>
      </w:pPr>
    </w:p>
    <w:p w:rsidR="00923DC9" w:rsidRPr="0066263B" w:rsidRDefault="00923DC9" w:rsidP="00923DC9">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lang w:eastAsia="ru-RU"/>
        </w:rPr>
        <w:drawing>
          <wp:inline distT="0" distB="0" distL="0" distR="0">
            <wp:extent cx="5318151" cy="2516429"/>
            <wp:effectExtent l="0" t="0" r="0" b="0"/>
            <wp:docPr id="4"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23DC9" w:rsidRPr="0066263B" w:rsidRDefault="00923DC9" w:rsidP="00923DC9">
      <w:pPr>
        <w:spacing w:before="0" w:after="0"/>
        <w:jc w:val="center"/>
        <w:rPr>
          <w:rFonts w:ascii="Times New Roman" w:eastAsia="Times New Roman" w:hAnsi="Times New Roman" w:cs="Times New Roman"/>
          <w:b/>
          <w:bCs/>
          <w:lang w:eastAsia="ru-RU"/>
        </w:rPr>
      </w:pPr>
    </w:p>
    <w:p w:rsidR="00923DC9" w:rsidRPr="0066263B" w:rsidRDefault="00923DC9" w:rsidP="00923DC9">
      <w:pPr>
        <w:spacing w:before="0" w:after="0"/>
        <w:jc w:val="center"/>
        <w:rPr>
          <w:rFonts w:ascii="Times New Roman" w:eastAsia="Times New Roman" w:hAnsi="Times New Roman" w:cs="Times New Roman"/>
          <w:bCs/>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38</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lang w:eastAsia="ru-RU"/>
        </w:rPr>
        <w:t>Доля уровня шума, не соответствующего санитарным нормам из точек измерения на эксплуатируемых жилых зданиях в городских и сельских поселениях, %</w:t>
      </w:r>
    </w:p>
    <w:p w:rsidR="0096529E" w:rsidRPr="0066263B" w:rsidRDefault="0096529E"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324483" w:rsidRPr="0066263B" w:rsidRDefault="00765A82" w:rsidP="00324483">
      <w:pPr>
        <w:spacing w:before="0" w:after="0"/>
        <w:jc w:val="center"/>
        <w:rPr>
          <w:rFonts w:ascii="Times New Roman" w:eastAsia="Times New Roman" w:hAnsi="Times New Roman" w:cs="Times New Roman"/>
          <w:sz w:val="24"/>
          <w:szCs w:val="24"/>
          <w:lang w:eastAsia="ru-RU"/>
        </w:rPr>
      </w:pPr>
      <w:r w:rsidRPr="0066263B">
        <w:rPr>
          <w:noProof/>
          <w:lang w:eastAsia="ru-RU"/>
        </w:rPr>
        <w:drawing>
          <wp:inline distT="0" distB="0" distL="0" distR="0">
            <wp:extent cx="4142642" cy="3613109"/>
            <wp:effectExtent l="19050" t="0" r="0"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6" cstate="print"/>
                    <a:srcRect/>
                    <a:stretch>
                      <a:fillRect/>
                    </a:stretch>
                  </pic:blipFill>
                  <pic:spPr bwMode="auto">
                    <a:xfrm>
                      <a:off x="0" y="0"/>
                      <a:ext cx="4143992" cy="3614287"/>
                    </a:xfrm>
                    <a:prstGeom prst="rect">
                      <a:avLst/>
                    </a:prstGeom>
                    <a:noFill/>
                    <a:ln w="9525">
                      <a:noFill/>
                      <a:miter lim="800000"/>
                      <a:headEnd/>
                      <a:tailEnd/>
                    </a:ln>
                  </pic:spPr>
                </pic:pic>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Calibri" w:hAnsi="Times New Roman" w:cs="Times New Roman"/>
          <w:b/>
          <w:bCs/>
        </w:rPr>
        <w:t xml:space="preserve">Рис. </w:t>
      </w:r>
      <w:r w:rsidR="006C34E2" w:rsidRPr="0066263B">
        <w:rPr>
          <w:rFonts w:ascii="Times New Roman" w:eastAsia="Calibri" w:hAnsi="Times New Roman" w:cs="Times New Roman"/>
          <w:b/>
          <w:bCs/>
        </w:rPr>
        <w:fldChar w:fldCharType="begin"/>
      </w:r>
      <w:r w:rsidRPr="0066263B">
        <w:rPr>
          <w:rFonts w:ascii="Times New Roman" w:eastAsia="Calibri" w:hAnsi="Times New Roman" w:cs="Times New Roman"/>
          <w:b/>
          <w:bCs/>
        </w:rPr>
        <w:instrText xml:space="preserve"> SEQ Рис._№ \* ARABIC </w:instrText>
      </w:r>
      <w:r w:rsidR="006C34E2" w:rsidRPr="0066263B">
        <w:rPr>
          <w:rFonts w:ascii="Times New Roman" w:eastAsia="Calibri" w:hAnsi="Times New Roman" w:cs="Times New Roman"/>
          <w:b/>
          <w:bCs/>
        </w:rPr>
        <w:fldChar w:fldCharType="separate"/>
      </w:r>
      <w:r w:rsidR="00EC1D99">
        <w:rPr>
          <w:rFonts w:ascii="Times New Roman" w:eastAsia="Calibri" w:hAnsi="Times New Roman" w:cs="Times New Roman"/>
          <w:b/>
          <w:bCs/>
          <w:noProof/>
        </w:rPr>
        <w:t>39</w:t>
      </w:r>
      <w:r w:rsidR="006C34E2" w:rsidRPr="0066263B">
        <w:rPr>
          <w:rFonts w:ascii="Times New Roman" w:eastAsia="Calibri" w:hAnsi="Times New Roman" w:cs="Times New Roman"/>
          <w:b/>
          <w:bCs/>
        </w:rPr>
        <w:fldChar w:fldCharType="end"/>
      </w:r>
      <w:r w:rsidRPr="0066263B">
        <w:rPr>
          <w:rFonts w:ascii="Times New Roman" w:eastAsia="Calibri" w:hAnsi="Times New Roman" w:cs="Times New Roman"/>
          <w:b/>
          <w:bCs/>
        </w:rPr>
        <w:t xml:space="preserve">. </w:t>
      </w:r>
      <w:r w:rsidRPr="0066263B">
        <w:rPr>
          <w:rFonts w:ascii="Times New Roman" w:eastAsia="Times New Roman" w:hAnsi="Times New Roman" w:cs="Times New Roman"/>
          <w:lang w:eastAsia="ru-RU"/>
        </w:rPr>
        <w:t>Территориальное распределение по доле уровня шума, не соответствующего</w:t>
      </w:r>
      <w:r w:rsidRPr="0066263B">
        <w:rPr>
          <w:rFonts w:ascii="Times New Roman" w:eastAsia="Times New Roman" w:hAnsi="Times New Roman" w:cs="Times New Roman"/>
          <w:lang w:eastAsia="ru-RU"/>
        </w:rPr>
        <w:br/>
        <w:t>гигиеническим нормативам из точек измерения на автомагистралях, улицах с интенсивным движением в городских и сельских поселениях</w:t>
      </w:r>
    </w:p>
    <w:p w:rsidR="003702B6" w:rsidRPr="0066263B" w:rsidRDefault="003702B6"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ходе проведённого анализа результатов исследований по административным территориям Брянской области установлено, что</w:t>
      </w:r>
      <w:r w:rsidR="00606C40" w:rsidRPr="0066263B">
        <w:rPr>
          <w:rFonts w:ascii="Times New Roman" w:eastAsia="Times New Roman" w:hAnsi="Times New Roman" w:cs="Times New Roman"/>
          <w:sz w:val="24"/>
          <w:szCs w:val="24"/>
          <w:lang w:eastAsia="ru-RU"/>
        </w:rPr>
        <w:t>, как и в 2020 году,</w:t>
      </w:r>
      <w:r w:rsidRPr="0066263B">
        <w:rPr>
          <w:rFonts w:ascii="Times New Roman" w:eastAsia="Times New Roman" w:hAnsi="Times New Roman" w:cs="Times New Roman"/>
          <w:sz w:val="24"/>
          <w:szCs w:val="24"/>
          <w:lang w:eastAsia="ru-RU"/>
        </w:rPr>
        <w:t xml:space="preserve"> на территориях</w:t>
      </w:r>
      <w:r w:rsidR="00F7224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г. Брянска, Брянского</w:t>
      </w:r>
      <w:r w:rsidR="00F7224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Выгоничского </w:t>
      </w:r>
      <w:r w:rsidR="00F7224C" w:rsidRPr="0066263B">
        <w:rPr>
          <w:rFonts w:ascii="Times New Roman" w:eastAsia="Times New Roman" w:hAnsi="Times New Roman" w:cs="Times New Roman"/>
          <w:sz w:val="24"/>
          <w:szCs w:val="24"/>
          <w:lang w:eastAsia="ru-RU"/>
        </w:rPr>
        <w:t xml:space="preserve">и Карачевского </w:t>
      </w:r>
      <w:r w:rsidRPr="0066263B">
        <w:rPr>
          <w:rFonts w:ascii="Times New Roman" w:eastAsia="Times New Roman" w:hAnsi="Times New Roman" w:cs="Times New Roman"/>
          <w:sz w:val="24"/>
          <w:szCs w:val="24"/>
          <w:lang w:eastAsia="ru-RU"/>
        </w:rPr>
        <w:t xml:space="preserve">районов выявлена наибольшая доля измерений уровня шума, не соответствующих гигиеническим нормативам из точек измерения на автомагистралях, улицах с интенсивным движением в городских и сельских поселениях, и превышающая среднеобластной показатель </w:t>
      </w:r>
      <w:r w:rsidR="00F7224C" w:rsidRPr="0066263B">
        <w:rPr>
          <w:rFonts w:ascii="Times New Roman" w:eastAsia="Times New Roman" w:hAnsi="Times New Roman" w:cs="Times New Roman"/>
          <w:sz w:val="24"/>
          <w:szCs w:val="24"/>
          <w:lang w:eastAsia="ru-RU"/>
        </w:rPr>
        <w:t>(</w:t>
      </w:r>
      <w:r w:rsidR="00606C40" w:rsidRPr="0066263B">
        <w:rPr>
          <w:rFonts w:ascii="Times New Roman" w:eastAsia="Times New Roman" w:hAnsi="Times New Roman" w:cs="Times New Roman"/>
          <w:sz w:val="24"/>
          <w:szCs w:val="24"/>
          <w:lang w:eastAsia="ru-RU"/>
        </w:rPr>
        <w:t>78,8</w:t>
      </w:r>
      <w:r w:rsidRPr="0066263B">
        <w:rPr>
          <w:rFonts w:ascii="Times New Roman" w:eastAsia="Times New Roman" w:hAnsi="Times New Roman" w:cs="Times New Roman"/>
          <w:sz w:val="24"/>
          <w:szCs w:val="24"/>
          <w:lang w:eastAsia="ru-RU"/>
        </w:rPr>
        <w:t>%</w:t>
      </w:r>
      <w:r w:rsidR="00F7224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w:t>
      </w:r>
      <w:proofErr w:type="gramEnd"/>
    </w:p>
    <w:p w:rsidR="00606C40" w:rsidRPr="0066263B" w:rsidRDefault="00606C40"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Не менее значимым источником акустического шума, воздействующего на население, остаются различные внутридомовые источники встроенных в эксплуатируемые жилые здания предприятий и инженерно-технологическое оборудование (вентиляционное, холодильное оборудование, наружные блоки систем кондиционирования, звуковоспроизводящая и </w:t>
      </w:r>
      <w:proofErr w:type="spellStart"/>
      <w:r w:rsidRPr="0066263B">
        <w:rPr>
          <w:rFonts w:ascii="Times New Roman" w:eastAsia="Times New Roman" w:hAnsi="Times New Roman" w:cs="Times New Roman"/>
          <w:sz w:val="24"/>
          <w:szCs w:val="24"/>
          <w:lang w:eastAsia="ru-RU"/>
        </w:rPr>
        <w:t>звукоусилительная</w:t>
      </w:r>
      <w:proofErr w:type="spellEnd"/>
      <w:r w:rsidRPr="0066263B">
        <w:rPr>
          <w:rFonts w:ascii="Times New Roman" w:eastAsia="Times New Roman" w:hAnsi="Times New Roman" w:cs="Times New Roman"/>
          <w:sz w:val="24"/>
          <w:szCs w:val="24"/>
          <w:lang w:eastAsia="ru-RU"/>
        </w:rPr>
        <w:t xml:space="preserve"> аппаратура, лифты, </w:t>
      </w:r>
      <w:proofErr w:type="spellStart"/>
      <w:r w:rsidRPr="0066263B">
        <w:rPr>
          <w:rFonts w:ascii="Times New Roman" w:eastAsia="Times New Roman" w:hAnsi="Times New Roman" w:cs="Times New Roman"/>
          <w:sz w:val="24"/>
          <w:szCs w:val="24"/>
          <w:lang w:eastAsia="ru-RU"/>
        </w:rPr>
        <w:t>крышные</w:t>
      </w:r>
      <w:proofErr w:type="spellEnd"/>
      <w:r w:rsidRPr="0066263B">
        <w:rPr>
          <w:rFonts w:ascii="Times New Roman" w:eastAsia="Times New Roman" w:hAnsi="Times New Roman" w:cs="Times New Roman"/>
          <w:sz w:val="24"/>
          <w:szCs w:val="24"/>
          <w:lang w:eastAsia="ru-RU"/>
        </w:rPr>
        <w:t xml:space="preserve"> котельные, насосные и др.).</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F7224C" w:rsidRPr="0066263B">
        <w:rPr>
          <w:rFonts w:ascii="Times New Roman" w:eastAsia="Times New Roman" w:hAnsi="Times New Roman" w:cs="Times New Roman"/>
          <w:sz w:val="24"/>
          <w:szCs w:val="24"/>
          <w:lang w:eastAsia="ru-RU"/>
        </w:rPr>
        <w:t>2</w:t>
      </w:r>
      <w:r w:rsidR="00923DC9"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проведено </w:t>
      </w:r>
      <w:r w:rsidR="00F1236B" w:rsidRPr="0066263B">
        <w:rPr>
          <w:rFonts w:ascii="Times New Roman" w:eastAsia="Times New Roman" w:hAnsi="Times New Roman" w:cs="Times New Roman"/>
          <w:sz w:val="24"/>
          <w:szCs w:val="24"/>
          <w:lang w:eastAsia="ru-RU"/>
        </w:rPr>
        <w:t>298</w:t>
      </w:r>
      <w:r w:rsidRPr="0066263B">
        <w:rPr>
          <w:rFonts w:ascii="Times New Roman" w:eastAsia="Times New Roman" w:hAnsi="Times New Roman" w:cs="Times New Roman"/>
          <w:sz w:val="24"/>
          <w:szCs w:val="24"/>
          <w:lang w:eastAsia="ru-RU"/>
        </w:rPr>
        <w:t xml:space="preserve"> измерени</w:t>
      </w:r>
      <w:r w:rsidR="00F1236B" w:rsidRPr="0066263B">
        <w:rPr>
          <w:rFonts w:ascii="Times New Roman" w:eastAsia="Times New Roman" w:hAnsi="Times New Roman" w:cs="Times New Roman"/>
          <w:sz w:val="24"/>
          <w:szCs w:val="24"/>
          <w:lang w:eastAsia="ru-RU"/>
        </w:rPr>
        <w:t>й</w:t>
      </w:r>
      <w:r w:rsidRPr="0066263B">
        <w:rPr>
          <w:rFonts w:ascii="Times New Roman" w:eastAsia="Times New Roman" w:hAnsi="Times New Roman" w:cs="Times New Roman"/>
          <w:sz w:val="24"/>
          <w:szCs w:val="24"/>
          <w:lang w:eastAsia="ru-RU"/>
        </w:rPr>
        <w:t xml:space="preserve"> уровня шума из точек измерения на эксплуатируемых жилых зданиях в городских и сельских поселениях, </w:t>
      </w:r>
      <w:r w:rsidR="00F1236B" w:rsidRPr="0066263B">
        <w:rPr>
          <w:rFonts w:ascii="Times New Roman" w:eastAsia="Times New Roman" w:hAnsi="Times New Roman" w:cs="Times New Roman"/>
          <w:sz w:val="24"/>
          <w:szCs w:val="24"/>
          <w:lang w:eastAsia="ru-RU"/>
        </w:rPr>
        <w:t xml:space="preserve">из них в 82 точках измерения не соответствовали санитарным нормам, что составило 27,5% </w:t>
      </w:r>
      <w:r w:rsidRPr="0066263B">
        <w:rPr>
          <w:rFonts w:ascii="Times New Roman" w:eastAsia="Times New Roman" w:hAnsi="Times New Roman" w:cs="Times New Roman"/>
          <w:sz w:val="24"/>
          <w:szCs w:val="24"/>
          <w:lang w:eastAsia="ru-RU"/>
        </w:rPr>
        <w:t>(</w:t>
      </w:r>
      <w:r w:rsidR="00923DC9" w:rsidRPr="0066263B">
        <w:rPr>
          <w:rFonts w:ascii="Times New Roman" w:eastAsia="Times New Roman" w:hAnsi="Times New Roman" w:cs="Times New Roman"/>
          <w:sz w:val="24"/>
          <w:szCs w:val="24"/>
          <w:lang w:eastAsia="ru-RU"/>
        </w:rPr>
        <w:t xml:space="preserve">2020 – 37,5%; </w:t>
      </w:r>
      <w:r w:rsidR="00F7224C" w:rsidRPr="0066263B">
        <w:rPr>
          <w:rFonts w:ascii="Times New Roman" w:eastAsia="Times New Roman" w:hAnsi="Times New Roman" w:cs="Times New Roman"/>
          <w:sz w:val="24"/>
          <w:szCs w:val="24"/>
          <w:lang w:eastAsia="ru-RU"/>
        </w:rPr>
        <w:t xml:space="preserve">2019 – 27,2%; </w:t>
      </w:r>
      <w:r w:rsidRPr="0066263B">
        <w:rPr>
          <w:rFonts w:ascii="Times New Roman" w:eastAsia="Times New Roman" w:hAnsi="Times New Roman" w:cs="Times New Roman"/>
          <w:sz w:val="24"/>
          <w:szCs w:val="24"/>
          <w:lang w:eastAsia="ru-RU"/>
        </w:rPr>
        <w:t xml:space="preserve">2018 – 42,0%; </w:t>
      </w:r>
      <w:r w:rsidR="00923DC9" w:rsidRPr="0066263B">
        <w:rPr>
          <w:rFonts w:ascii="Times New Roman" w:eastAsia="Times New Roman" w:hAnsi="Times New Roman" w:cs="Times New Roman"/>
          <w:sz w:val="24"/>
          <w:szCs w:val="24"/>
          <w:lang w:eastAsia="ru-RU"/>
        </w:rPr>
        <w:t>РФ 2020 – 25,5</w:t>
      </w:r>
      <w:r w:rsidRPr="0066263B">
        <w:rPr>
          <w:rFonts w:ascii="Times New Roman" w:eastAsia="Times New Roman" w:hAnsi="Times New Roman" w:cs="Times New Roman"/>
          <w:sz w:val="24"/>
          <w:szCs w:val="24"/>
          <w:lang w:eastAsia="ru-RU"/>
        </w:rPr>
        <w:t>%)</w:t>
      </w:r>
      <w:r w:rsidR="00921A39" w:rsidRPr="0066263B">
        <w:rPr>
          <w:rFonts w:ascii="Times New Roman" w:eastAsia="Times New Roman" w:hAnsi="Times New Roman" w:cs="Times New Roman"/>
          <w:sz w:val="24"/>
          <w:szCs w:val="24"/>
          <w:lang w:eastAsia="ru-RU"/>
        </w:rPr>
        <w:t xml:space="preserve"> (рис. 40)</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lang w:eastAsia="ru-RU"/>
        </w:rPr>
        <w:drawing>
          <wp:inline distT="0" distB="0" distL="0" distR="0">
            <wp:extent cx="5318151" cy="2516429"/>
            <wp:effectExtent l="0" t="0" r="0" b="0"/>
            <wp:docPr id="74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24483" w:rsidRPr="0066263B" w:rsidRDefault="00324483" w:rsidP="00324483">
      <w:pPr>
        <w:spacing w:before="0" w:after="0"/>
        <w:jc w:val="center"/>
        <w:rPr>
          <w:rFonts w:ascii="Times New Roman" w:eastAsia="Times New Roman" w:hAnsi="Times New Roman" w:cs="Times New Roman"/>
          <w:b/>
          <w:bCs/>
          <w:lang w:eastAsia="ru-RU"/>
        </w:rPr>
      </w:pPr>
    </w:p>
    <w:p w:rsidR="00324483" w:rsidRPr="0066263B" w:rsidRDefault="00324483" w:rsidP="00324483">
      <w:pPr>
        <w:spacing w:before="0" w:after="0"/>
        <w:jc w:val="center"/>
        <w:rPr>
          <w:rFonts w:ascii="Times New Roman" w:eastAsia="Times New Roman" w:hAnsi="Times New Roman" w:cs="Times New Roman"/>
          <w:bCs/>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40</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lang w:eastAsia="ru-RU"/>
        </w:rPr>
        <w:t>Доля уровня шума, не соответствующего санитарным нормам из точек измерения на эксплуатируемых жилых зданиях в городских и сельских поселениях, %</w:t>
      </w:r>
    </w:p>
    <w:p w:rsidR="00324483" w:rsidRPr="0066263B" w:rsidRDefault="00324483" w:rsidP="00324483">
      <w:pPr>
        <w:suppressAutoHyphens/>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C564CD" w:rsidRPr="0066263B">
        <w:rPr>
          <w:rFonts w:ascii="Times New Roman" w:eastAsia="Times New Roman" w:hAnsi="Times New Roman" w:cs="Times New Roman"/>
          <w:sz w:val="24"/>
          <w:szCs w:val="24"/>
          <w:lang w:eastAsia="ru-RU"/>
        </w:rPr>
        <w:t>2</w:t>
      </w:r>
      <w:r w:rsidR="00606C40"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w:t>
      </w:r>
      <w:r w:rsidR="00606C40" w:rsidRPr="0066263B">
        <w:rPr>
          <w:rFonts w:ascii="Times New Roman" w:eastAsia="Times New Roman" w:hAnsi="Times New Roman" w:cs="Times New Roman"/>
          <w:sz w:val="24"/>
          <w:szCs w:val="24"/>
          <w:lang w:eastAsia="ru-RU"/>
        </w:rPr>
        <w:t xml:space="preserve">наибольшая доля уровня шума, не соответствующего санитарным нормам из точек измерения на эксплуатируемых жилых зданиях в городских и сельских поселениях, и превышающая среднеобластной показатель (27,5%) установлена </w:t>
      </w:r>
      <w:r w:rsidR="00C564CD" w:rsidRPr="0066263B">
        <w:rPr>
          <w:rFonts w:ascii="Times New Roman" w:eastAsia="Times New Roman" w:hAnsi="Times New Roman" w:cs="Times New Roman"/>
          <w:sz w:val="24"/>
          <w:szCs w:val="24"/>
          <w:lang w:eastAsia="ru-RU"/>
        </w:rPr>
        <w:t xml:space="preserve">на территории </w:t>
      </w:r>
      <w:proofErr w:type="gramStart"/>
      <w:r w:rsidR="00606C40" w:rsidRPr="0066263B">
        <w:rPr>
          <w:rFonts w:ascii="Times New Roman" w:eastAsia="Times New Roman" w:hAnsi="Times New Roman" w:cs="Times New Roman"/>
          <w:sz w:val="24"/>
          <w:szCs w:val="24"/>
          <w:lang w:eastAsia="ru-RU"/>
        </w:rPr>
        <w:t>г</w:t>
      </w:r>
      <w:proofErr w:type="gramEnd"/>
      <w:r w:rsidR="00606C40" w:rsidRPr="0066263B">
        <w:rPr>
          <w:rFonts w:ascii="Times New Roman" w:eastAsia="Times New Roman" w:hAnsi="Times New Roman" w:cs="Times New Roman"/>
          <w:sz w:val="24"/>
          <w:szCs w:val="24"/>
          <w:lang w:eastAsia="ru-RU"/>
        </w:rPr>
        <w:t>. Брянска</w:t>
      </w:r>
      <w:r w:rsidRPr="0066263B">
        <w:rPr>
          <w:rFonts w:ascii="Times New Roman" w:eastAsia="Times New Roman" w:hAnsi="Times New Roman" w:cs="Times New Roman"/>
          <w:sz w:val="24"/>
          <w:szCs w:val="24"/>
          <w:lang w:eastAsia="ru-RU"/>
        </w:rPr>
        <w:t>.</w:t>
      </w:r>
    </w:p>
    <w:p w:rsidR="00606C40" w:rsidRPr="0066263B" w:rsidRDefault="00606C40"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w:t>
      </w:r>
      <w:r w:rsidR="00620119" w:rsidRPr="0066263B">
        <w:rPr>
          <w:rFonts w:ascii="Times New Roman" w:eastAsia="Times New Roman" w:hAnsi="Times New Roman" w:cs="Times New Roman"/>
          <w:sz w:val="24"/>
          <w:szCs w:val="24"/>
          <w:lang w:eastAsia="ru-RU"/>
        </w:rPr>
        <w:t xml:space="preserve">течение </w:t>
      </w:r>
      <w:r w:rsidRPr="0066263B">
        <w:rPr>
          <w:rFonts w:ascii="Times New Roman" w:eastAsia="Times New Roman" w:hAnsi="Times New Roman" w:cs="Times New Roman"/>
          <w:sz w:val="24"/>
          <w:szCs w:val="24"/>
          <w:lang w:eastAsia="ru-RU"/>
        </w:rPr>
        <w:t>20</w:t>
      </w:r>
      <w:r w:rsidR="00C564CD" w:rsidRPr="0066263B">
        <w:rPr>
          <w:rFonts w:ascii="Times New Roman" w:eastAsia="Times New Roman" w:hAnsi="Times New Roman" w:cs="Times New Roman"/>
          <w:sz w:val="24"/>
          <w:szCs w:val="24"/>
          <w:lang w:eastAsia="ru-RU"/>
        </w:rPr>
        <w:t>2</w:t>
      </w:r>
      <w:r w:rsidR="00606C40"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w:t>
      </w:r>
      <w:r w:rsidR="00620119"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lang w:eastAsia="ru-RU"/>
        </w:rPr>
        <w:t xml:space="preserve"> проведено </w:t>
      </w:r>
      <w:r w:rsidR="00606C40" w:rsidRPr="0066263B">
        <w:rPr>
          <w:rFonts w:ascii="Times New Roman" w:eastAsia="Times New Roman" w:hAnsi="Times New Roman" w:cs="Times New Roman"/>
          <w:sz w:val="24"/>
          <w:szCs w:val="24"/>
          <w:lang w:eastAsia="ru-RU"/>
        </w:rPr>
        <w:t>64</w:t>
      </w:r>
      <w:r w:rsidRPr="0066263B">
        <w:rPr>
          <w:rFonts w:ascii="Times New Roman" w:eastAsia="Times New Roman" w:hAnsi="Times New Roman" w:cs="Times New Roman"/>
          <w:sz w:val="24"/>
          <w:szCs w:val="24"/>
          <w:lang w:eastAsia="ru-RU"/>
        </w:rPr>
        <w:t xml:space="preserve"> измерени</w:t>
      </w:r>
      <w:r w:rsidR="00606C40" w:rsidRPr="0066263B">
        <w:rPr>
          <w:rFonts w:ascii="Times New Roman" w:eastAsia="Times New Roman" w:hAnsi="Times New Roman" w:cs="Times New Roman"/>
          <w:sz w:val="24"/>
          <w:szCs w:val="24"/>
          <w:lang w:eastAsia="ru-RU"/>
        </w:rPr>
        <w:t>я</w:t>
      </w:r>
      <w:r w:rsidRPr="0066263B">
        <w:rPr>
          <w:rFonts w:ascii="Times New Roman" w:eastAsia="Times New Roman" w:hAnsi="Times New Roman" w:cs="Times New Roman"/>
          <w:sz w:val="24"/>
          <w:szCs w:val="24"/>
          <w:lang w:eastAsia="ru-RU"/>
        </w:rPr>
        <w:t xml:space="preserve"> уровня электромагнитных излучений </w:t>
      </w:r>
      <w:r w:rsidR="00620119" w:rsidRPr="0066263B">
        <w:rPr>
          <w:rFonts w:ascii="Times New Roman" w:eastAsia="Times New Roman" w:hAnsi="Times New Roman" w:cs="Times New Roman"/>
          <w:sz w:val="24"/>
          <w:szCs w:val="24"/>
          <w:lang w:eastAsia="ru-RU"/>
        </w:rPr>
        <w:t xml:space="preserve">(далее – ЭМИ) </w:t>
      </w:r>
      <w:r w:rsidRPr="0066263B">
        <w:rPr>
          <w:rFonts w:ascii="Times New Roman" w:eastAsia="Times New Roman" w:hAnsi="Times New Roman" w:cs="Times New Roman"/>
          <w:sz w:val="24"/>
          <w:szCs w:val="24"/>
          <w:lang w:eastAsia="ru-RU"/>
        </w:rPr>
        <w:t xml:space="preserve">из точек измерения на эксплуатируемых жилых зданиях в городских и сельских поселениях, из них </w:t>
      </w:r>
      <w:r w:rsidR="00C564CD" w:rsidRPr="0066263B">
        <w:rPr>
          <w:rFonts w:ascii="Times New Roman" w:eastAsia="Times New Roman" w:hAnsi="Times New Roman" w:cs="Times New Roman"/>
          <w:sz w:val="24"/>
          <w:szCs w:val="24"/>
          <w:lang w:eastAsia="ru-RU"/>
        </w:rPr>
        <w:t>все измерения соответствовали гигиеническим нормативам</w:t>
      </w:r>
      <w:r w:rsidRPr="0066263B">
        <w:rPr>
          <w:rFonts w:ascii="Times New Roman" w:eastAsia="Times New Roman" w:hAnsi="Times New Roman" w:cs="Times New Roman"/>
          <w:sz w:val="24"/>
          <w:szCs w:val="24"/>
          <w:lang w:eastAsia="ru-RU"/>
        </w:rPr>
        <w:t xml:space="preserve"> (</w:t>
      </w:r>
      <w:r w:rsidR="00606C40" w:rsidRPr="0066263B">
        <w:rPr>
          <w:rFonts w:ascii="Times New Roman" w:eastAsia="Times New Roman" w:hAnsi="Times New Roman" w:cs="Times New Roman"/>
          <w:sz w:val="24"/>
          <w:szCs w:val="24"/>
          <w:lang w:eastAsia="ru-RU"/>
        </w:rPr>
        <w:t xml:space="preserve">2020 – несоответствий не обнаружено; </w:t>
      </w:r>
      <w:r w:rsidR="00C564CD" w:rsidRPr="0066263B">
        <w:rPr>
          <w:rFonts w:ascii="Times New Roman" w:eastAsia="Times New Roman" w:hAnsi="Times New Roman" w:cs="Times New Roman"/>
          <w:sz w:val="24"/>
          <w:szCs w:val="24"/>
          <w:lang w:eastAsia="ru-RU"/>
        </w:rPr>
        <w:t xml:space="preserve">2019 – 5%; </w:t>
      </w:r>
      <w:r w:rsidRPr="0066263B">
        <w:rPr>
          <w:rFonts w:ascii="Times New Roman" w:eastAsia="Times New Roman" w:hAnsi="Times New Roman" w:cs="Times New Roman"/>
          <w:sz w:val="24"/>
          <w:szCs w:val="24"/>
          <w:lang w:eastAsia="ru-RU"/>
        </w:rPr>
        <w:t>2018 – несоответствий не обнаружено).</w:t>
      </w:r>
    </w:p>
    <w:p w:rsidR="00620119" w:rsidRPr="0066263B" w:rsidRDefault="00620119" w:rsidP="00324483">
      <w:pPr>
        <w:spacing w:before="0" w:after="0"/>
        <w:ind w:firstLine="709"/>
        <w:rPr>
          <w:rFonts w:ascii="Times New Roman" w:eastAsia="Times New Roman" w:hAnsi="Times New Roman" w:cs="Times New Roman"/>
          <w:sz w:val="24"/>
          <w:szCs w:val="24"/>
          <w:lang w:eastAsia="ru-RU"/>
        </w:rPr>
      </w:pPr>
    </w:p>
    <w:p w:rsidR="00324483" w:rsidRPr="0066263B" w:rsidRDefault="00A75B34" w:rsidP="00324483">
      <w:pPr>
        <w:suppressAutoHyphens/>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634395" cy="2167075"/>
            <wp:effectExtent l="0" t="0" r="0" b="0"/>
            <wp:docPr id="9"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F63A5" w:rsidRPr="0066263B" w:rsidRDefault="001F63A5" w:rsidP="00324483">
      <w:pPr>
        <w:spacing w:before="0" w:after="0"/>
        <w:jc w:val="center"/>
        <w:rPr>
          <w:rFonts w:ascii="Times New Roman" w:eastAsia="Times New Roman" w:hAnsi="Times New Roman" w:cs="Times New Roman"/>
          <w:b/>
          <w:bCs/>
          <w:lang w:eastAsia="ru-RU"/>
        </w:rPr>
      </w:pPr>
    </w:p>
    <w:p w:rsidR="00324483" w:rsidRPr="0066263B" w:rsidRDefault="00324483" w:rsidP="00324483">
      <w:pPr>
        <w:spacing w:before="0" w:after="0"/>
        <w:jc w:val="center"/>
        <w:rPr>
          <w:rFonts w:ascii="Times New Roman" w:eastAsia="Times New Roman" w:hAnsi="Times New Roman" w:cs="Times New Roman"/>
          <w:bCs/>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41</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lang w:eastAsia="ru-RU"/>
        </w:rPr>
        <w:t>Доля уровня электромагнитных излучений, не соответствующих санитарным нормам из точек измерения на эксплуатируемых жилых зданиях в городских и сельских поселениях, %</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последние годы актуальным физическими факторами, влияющими на состояние здоровья, людей является шум, вибрация и ЭМИ.</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По числу жалоб населения, ведущее место среди физических факторов неионизирующей природы, занимает акустический шум – </w:t>
      </w:r>
      <w:r w:rsidR="007B108A" w:rsidRPr="0066263B">
        <w:rPr>
          <w:rFonts w:ascii="Times New Roman" w:eastAsia="Times New Roman" w:hAnsi="Times New Roman" w:cs="Times New Roman"/>
          <w:sz w:val="24"/>
          <w:szCs w:val="24"/>
          <w:lang w:eastAsia="ru-RU"/>
        </w:rPr>
        <w:t>80,8</w:t>
      </w:r>
      <w:r w:rsidRPr="0066263B">
        <w:rPr>
          <w:rFonts w:ascii="Times New Roman" w:eastAsia="Times New Roman" w:hAnsi="Times New Roman" w:cs="Times New Roman"/>
          <w:sz w:val="24"/>
          <w:szCs w:val="24"/>
          <w:lang w:eastAsia="ru-RU"/>
        </w:rPr>
        <w:t>% (</w:t>
      </w:r>
      <w:r w:rsidR="007B108A" w:rsidRPr="0066263B">
        <w:rPr>
          <w:rFonts w:ascii="Times New Roman" w:eastAsia="Times New Roman" w:hAnsi="Times New Roman" w:cs="Times New Roman"/>
          <w:sz w:val="24"/>
          <w:szCs w:val="24"/>
          <w:lang w:eastAsia="ru-RU"/>
        </w:rPr>
        <w:t xml:space="preserve">2020 – 54,5%; </w:t>
      </w:r>
      <w:r w:rsidRPr="0066263B">
        <w:rPr>
          <w:rFonts w:ascii="Times New Roman" w:eastAsia="Times New Roman" w:hAnsi="Times New Roman" w:cs="Times New Roman"/>
          <w:sz w:val="24"/>
          <w:szCs w:val="24"/>
          <w:lang w:eastAsia="ru-RU"/>
        </w:rPr>
        <w:t xml:space="preserve">2019 – 82,2%; 2018 – 90,4%), вибрация – </w:t>
      </w:r>
      <w:r w:rsidR="007B108A" w:rsidRPr="0066263B">
        <w:rPr>
          <w:rFonts w:ascii="Times New Roman" w:eastAsia="Times New Roman" w:hAnsi="Times New Roman" w:cs="Times New Roman"/>
          <w:sz w:val="24"/>
          <w:szCs w:val="24"/>
          <w:lang w:eastAsia="ru-RU"/>
        </w:rPr>
        <w:t>5,7</w:t>
      </w:r>
      <w:r w:rsidRPr="0066263B">
        <w:rPr>
          <w:rFonts w:ascii="Times New Roman" w:eastAsia="Times New Roman" w:hAnsi="Times New Roman" w:cs="Times New Roman"/>
          <w:sz w:val="24"/>
          <w:szCs w:val="24"/>
          <w:lang w:eastAsia="ru-RU"/>
        </w:rPr>
        <w:t>% (</w:t>
      </w:r>
      <w:r w:rsidR="007B108A" w:rsidRPr="0066263B">
        <w:rPr>
          <w:rFonts w:ascii="Times New Roman" w:eastAsia="Times New Roman" w:hAnsi="Times New Roman" w:cs="Times New Roman"/>
          <w:sz w:val="24"/>
          <w:szCs w:val="24"/>
          <w:lang w:eastAsia="ru-RU"/>
        </w:rPr>
        <w:t xml:space="preserve">2020 – 27,3%; </w:t>
      </w:r>
      <w:r w:rsidRPr="0066263B">
        <w:rPr>
          <w:rFonts w:ascii="Times New Roman" w:eastAsia="Times New Roman" w:hAnsi="Times New Roman" w:cs="Times New Roman"/>
          <w:sz w:val="24"/>
          <w:szCs w:val="24"/>
          <w:lang w:eastAsia="ru-RU"/>
        </w:rPr>
        <w:t>2019 – 13,1%; 2018 – 2,5%) и ЭМ</w:t>
      </w:r>
      <w:r w:rsidR="00FC25F2" w:rsidRPr="0066263B">
        <w:rPr>
          <w:rFonts w:ascii="Times New Roman" w:eastAsia="Times New Roman" w:hAnsi="Times New Roman" w:cs="Times New Roman"/>
          <w:sz w:val="24"/>
          <w:szCs w:val="24"/>
          <w:lang w:eastAsia="ru-RU"/>
        </w:rPr>
        <w:t>И</w:t>
      </w:r>
      <w:r w:rsidRPr="0066263B">
        <w:rPr>
          <w:rFonts w:ascii="Times New Roman" w:eastAsia="Times New Roman" w:hAnsi="Times New Roman" w:cs="Times New Roman"/>
          <w:sz w:val="24"/>
          <w:szCs w:val="24"/>
          <w:lang w:eastAsia="ru-RU"/>
        </w:rPr>
        <w:t xml:space="preserve"> – </w:t>
      </w:r>
      <w:r w:rsidR="007B108A" w:rsidRPr="0066263B">
        <w:rPr>
          <w:rFonts w:ascii="Times New Roman" w:eastAsia="Times New Roman" w:hAnsi="Times New Roman" w:cs="Times New Roman"/>
          <w:sz w:val="24"/>
          <w:szCs w:val="24"/>
          <w:lang w:eastAsia="ru-RU"/>
        </w:rPr>
        <w:t>13,5</w:t>
      </w:r>
      <w:r w:rsidRPr="0066263B">
        <w:rPr>
          <w:rFonts w:ascii="Times New Roman" w:eastAsia="Times New Roman" w:hAnsi="Times New Roman" w:cs="Times New Roman"/>
          <w:sz w:val="24"/>
          <w:szCs w:val="24"/>
          <w:lang w:eastAsia="ru-RU"/>
        </w:rPr>
        <w:t>% (</w:t>
      </w:r>
      <w:r w:rsidR="007B108A" w:rsidRPr="0066263B">
        <w:rPr>
          <w:rFonts w:ascii="Times New Roman" w:eastAsia="Times New Roman" w:hAnsi="Times New Roman" w:cs="Times New Roman"/>
          <w:sz w:val="24"/>
          <w:szCs w:val="24"/>
          <w:lang w:eastAsia="ru-RU"/>
        </w:rPr>
        <w:t xml:space="preserve">2020 – 18,2%; </w:t>
      </w:r>
      <w:r w:rsidRPr="0066263B">
        <w:rPr>
          <w:rFonts w:ascii="Times New Roman" w:eastAsia="Times New Roman" w:hAnsi="Times New Roman" w:cs="Times New Roman"/>
          <w:sz w:val="24"/>
          <w:szCs w:val="24"/>
          <w:lang w:eastAsia="ru-RU"/>
        </w:rPr>
        <w:t>2019 – 4,7%; 2018 – 7,1%)</w:t>
      </w:r>
      <w:r w:rsidR="00921A39" w:rsidRPr="0066263B">
        <w:rPr>
          <w:rFonts w:ascii="Times New Roman" w:eastAsia="Times New Roman" w:hAnsi="Times New Roman" w:cs="Times New Roman"/>
          <w:sz w:val="24"/>
          <w:szCs w:val="24"/>
          <w:lang w:eastAsia="ru-RU"/>
        </w:rPr>
        <w:t xml:space="preserve"> (рис. 42)</w:t>
      </w:r>
      <w:r w:rsidRPr="0066263B">
        <w:rPr>
          <w:rFonts w:ascii="Times New Roman" w:eastAsia="Times New Roman" w:hAnsi="Times New Roman" w:cs="Times New Roman"/>
          <w:sz w:val="24"/>
          <w:szCs w:val="24"/>
          <w:lang w:eastAsia="ru-RU"/>
        </w:rPr>
        <w:t>.</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p>
    <w:tbl>
      <w:tblPr>
        <w:tblStyle w:val="af3"/>
        <w:tblW w:w="101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21"/>
        <w:gridCol w:w="5353"/>
      </w:tblGrid>
      <w:tr w:rsidR="007B108A" w:rsidRPr="0066263B" w:rsidTr="00B217D9">
        <w:trPr>
          <w:trHeight w:val="2672"/>
        </w:trPr>
        <w:tc>
          <w:tcPr>
            <w:tcW w:w="4821" w:type="dxa"/>
          </w:tcPr>
          <w:p w:rsidR="007B108A" w:rsidRPr="0066263B" w:rsidRDefault="007B108A" w:rsidP="007B108A">
            <w:pPr>
              <w:jc w:val="center"/>
              <w:rPr>
                <w:sz w:val="24"/>
                <w:szCs w:val="24"/>
              </w:rPr>
            </w:pPr>
            <w:r w:rsidRPr="0066263B">
              <w:rPr>
                <w:noProof/>
                <w:sz w:val="24"/>
                <w:szCs w:val="24"/>
              </w:rPr>
              <w:drawing>
                <wp:inline distT="0" distB="0" distL="0" distR="0">
                  <wp:extent cx="3371850" cy="1714500"/>
                  <wp:effectExtent l="19050" t="0" r="0" b="0"/>
                  <wp:docPr id="13"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5353" w:type="dxa"/>
          </w:tcPr>
          <w:p w:rsidR="007B108A" w:rsidRPr="0066263B" w:rsidRDefault="007B108A" w:rsidP="007B108A">
            <w:pPr>
              <w:jc w:val="center"/>
              <w:rPr>
                <w:sz w:val="24"/>
                <w:szCs w:val="24"/>
              </w:rPr>
            </w:pPr>
            <w:r w:rsidRPr="0066263B">
              <w:rPr>
                <w:noProof/>
                <w:sz w:val="24"/>
                <w:szCs w:val="24"/>
              </w:rPr>
              <w:drawing>
                <wp:inline distT="0" distB="0" distL="0" distR="0">
                  <wp:extent cx="3371850" cy="1714500"/>
                  <wp:effectExtent l="19050" t="0" r="0" b="0"/>
                  <wp:docPr id="14"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7B108A" w:rsidRPr="0066263B" w:rsidTr="00B217D9">
        <w:trPr>
          <w:trHeight w:val="371"/>
        </w:trPr>
        <w:tc>
          <w:tcPr>
            <w:tcW w:w="4821" w:type="dxa"/>
          </w:tcPr>
          <w:p w:rsidR="007B108A" w:rsidRPr="0066263B" w:rsidRDefault="007B108A" w:rsidP="007B108A">
            <w:pPr>
              <w:jc w:val="center"/>
              <w:rPr>
                <w:rFonts w:ascii="Arial" w:hAnsi="Arial" w:cs="Arial"/>
                <w:b/>
              </w:rPr>
            </w:pPr>
            <w:r w:rsidRPr="0066263B">
              <w:rPr>
                <w:rFonts w:ascii="Arial" w:hAnsi="Arial" w:cs="Arial"/>
                <w:b/>
              </w:rPr>
              <w:t>2020</w:t>
            </w:r>
          </w:p>
        </w:tc>
        <w:tc>
          <w:tcPr>
            <w:tcW w:w="5353" w:type="dxa"/>
          </w:tcPr>
          <w:p w:rsidR="007B108A" w:rsidRPr="0066263B" w:rsidRDefault="007B108A" w:rsidP="007B108A">
            <w:pPr>
              <w:jc w:val="center"/>
              <w:rPr>
                <w:rFonts w:ascii="Arial" w:hAnsi="Arial" w:cs="Arial"/>
                <w:b/>
              </w:rPr>
            </w:pPr>
            <w:r w:rsidRPr="0066263B">
              <w:rPr>
                <w:rFonts w:ascii="Arial" w:hAnsi="Arial" w:cs="Arial"/>
                <w:b/>
              </w:rPr>
              <w:t>2021</w:t>
            </w:r>
          </w:p>
        </w:tc>
      </w:tr>
    </w:tbl>
    <w:p w:rsidR="00324483" w:rsidRPr="0066263B" w:rsidRDefault="00324483" w:rsidP="00324483">
      <w:pPr>
        <w:spacing w:before="0" w:after="0"/>
        <w:jc w:val="center"/>
        <w:rPr>
          <w:rFonts w:ascii="Times New Roman" w:eastAsia="Calibri" w:hAnsi="Times New Roman" w:cs="Times New Roman"/>
          <w:bCs/>
          <w:lang w:eastAsia="ru-RU"/>
        </w:rPr>
      </w:pPr>
      <w:r w:rsidRPr="0066263B">
        <w:rPr>
          <w:rFonts w:ascii="Times New Roman" w:eastAsia="Calibri" w:hAnsi="Times New Roman" w:cs="Times New Roman"/>
          <w:b/>
          <w:bCs/>
          <w:lang w:eastAsia="ru-RU"/>
        </w:rPr>
        <w:t xml:space="preserve">Рис. </w:t>
      </w:r>
      <w:r w:rsidR="006C34E2" w:rsidRPr="0066263B">
        <w:rPr>
          <w:rFonts w:ascii="Times New Roman" w:eastAsia="Calibri" w:hAnsi="Times New Roman" w:cs="Times New Roman"/>
          <w:b/>
          <w:bCs/>
          <w:lang w:eastAsia="ru-RU"/>
        </w:rPr>
        <w:fldChar w:fldCharType="begin"/>
      </w:r>
      <w:r w:rsidRPr="0066263B">
        <w:rPr>
          <w:rFonts w:ascii="Times New Roman" w:eastAsia="Calibri" w:hAnsi="Times New Roman" w:cs="Times New Roman"/>
          <w:b/>
          <w:bCs/>
          <w:lang w:eastAsia="ru-RU"/>
        </w:rPr>
        <w:instrText xml:space="preserve"> SEQ Рис._№ \* ARABIC </w:instrText>
      </w:r>
      <w:r w:rsidR="006C34E2" w:rsidRPr="0066263B">
        <w:rPr>
          <w:rFonts w:ascii="Times New Roman" w:eastAsia="Calibri" w:hAnsi="Times New Roman" w:cs="Times New Roman"/>
          <w:b/>
          <w:bCs/>
          <w:lang w:eastAsia="ru-RU"/>
        </w:rPr>
        <w:fldChar w:fldCharType="separate"/>
      </w:r>
      <w:r w:rsidR="00EC1D99">
        <w:rPr>
          <w:rFonts w:ascii="Times New Roman" w:eastAsia="Calibri" w:hAnsi="Times New Roman" w:cs="Times New Roman"/>
          <w:b/>
          <w:bCs/>
          <w:noProof/>
          <w:lang w:eastAsia="ru-RU"/>
        </w:rPr>
        <w:t>42</w:t>
      </w:r>
      <w:r w:rsidR="006C34E2" w:rsidRPr="0066263B">
        <w:rPr>
          <w:rFonts w:ascii="Times New Roman" w:eastAsia="Calibri" w:hAnsi="Times New Roman" w:cs="Times New Roman"/>
          <w:b/>
          <w:bCs/>
          <w:lang w:eastAsia="ru-RU"/>
        </w:rPr>
        <w:fldChar w:fldCharType="end"/>
      </w:r>
      <w:r w:rsidRPr="0066263B">
        <w:rPr>
          <w:rFonts w:ascii="Times New Roman" w:eastAsia="Calibri" w:hAnsi="Times New Roman" w:cs="Times New Roman"/>
          <w:b/>
          <w:bCs/>
          <w:lang w:eastAsia="ru-RU"/>
        </w:rPr>
        <w:t xml:space="preserve">. </w:t>
      </w:r>
      <w:r w:rsidRPr="0066263B">
        <w:rPr>
          <w:rFonts w:ascii="Times New Roman" w:eastAsia="Calibri" w:hAnsi="Times New Roman" w:cs="Times New Roman"/>
          <w:bCs/>
          <w:lang w:eastAsia="ru-RU"/>
        </w:rPr>
        <w:t>Структура рассмотренных жалоб населения на неблагоприятное действие</w:t>
      </w:r>
      <w:r w:rsidRPr="0066263B">
        <w:rPr>
          <w:rFonts w:ascii="Times New Roman" w:eastAsia="Calibri" w:hAnsi="Times New Roman" w:cs="Times New Roman"/>
          <w:bCs/>
          <w:lang w:eastAsia="ru-RU"/>
        </w:rPr>
        <w:br/>
        <w:t>физических факторов, %</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Основными источниками шума, оказывающими негативное воздействие на акустическую обстановку в жилых помещениях, как и в прошлые годы, является разнообразное оборудование встроенных объектов. Первое место среди таких объектов, как и в 2018-20</w:t>
      </w:r>
      <w:r w:rsidR="005414AD"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 занимает инженерно-технологическое и санитарное оборудование зданий.</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втором месте стоят предприятия общественного питания и торговли, имеющие значительное количество вентиляционного, холодильного оборудования, наружные блоки системы кондиционирования и охлаждения.</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Значительную долю обращений занимают жалобы на шум, вызванный жизнедеятельностью людей, административным нарушением общественного порядка.</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Причинами повышенного уровня шума, создаваемого указанными источниками, служит недостаточность шумозащитных мероприятий на стадии проектирования, монтаж оборудования с отступлением от проектных решений без оценки генерируемых уровней шума и вибрации, неудовлетворительная реализация шумозащитных мероприятий на стадии ввода в эксплуатацию, размещение оборудования, не предусмотренного проектом, а также неудовлетворительный </w:t>
      </w:r>
      <w:proofErr w:type="gramStart"/>
      <w:r w:rsidRPr="0066263B">
        <w:rPr>
          <w:rFonts w:ascii="Times New Roman" w:eastAsia="Times New Roman" w:hAnsi="Times New Roman" w:cs="Times New Roman"/>
          <w:sz w:val="24"/>
          <w:szCs w:val="24"/>
          <w:lang w:eastAsia="ru-RU"/>
        </w:rPr>
        <w:t>контроль за</w:t>
      </w:r>
      <w:proofErr w:type="gramEnd"/>
      <w:r w:rsidRPr="0066263B">
        <w:rPr>
          <w:rFonts w:ascii="Times New Roman" w:eastAsia="Times New Roman" w:hAnsi="Times New Roman" w:cs="Times New Roman"/>
          <w:sz w:val="24"/>
          <w:szCs w:val="24"/>
          <w:lang w:eastAsia="ru-RU"/>
        </w:rPr>
        <w:t xml:space="preserve"> эксплуатацией оборудования.</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Наиболее значимыми источниками шума в насел</w:t>
      </w:r>
      <w:r w:rsidR="00620119"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нных пунктах по-прежнему являются автомагистрали и встроенные или пристроенные к жилым зданиям объекты, такие как предприятия общественного питания и торговли, развлекательные центры, а также инженерно-технологическое оборудование зданий.</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Анализ </w:t>
      </w:r>
      <w:r w:rsidR="005414AD" w:rsidRPr="0066263B">
        <w:rPr>
          <w:rFonts w:ascii="Times New Roman" w:eastAsia="Times New Roman" w:hAnsi="Times New Roman" w:cs="Times New Roman"/>
          <w:sz w:val="24"/>
          <w:szCs w:val="24"/>
          <w:lang w:eastAsia="ru-RU"/>
        </w:rPr>
        <w:t>52</w:t>
      </w:r>
      <w:r w:rsidRPr="0066263B">
        <w:rPr>
          <w:rFonts w:ascii="Times New Roman" w:eastAsia="Times New Roman" w:hAnsi="Times New Roman" w:cs="Times New Roman"/>
          <w:sz w:val="24"/>
          <w:szCs w:val="24"/>
          <w:lang w:eastAsia="ru-RU"/>
        </w:rPr>
        <w:t xml:space="preserve"> жалоб показал, что по источникам они распределились следующим образом:</w:t>
      </w:r>
    </w:p>
    <w:p w:rsidR="00A75B34" w:rsidRPr="0066263B" w:rsidRDefault="00A75B34"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инженерно-технологическое и санитарное оборудование зданий – </w:t>
      </w:r>
      <w:r w:rsidR="005414AD" w:rsidRPr="0066263B">
        <w:rPr>
          <w:rFonts w:ascii="Times New Roman" w:eastAsia="Times New Roman" w:hAnsi="Times New Roman" w:cs="Times New Roman"/>
          <w:sz w:val="24"/>
          <w:szCs w:val="24"/>
          <w:lang w:eastAsia="ru-RU"/>
        </w:rPr>
        <w:t>46,2</w:t>
      </w:r>
      <w:r w:rsidRPr="0066263B">
        <w:rPr>
          <w:rFonts w:ascii="Times New Roman" w:eastAsia="Times New Roman" w:hAnsi="Times New Roman" w:cs="Times New Roman"/>
          <w:sz w:val="24"/>
          <w:szCs w:val="24"/>
          <w:lang w:eastAsia="ru-RU"/>
        </w:rPr>
        <w:t>% (</w:t>
      </w:r>
      <w:r w:rsidR="005414AD" w:rsidRPr="0066263B">
        <w:rPr>
          <w:rFonts w:ascii="Times New Roman" w:eastAsia="Times New Roman" w:hAnsi="Times New Roman" w:cs="Times New Roman"/>
          <w:sz w:val="24"/>
          <w:szCs w:val="24"/>
          <w:lang w:eastAsia="ru-RU"/>
        </w:rPr>
        <w:t xml:space="preserve">2020 – 24,7%; </w:t>
      </w:r>
      <w:r w:rsidRPr="0066263B">
        <w:rPr>
          <w:rFonts w:ascii="Times New Roman" w:eastAsia="Times New Roman" w:hAnsi="Times New Roman" w:cs="Times New Roman"/>
          <w:sz w:val="24"/>
          <w:szCs w:val="24"/>
          <w:lang w:eastAsia="ru-RU"/>
        </w:rPr>
        <w:t>2019 – 40,2%);</w:t>
      </w:r>
    </w:p>
    <w:p w:rsidR="00A75B34" w:rsidRPr="0066263B" w:rsidRDefault="00A75B34"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предприятия торговли и общественного питания – </w:t>
      </w:r>
      <w:r w:rsidR="005414AD" w:rsidRPr="0066263B">
        <w:rPr>
          <w:rFonts w:ascii="Times New Roman" w:eastAsia="Times New Roman" w:hAnsi="Times New Roman" w:cs="Times New Roman"/>
          <w:sz w:val="24"/>
          <w:szCs w:val="24"/>
          <w:lang w:eastAsia="ru-RU"/>
        </w:rPr>
        <w:t>17,3</w:t>
      </w:r>
      <w:r w:rsidRPr="0066263B">
        <w:rPr>
          <w:rFonts w:ascii="Times New Roman" w:eastAsia="Times New Roman" w:hAnsi="Times New Roman" w:cs="Times New Roman"/>
          <w:sz w:val="24"/>
          <w:szCs w:val="24"/>
          <w:lang w:eastAsia="ru-RU"/>
        </w:rPr>
        <w:t>% (</w:t>
      </w:r>
      <w:r w:rsidR="005414AD" w:rsidRPr="0066263B">
        <w:rPr>
          <w:rFonts w:ascii="Times New Roman" w:eastAsia="Times New Roman" w:hAnsi="Times New Roman" w:cs="Times New Roman"/>
          <w:sz w:val="24"/>
          <w:szCs w:val="24"/>
          <w:lang w:eastAsia="ru-RU"/>
        </w:rPr>
        <w:t xml:space="preserve">2020 – 23,4%; </w:t>
      </w:r>
      <w:r w:rsidRPr="0066263B">
        <w:rPr>
          <w:rFonts w:ascii="Times New Roman" w:eastAsia="Times New Roman" w:hAnsi="Times New Roman" w:cs="Times New Roman"/>
          <w:sz w:val="24"/>
          <w:szCs w:val="24"/>
          <w:lang w:eastAsia="ru-RU"/>
        </w:rPr>
        <w:t>2019 – 25,2%);</w:t>
      </w:r>
    </w:p>
    <w:p w:rsidR="00A75B34" w:rsidRPr="0066263B" w:rsidRDefault="00A75B34"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ЭМ</w:t>
      </w:r>
      <w:r w:rsidR="00FC25F2" w:rsidRPr="0066263B">
        <w:rPr>
          <w:rFonts w:ascii="Times New Roman" w:eastAsia="Times New Roman" w:hAnsi="Times New Roman" w:cs="Times New Roman"/>
          <w:sz w:val="24"/>
          <w:szCs w:val="24"/>
          <w:lang w:eastAsia="ru-RU"/>
        </w:rPr>
        <w:t>И</w:t>
      </w:r>
      <w:r w:rsidR="00620119"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в т.ч. базовые станции сотовой связи – </w:t>
      </w:r>
      <w:r w:rsidR="005414AD" w:rsidRPr="0066263B">
        <w:rPr>
          <w:rFonts w:ascii="Times New Roman" w:eastAsia="Times New Roman" w:hAnsi="Times New Roman" w:cs="Times New Roman"/>
          <w:sz w:val="24"/>
          <w:szCs w:val="24"/>
          <w:lang w:eastAsia="ru-RU"/>
        </w:rPr>
        <w:t>13,5</w:t>
      </w:r>
      <w:r w:rsidRPr="0066263B">
        <w:rPr>
          <w:rFonts w:ascii="Times New Roman" w:eastAsia="Times New Roman" w:hAnsi="Times New Roman" w:cs="Times New Roman"/>
          <w:sz w:val="24"/>
          <w:szCs w:val="24"/>
          <w:lang w:eastAsia="ru-RU"/>
        </w:rPr>
        <w:t>% (</w:t>
      </w:r>
      <w:r w:rsidR="005414AD" w:rsidRPr="0066263B">
        <w:rPr>
          <w:rFonts w:ascii="Times New Roman" w:eastAsia="Times New Roman" w:hAnsi="Times New Roman" w:cs="Times New Roman"/>
          <w:sz w:val="24"/>
          <w:szCs w:val="24"/>
          <w:lang w:eastAsia="ru-RU"/>
        </w:rPr>
        <w:t xml:space="preserve">2020 – 14,3%; </w:t>
      </w:r>
      <w:r w:rsidRPr="0066263B">
        <w:rPr>
          <w:rFonts w:ascii="Times New Roman" w:eastAsia="Times New Roman" w:hAnsi="Times New Roman" w:cs="Times New Roman"/>
          <w:sz w:val="24"/>
          <w:szCs w:val="24"/>
          <w:lang w:eastAsia="ru-RU"/>
        </w:rPr>
        <w:t>2019 – 4,7%);</w:t>
      </w:r>
    </w:p>
    <w:p w:rsidR="00A75B34" w:rsidRPr="0066263B" w:rsidRDefault="00A75B34"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прочие источники (жалобы на автотранспорт, не установленные источники и т.д.) – </w:t>
      </w:r>
      <w:r w:rsidR="005414AD" w:rsidRPr="0066263B">
        <w:rPr>
          <w:rFonts w:ascii="Times New Roman" w:eastAsia="Times New Roman" w:hAnsi="Times New Roman" w:cs="Times New Roman"/>
          <w:sz w:val="24"/>
          <w:szCs w:val="24"/>
          <w:lang w:eastAsia="ru-RU"/>
        </w:rPr>
        <w:t>23,0</w:t>
      </w:r>
      <w:r w:rsidRPr="0066263B">
        <w:rPr>
          <w:rFonts w:ascii="Times New Roman" w:eastAsia="Times New Roman" w:hAnsi="Times New Roman" w:cs="Times New Roman"/>
          <w:sz w:val="24"/>
          <w:szCs w:val="24"/>
          <w:lang w:eastAsia="ru-RU"/>
        </w:rPr>
        <w:t>% (</w:t>
      </w:r>
      <w:r w:rsidR="005414AD" w:rsidRPr="0066263B">
        <w:rPr>
          <w:rFonts w:ascii="Times New Roman" w:eastAsia="Times New Roman" w:hAnsi="Times New Roman" w:cs="Times New Roman"/>
          <w:sz w:val="24"/>
          <w:szCs w:val="24"/>
          <w:lang w:eastAsia="ru-RU"/>
        </w:rPr>
        <w:t xml:space="preserve">2020 – 37,6%; </w:t>
      </w:r>
      <w:r w:rsidRPr="0066263B">
        <w:rPr>
          <w:rFonts w:ascii="Times New Roman" w:eastAsia="Times New Roman" w:hAnsi="Times New Roman" w:cs="Times New Roman"/>
          <w:sz w:val="24"/>
          <w:szCs w:val="24"/>
          <w:lang w:eastAsia="ru-RU"/>
        </w:rPr>
        <w:t>2019 – 29,9%).</w:t>
      </w:r>
    </w:p>
    <w:p w:rsidR="00C23EB0" w:rsidRPr="0066263B" w:rsidRDefault="00A75B34" w:rsidP="00A75B34">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Почти половина жалоб на повышенный уровень шума являются обоснованными, что подтверждается результатами инструментальных измерений. В 2020 году в 4</w:t>
      </w:r>
      <w:r w:rsidR="005A3292">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w:t>
      </w:r>
      <w:r w:rsidR="005A3292">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 измерений уровень шума не соответствует санитарным нормам</w:t>
      </w:r>
      <w:r w:rsidR="00FC25F2" w:rsidRPr="0066263B">
        <w:rPr>
          <w:rFonts w:ascii="Times New Roman" w:eastAsia="Times New Roman" w:hAnsi="Times New Roman" w:cs="Times New Roman"/>
          <w:sz w:val="24"/>
          <w:szCs w:val="24"/>
          <w:lang w:eastAsia="ru-RU"/>
        </w:rPr>
        <w:t xml:space="preserve"> (20</w:t>
      </w:r>
      <w:r w:rsidR="005A3292">
        <w:rPr>
          <w:rFonts w:ascii="Times New Roman" w:eastAsia="Times New Roman" w:hAnsi="Times New Roman" w:cs="Times New Roman"/>
          <w:sz w:val="24"/>
          <w:szCs w:val="24"/>
          <w:lang w:eastAsia="ru-RU"/>
        </w:rPr>
        <w:t>20</w:t>
      </w:r>
      <w:r w:rsidR="00FC25F2" w:rsidRPr="0066263B">
        <w:rPr>
          <w:rFonts w:ascii="Times New Roman" w:eastAsia="Times New Roman" w:hAnsi="Times New Roman" w:cs="Times New Roman"/>
          <w:sz w:val="24"/>
          <w:szCs w:val="24"/>
          <w:lang w:eastAsia="ru-RU"/>
        </w:rPr>
        <w:t xml:space="preserve"> – 4</w:t>
      </w:r>
      <w:r w:rsidR="005A3292">
        <w:rPr>
          <w:rFonts w:ascii="Times New Roman" w:eastAsia="Times New Roman" w:hAnsi="Times New Roman" w:cs="Times New Roman"/>
          <w:sz w:val="24"/>
          <w:szCs w:val="24"/>
          <w:lang w:eastAsia="ru-RU"/>
        </w:rPr>
        <w:t>2</w:t>
      </w:r>
      <w:r w:rsidR="00FC25F2" w:rsidRPr="0066263B">
        <w:rPr>
          <w:rFonts w:ascii="Times New Roman" w:eastAsia="Times New Roman" w:hAnsi="Times New Roman" w:cs="Times New Roman"/>
          <w:sz w:val="24"/>
          <w:szCs w:val="24"/>
          <w:lang w:eastAsia="ru-RU"/>
        </w:rPr>
        <w:t>,</w:t>
      </w:r>
      <w:r w:rsidR="005A3292">
        <w:rPr>
          <w:rFonts w:ascii="Times New Roman" w:eastAsia="Times New Roman" w:hAnsi="Times New Roman" w:cs="Times New Roman"/>
          <w:sz w:val="24"/>
          <w:szCs w:val="24"/>
          <w:lang w:eastAsia="ru-RU"/>
        </w:rPr>
        <w:t>9</w:t>
      </w:r>
      <w:r w:rsidR="00FC25F2"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Уровни шума от оборудования встроенно-пристроенных объектов в жилых зданиях превышают предельно допустимые уровни на </w:t>
      </w:r>
      <w:r w:rsidR="005414AD"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w:t>
      </w:r>
      <w:r w:rsidR="005414AD"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дБА</w:t>
      </w:r>
      <w:proofErr w:type="spellEnd"/>
      <w:r w:rsidRPr="0066263B">
        <w:rPr>
          <w:rFonts w:ascii="Times New Roman" w:eastAsia="Times New Roman" w:hAnsi="Times New Roman" w:cs="Times New Roman"/>
          <w:sz w:val="24"/>
          <w:szCs w:val="24"/>
          <w:lang w:eastAsia="ru-RU"/>
        </w:rPr>
        <w:t>.</w:t>
      </w:r>
    </w:p>
    <w:p w:rsidR="00A75B34" w:rsidRPr="0066263B" w:rsidRDefault="00A75B34" w:rsidP="00A75B34">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Результаты инструментального контроля подтверждают необходимость, проведения экспертизы акустических расчётов уровней шума при размещении указанных объектов.</w:t>
      </w:r>
    </w:p>
    <w:p w:rsidR="00A75B34" w:rsidRPr="0066263B" w:rsidRDefault="00A75B34" w:rsidP="00A75B34">
      <w:pPr>
        <w:spacing w:before="0" w:after="0"/>
        <w:ind w:firstLine="708"/>
        <w:rPr>
          <w:rFonts w:ascii="Times New Roman" w:eastAsia="Times New Roman" w:hAnsi="Times New Roman" w:cs="Times New Roman"/>
          <w:sz w:val="24"/>
          <w:szCs w:val="24"/>
          <w:lang w:eastAsia="ru-RU"/>
        </w:rPr>
      </w:pPr>
    </w:p>
    <w:p w:rsidR="00A75B34" w:rsidRPr="0066263B" w:rsidRDefault="00A75B34" w:rsidP="00A75B34">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1786081"/>
            <wp:effectExtent l="19050" t="0" r="0" b="0"/>
            <wp:docPr id="239"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24483" w:rsidRPr="0066263B" w:rsidRDefault="00324483" w:rsidP="00324483">
      <w:pPr>
        <w:spacing w:before="0" w:after="0"/>
        <w:jc w:val="center"/>
        <w:rPr>
          <w:rFonts w:ascii="Times New Roman" w:eastAsia="Calibri" w:hAnsi="Times New Roman" w:cs="Times New Roman"/>
          <w:bCs/>
          <w:lang w:eastAsia="ru-RU"/>
        </w:rPr>
      </w:pPr>
      <w:r w:rsidRPr="0066263B">
        <w:rPr>
          <w:rFonts w:ascii="Times New Roman" w:eastAsia="Calibri" w:hAnsi="Times New Roman" w:cs="Times New Roman"/>
          <w:b/>
          <w:bCs/>
          <w:lang w:eastAsia="ru-RU"/>
        </w:rPr>
        <w:t xml:space="preserve">Рис. </w:t>
      </w:r>
      <w:r w:rsidR="006C34E2" w:rsidRPr="0066263B">
        <w:rPr>
          <w:rFonts w:ascii="Times New Roman" w:eastAsia="Calibri" w:hAnsi="Times New Roman" w:cs="Times New Roman"/>
          <w:b/>
          <w:bCs/>
          <w:lang w:eastAsia="ru-RU"/>
        </w:rPr>
        <w:fldChar w:fldCharType="begin"/>
      </w:r>
      <w:r w:rsidRPr="0066263B">
        <w:rPr>
          <w:rFonts w:ascii="Times New Roman" w:eastAsia="Calibri" w:hAnsi="Times New Roman" w:cs="Times New Roman"/>
          <w:b/>
          <w:bCs/>
          <w:lang w:eastAsia="ru-RU"/>
        </w:rPr>
        <w:instrText xml:space="preserve"> SEQ Рис._№ \* ARABIC </w:instrText>
      </w:r>
      <w:r w:rsidR="006C34E2" w:rsidRPr="0066263B">
        <w:rPr>
          <w:rFonts w:ascii="Times New Roman" w:eastAsia="Calibri" w:hAnsi="Times New Roman" w:cs="Times New Roman"/>
          <w:b/>
          <w:bCs/>
          <w:lang w:eastAsia="ru-RU"/>
        </w:rPr>
        <w:fldChar w:fldCharType="separate"/>
      </w:r>
      <w:r w:rsidR="00EC1D99">
        <w:rPr>
          <w:rFonts w:ascii="Times New Roman" w:eastAsia="Calibri" w:hAnsi="Times New Roman" w:cs="Times New Roman"/>
          <w:b/>
          <w:bCs/>
          <w:noProof/>
          <w:lang w:eastAsia="ru-RU"/>
        </w:rPr>
        <w:t>43</w:t>
      </w:r>
      <w:r w:rsidR="006C34E2" w:rsidRPr="0066263B">
        <w:rPr>
          <w:rFonts w:ascii="Times New Roman" w:eastAsia="Calibri" w:hAnsi="Times New Roman" w:cs="Times New Roman"/>
          <w:b/>
          <w:bCs/>
          <w:lang w:eastAsia="ru-RU"/>
        </w:rPr>
        <w:fldChar w:fldCharType="end"/>
      </w:r>
      <w:r w:rsidRPr="0066263B">
        <w:rPr>
          <w:rFonts w:ascii="Times New Roman" w:eastAsia="Calibri" w:hAnsi="Times New Roman" w:cs="Times New Roman"/>
          <w:b/>
          <w:bCs/>
          <w:lang w:eastAsia="ru-RU"/>
        </w:rPr>
        <w:t xml:space="preserve">. </w:t>
      </w:r>
      <w:r w:rsidRPr="0066263B">
        <w:rPr>
          <w:rFonts w:ascii="Times New Roman" w:eastAsia="Calibri" w:hAnsi="Times New Roman" w:cs="Times New Roman"/>
          <w:bCs/>
          <w:lang w:eastAsia="ru-RU"/>
        </w:rPr>
        <w:t>Структура жалоб населения на неблагоприятное действие</w:t>
      </w:r>
      <w:r w:rsidRPr="0066263B">
        <w:rPr>
          <w:rFonts w:ascii="Times New Roman" w:eastAsia="Calibri" w:hAnsi="Times New Roman" w:cs="Times New Roman"/>
          <w:bCs/>
          <w:lang w:eastAsia="ru-RU"/>
        </w:rPr>
        <w:br/>
        <w:t>неионизирующих физических факторов (по источникам), %</w:t>
      </w:r>
    </w:p>
    <w:p w:rsidR="00A75B34" w:rsidRPr="0066263B" w:rsidRDefault="00A75B34" w:rsidP="00324483">
      <w:pPr>
        <w:spacing w:before="0" w:after="0"/>
        <w:ind w:firstLine="709"/>
        <w:rPr>
          <w:rFonts w:ascii="Times New Roman" w:eastAsia="Times New Roman" w:hAnsi="Times New Roman" w:cs="Times New Roman"/>
          <w:sz w:val="24"/>
          <w:szCs w:val="24"/>
          <w:lang w:eastAsia="ru-RU"/>
        </w:rPr>
      </w:pPr>
    </w:p>
    <w:p w:rsidR="001F63A5" w:rsidRPr="0066263B" w:rsidRDefault="001F63A5" w:rsidP="00324483">
      <w:pPr>
        <w:spacing w:before="0" w:after="0"/>
        <w:ind w:firstLine="709"/>
        <w:rPr>
          <w:rFonts w:ascii="Times New Roman" w:eastAsia="Times New Roman" w:hAnsi="Times New Roman" w:cs="Times New Roman"/>
          <w:sz w:val="24"/>
          <w:szCs w:val="24"/>
          <w:lang w:eastAsia="ru-RU"/>
        </w:rPr>
      </w:pP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последние годы всё больше возрастает значимость электромагнитного излучения как потенциально опасного фактора среды обитания. Среди источников электромагнитных полей, воздействующих на население, ведущее место занимают мобильные телефоны и различные передающие радиотехнические объекты (далее – ПРТО) связи, радио- телевещания и радионавигации, генерирующие электромагнитные поля в радиочастотном диапазоне. В связи с развитием цифрового телевидения в Российской Федерации увеличивается электромагнитная нагрузка на население, что связано с увеличением мощности передатчиков.</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FC25F2" w:rsidRPr="0066263B">
        <w:rPr>
          <w:rFonts w:ascii="Times New Roman" w:eastAsia="Times New Roman" w:hAnsi="Times New Roman" w:cs="Times New Roman"/>
          <w:sz w:val="24"/>
          <w:szCs w:val="24"/>
          <w:lang w:eastAsia="ru-RU"/>
        </w:rPr>
        <w:t>2</w:t>
      </w:r>
      <w:r w:rsidR="005414AD"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продолжался рост числа ПРТО на территории населённых пунктов области, главным образом числа базовых станций сотовой связи (далее – БССС) и ради</w:t>
      </w:r>
      <w:proofErr w:type="gramStart"/>
      <w:r w:rsidRPr="0066263B">
        <w:rPr>
          <w:rFonts w:ascii="Times New Roman" w:eastAsia="Times New Roman" w:hAnsi="Times New Roman" w:cs="Times New Roman"/>
          <w:sz w:val="24"/>
          <w:szCs w:val="24"/>
          <w:lang w:eastAsia="ru-RU"/>
        </w:rPr>
        <w:t>о-</w:t>
      </w:r>
      <w:proofErr w:type="gram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телепередающих</w:t>
      </w:r>
      <w:proofErr w:type="spellEnd"/>
      <w:r w:rsidRPr="0066263B">
        <w:rPr>
          <w:rFonts w:ascii="Times New Roman" w:eastAsia="Times New Roman" w:hAnsi="Times New Roman" w:cs="Times New Roman"/>
          <w:sz w:val="24"/>
          <w:szCs w:val="24"/>
          <w:lang w:eastAsia="ru-RU"/>
        </w:rPr>
        <w:t xml:space="preserve"> центров (далее – РТПЦ). Развитие систем мобильной связи происходило в основном за счёт реконструкции имеющихся объектов (увеличение числа радиопередатчиков), продолжения работ по внедрению систем коммуникаций 3-4 поколений (3G, 4G).</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Жалобы населения, в основном, связаны с установкой БССС, особенно рядом с жилыми и общественными зданиями. Значительное количество жалоб на воздействие электромагнитных </w:t>
      </w:r>
      <w:r w:rsidR="00FC25F2" w:rsidRPr="0066263B">
        <w:rPr>
          <w:rFonts w:ascii="Times New Roman" w:eastAsia="Times New Roman" w:hAnsi="Times New Roman" w:cs="Times New Roman"/>
          <w:sz w:val="24"/>
          <w:szCs w:val="24"/>
          <w:lang w:eastAsia="ru-RU"/>
        </w:rPr>
        <w:t>излучений</w:t>
      </w:r>
      <w:r w:rsidRPr="0066263B">
        <w:rPr>
          <w:rFonts w:ascii="Times New Roman" w:eastAsia="Times New Roman" w:hAnsi="Times New Roman" w:cs="Times New Roman"/>
          <w:sz w:val="24"/>
          <w:szCs w:val="24"/>
          <w:lang w:eastAsia="ru-RU"/>
        </w:rPr>
        <w:t xml:space="preserve"> связано с расширением проводного интернета и телевидения, прокладкой проводов и установкой телекоммуникационного оборудования в жилых домах. Как правило, данные жалобы не подтверждаются.</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202</w:t>
      </w:r>
      <w:r w:rsidR="005414AD"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 в Управление Роспотребнадзора по Брянской области поступило </w:t>
      </w:r>
      <w:r w:rsidR="005414AD" w:rsidRPr="0066263B">
        <w:rPr>
          <w:rFonts w:ascii="Times New Roman" w:eastAsia="Times New Roman" w:hAnsi="Times New Roman" w:cs="Times New Roman"/>
          <w:sz w:val="24"/>
          <w:szCs w:val="24"/>
          <w:lang w:eastAsia="ru-RU"/>
        </w:rPr>
        <w:t xml:space="preserve">7 </w:t>
      </w:r>
      <w:r w:rsidRPr="0066263B">
        <w:rPr>
          <w:rFonts w:ascii="Times New Roman" w:eastAsia="Times New Roman" w:hAnsi="Times New Roman" w:cs="Times New Roman"/>
          <w:sz w:val="24"/>
          <w:szCs w:val="24"/>
          <w:lang w:eastAsia="ru-RU"/>
        </w:rPr>
        <w:t>жалоб на размещение и возможное негативное воздействие ПРТО. Все обращения рассмотрены в установленном порядке, доводы заявителей не подтвердились.</w:t>
      </w:r>
    </w:p>
    <w:p w:rsidR="00C23EB0" w:rsidRPr="0066263B" w:rsidRDefault="00C23EB0" w:rsidP="00A75B34">
      <w:pPr>
        <w:spacing w:before="0" w:after="0"/>
        <w:ind w:firstLine="709"/>
        <w:rPr>
          <w:rFonts w:ascii="Times New Roman" w:eastAsia="Times New Roman" w:hAnsi="Times New Roman" w:cs="Times New Roman"/>
          <w:sz w:val="24"/>
          <w:szCs w:val="24"/>
          <w:lang w:eastAsia="ru-RU"/>
        </w:rPr>
      </w:pP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w:t>
      </w:r>
      <w:r w:rsidR="005414AD"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выдано </w:t>
      </w:r>
      <w:r w:rsidR="005414AD" w:rsidRPr="0066263B">
        <w:rPr>
          <w:rFonts w:ascii="Times New Roman" w:eastAsia="Times New Roman" w:hAnsi="Times New Roman" w:cs="Times New Roman"/>
          <w:sz w:val="24"/>
          <w:szCs w:val="24"/>
          <w:lang w:eastAsia="ru-RU"/>
        </w:rPr>
        <w:t>261</w:t>
      </w:r>
      <w:r w:rsidRPr="0066263B">
        <w:rPr>
          <w:rFonts w:ascii="Times New Roman" w:eastAsia="Times New Roman" w:hAnsi="Times New Roman" w:cs="Times New Roman"/>
          <w:sz w:val="24"/>
          <w:szCs w:val="24"/>
          <w:lang w:eastAsia="ru-RU"/>
        </w:rPr>
        <w:t xml:space="preserve"> заключени</w:t>
      </w:r>
      <w:r w:rsidR="005414AD" w:rsidRPr="0066263B">
        <w:rPr>
          <w:rFonts w:ascii="Times New Roman" w:eastAsia="Times New Roman" w:hAnsi="Times New Roman" w:cs="Times New Roman"/>
          <w:sz w:val="24"/>
          <w:szCs w:val="24"/>
          <w:lang w:eastAsia="ru-RU"/>
        </w:rPr>
        <w:t>е</w:t>
      </w:r>
      <w:r w:rsidRPr="0066263B">
        <w:rPr>
          <w:rFonts w:ascii="Times New Roman" w:eastAsia="Times New Roman" w:hAnsi="Times New Roman" w:cs="Times New Roman"/>
          <w:sz w:val="24"/>
          <w:szCs w:val="24"/>
          <w:lang w:eastAsia="ru-RU"/>
        </w:rPr>
        <w:t xml:space="preserve"> по результатам санитарно-эпидемиологической экспертизы расчёта санитарно-защитной зоны, зоны ограничения застройки и размещения передающих радиотехнических объектов (</w:t>
      </w:r>
      <w:r w:rsidR="005414AD" w:rsidRPr="0066263B">
        <w:rPr>
          <w:rFonts w:ascii="Times New Roman" w:eastAsia="Times New Roman" w:hAnsi="Times New Roman" w:cs="Times New Roman"/>
          <w:sz w:val="24"/>
          <w:szCs w:val="24"/>
          <w:lang w:eastAsia="ru-RU"/>
        </w:rPr>
        <w:t xml:space="preserve">2020 – 324; </w:t>
      </w:r>
      <w:r w:rsidRPr="0066263B">
        <w:rPr>
          <w:rFonts w:ascii="Times New Roman" w:eastAsia="Times New Roman" w:hAnsi="Times New Roman" w:cs="Times New Roman"/>
          <w:sz w:val="24"/>
          <w:szCs w:val="24"/>
          <w:lang w:eastAsia="ru-RU"/>
        </w:rPr>
        <w:t>2019 – 227; 2018 – 235).</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Интенсивное развитие системы сотовой радиотелефонной связи приводит к увеличению количества источников электромагнитного излучения радиочастотного диапазона. На территории области работают 4 крупных оператора сотовой связи («МТС», «Мегафон», «</w:t>
      </w:r>
      <w:proofErr w:type="spellStart"/>
      <w:r w:rsidRPr="0066263B">
        <w:rPr>
          <w:rFonts w:ascii="Times New Roman" w:eastAsia="Times New Roman" w:hAnsi="Times New Roman" w:cs="Times New Roman"/>
          <w:sz w:val="24"/>
          <w:szCs w:val="24"/>
          <w:lang w:eastAsia="ru-RU"/>
        </w:rPr>
        <w:t>ВымпелКом</w:t>
      </w:r>
      <w:proofErr w:type="spellEnd"/>
      <w:r w:rsidRPr="0066263B">
        <w:rPr>
          <w:rFonts w:ascii="Times New Roman" w:eastAsia="Times New Roman" w:hAnsi="Times New Roman" w:cs="Times New Roman"/>
          <w:sz w:val="24"/>
          <w:szCs w:val="24"/>
          <w:lang w:eastAsia="ru-RU"/>
        </w:rPr>
        <w:t xml:space="preserve">», «Т2-Мобайл»), </w:t>
      </w:r>
      <w:proofErr w:type="spellStart"/>
      <w:r w:rsidRPr="0066263B">
        <w:rPr>
          <w:rFonts w:ascii="Times New Roman" w:eastAsia="Times New Roman" w:hAnsi="Times New Roman" w:cs="Times New Roman"/>
          <w:sz w:val="24"/>
          <w:szCs w:val="24"/>
          <w:lang w:eastAsia="ru-RU"/>
        </w:rPr>
        <w:t>радио-телевещательная</w:t>
      </w:r>
      <w:proofErr w:type="spellEnd"/>
      <w:r w:rsidRPr="0066263B">
        <w:rPr>
          <w:rFonts w:ascii="Times New Roman" w:eastAsia="Times New Roman" w:hAnsi="Times New Roman" w:cs="Times New Roman"/>
          <w:sz w:val="24"/>
          <w:szCs w:val="24"/>
          <w:lang w:eastAsia="ru-RU"/>
        </w:rPr>
        <w:t xml:space="preserve"> сеть перешла на новые технологии.</w:t>
      </w:r>
    </w:p>
    <w:p w:rsidR="00A75B34" w:rsidRPr="0066263B" w:rsidRDefault="00A75B34" w:rsidP="00A75B3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 учётом анализа поступающих в Управление жалоб, а также с учётом градостроительной ситуации Управлением Роспотребнадзора по Брянской области определены точки для осуществления </w:t>
      </w:r>
      <w:proofErr w:type="gramStart"/>
      <w:r w:rsidRPr="0066263B">
        <w:rPr>
          <w:rFonts w:ascii="Times New Roman" w:eastAsia="Times New Roman" w:hAnsi="Times New Roman" w:cs="Times New Roman"/>
          <w:sz w:val="24"/>
          <w:szCs w:val="24"/>
          <w:lang w:eastAsia="ru-RU"/>
        </w:rPr>
        <w:t>контроля за</w:t>
      </w:r>
      <w:proofErr w:type="gramEnd"/>
      <w:r w:rsidRPr="0066263B">
        <w:rPr>
          <w:rFonts w:ascii="Times New Roman" w:eastAsia="Times New Roman" w:hAnsi="Times New Roman" w:cs="Times New Roman"/>
          <w:sz w:val="24"/>
          <w:szCs w:val="24"/>
          <w:lang w:eastAsia="ru-RU"/>
        </w:rPr>
        <w:t xml:space="preserve"> уровнями электромагнитных излучений в рамках социально-гигиенического мониторинга в местах проживания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течение 20</w:t>
      </w:r>
      <w:r w:rsidR="00D351BB" w:rsidRPr="0066263B">
        <w:rPr>
          <w:rFonts w:ascii="Times New Roman" w:eastAsia="Times New Roman" w:hAnsi="Times New Roman" w:cs="Times New Roman"/>
          <w:sz w:val="24"/>
          <w:szCs w:val="24"/>
          <w:lang w:eastAsia="ru-RU"/>
        </w:rPr>
        <w:t>2</w:t>
      </w:r>
      <w:r w:rsidR="005414AD"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года в детских дошкольных и общеобразовательных учреждениях по физическим факторам проведено:</w:t>
      </w:r>
    </w:p>
    <w:p w:rsidR="00415622" w:rsidRPr="0066263B" w:rsidRDefault="00415622" w:rsidP="00160BD2">
      <w:pPr>
        <w:numPr>
          <w:ilvl w:val="0"/>
          <w:numId w:val="30"/>
        </w:numPr>
        <w:spacing w:before="0" w:after="0"/>
        <w:ind w:left="709"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измерений параметров микроклимата – </w:t>
      </w:r>
      <w:r w:rsidR="005414AD" w:rsidRPr="0066263B">
        <w:rPr>
          <w:rFonts w:ascii="Times New Roman" w:eastAsia="Times New Roman" w:hAnsi="Times New Roman" w:cs="Times New Roman"/>
          <w:sz w:val="24"/>
          <w:szCs w:val="24"/>
          <w:lang w:eastAsia="ru-RU"/>
        </w:rPr>
        <w:t>3 257</w:t>
      </w:r>
      <w:r w:rsidRPr="0066263B">
        <w:rPr>
          <w:rFonts w:ascii="Times New Roman" w:eastAsia="Times New Roman" w:hAnsi="Times New Roman" w:cs="Times New Roman"/>
          <w:sz w:val="24"/>
          <w:szCs w:val="24"/>
          <w:lang w:eastAsia="ru-RU"/>
        </w:rPr>
        <w:t>, из них доля не соответствующих гигиеническим нормативам состав</w:t>
      </w:r>
      <w:r w:rsidR="005A3292">
        <w:rPr>
          <w:rFonts w:ascii="Times New Roman" w:eastAsia="Times New Roman" w:hAnsi="Times New Roman" w:cs="Times New Roman"/>
          <w:sz w:val="24"/>
          <w:szCs w:val="24"/>
          <w:lang w:eastAsia="ru-RU"/>
        </w:rPr>
        <w:t>ила</w:t>
      </w:r>
      <w:r w:rsidRPr="0066263B">
        <w:rPr>
          <w:rFonts w:ascii="Times New Roman" w:eastAsia="Times New Roman" w:hAnsi="Times New Roman" w:cs="Times New Roman"/>
          <w:sz w:val="24"/>
          <w:szCs w:val="24"/>
          <w:lang w:eastAsia="ru-RU"/>
        </w:rPr>
        <w:t xml:space="preserve"> 0,</w:t>
      </w:r>
      <w:r w:rsidR="005414AD" w:rsidRPr="0066263B">
        <w:rPr>
          <w:rFonts w:ascii="Times New Roman" w:eastAsia="Times New Roman" w:hAnsi="Times New Roman" w:cs="Times New Roman"/>
          <w:sz w:val="24"/>
          <w:szCs w:val="24"/>
          <w:lang w:eastAsia="ru-RU"/>
        </w:rPr>
        <w:t>03</w:t>
      </w:r>
      <w:r w:rsidRPr="0066263B">
        <w:rPr>
          <w:rFonts w:ascii="Times New Roman" w:eastAsia="Times New Roman" w:hAnsi="Times New Roman" w:cs="Times New Roman"/>
          <w:sz w:val="24"/>
          <w:szCs w:val="24"/>
          <w:lang w:eastAsia="ru-RU"/>
        </w:rPr>
        <w:t>% (</w:t>
      </w:r>
      <w:r w:rsidR="005414AD" w:rsidRPr="0066263B">
        <w:rPr>
          <w:rFonts w:ascii="Times New Roman" w:eastAsia="Times New Roman" w:hAnsi="Times New Roman" w:cs="Times New Roman"/>
          <w:sz w:val="24"/>
          <w:szCs w:val="24"/>
          <w:lang w:eastAsia="ru-RU"/>
        </w:rPr>
        <w:t xml:space="preserve">2020 – 0,1%; </w:t>
      </w:r>
      <w:r w:rsidRPr="0066263B">
        <w:rPr>
          <w:rFonts w:ascii="Times New Roman" w:eastAsia="Times New Roman" w:hAnsi="Times New Roman" w:cs="Times New Roman"/>
          <w:sz w:val="24"/>
          <w:szCs w:val="24"/>
          <w:lang w:eastAsia="ru-RU"/>
        </w:rPr>
        <w:t>2019 – 3,0%; 2018 – 2,5%);</w:t>
      </w:r>
    </w:p>
    <w:p w:rsidR="00415622" w:rsidRPr="0066263B" w:rsidRDefault="00415622" w:rsidP="00160BD2">
      <w:pPr>
        <w:numPr>
          <w:ilvl w:val="0"/>
          <w:numId w:val="30"/>
        </w:numPr>
        <w:spacing w:before="0" w:after="0"/>
        <w:ind w:left="709"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измерений искусственной освещённости – </w:t>
      </w:r>
      <w:r w:rsidR="005414AD" w:rsidRPr="0066263B">
        <w:rPr>
          <w:rFonts w:ascii="Times New Roman" w:eastAsia="Times New Roman" w:hAnsi="Times New Roman" w:cs="Times New Roman"/>
          <w:sz w:val="24"/>
          <w:szCs w:val="24"/>
          <w:lang w:eastAsia="ru-RU"/>
        </w:rPr>
        <w:t>8 268</w:t>
      </w:r>
      <w:r w:rsidRPr="0066263B">
        <w:rPr>
          <w:rFonts w:ascii="Times New Roman" w:eastAsia="Times New Roman" w:hAnsi="Times New Roman" w:cs="Times New Roman"/>
          <w:sz w:val="24"/>
          <w:szCs w:val="24"/>
          <w:lang w:eastAsia="ru-RU"/>
        </w:rPr>
        <w:t xml:space="preserve">, из них доля не соответствующих гигиеническим нормативам </w:t>
      </w:r>
      <w:r w:rsidR="005A3292" w:rsidRPr="0066263B">
        <w:rPr>
          <w:rFonts w:ascii="Times New Roman" w:eastAsia="Times New Roman" w:hAnsi="Times New Roman" w:cs="Times New Roman"/>
          <w:sz w:val="24"/>
          <w:szCs w:val="24"/>
          <w:lang w:eastAsia="ru-RU"/>
        </w:rPr>
        <w:t>состав</w:t>
      </w:r>
      <w:r w:rsidR="005A3292">
        <w:rPr>
          <w:rFonts w:ascii="Times New Roman" w:eastAsia="Times New Roman" w:hAnsi="Times New Roman" w:cs="Times New Roman"/>
          <w:sz w:val="24"/>
          <w:szCs w:val="24"/>
          <w:lang w:eastAsia="ru-RU"/>
        </w:rPr>
        <w:t>ила</w:t>
      </w:r>
      <w:r w:rsidR="005A3292" w:rsidRPr="0066263B">
        <w:rPr>
          <w:rFonts w:ascii="Times New Roman" w:eastAsia="Times New Roman" w:hAnsi="Times New Roman" w:cs="Times New Roman"/>
          <w:sz w:val="24"/>
          <w:szCs w:val="24"/>
          <w:lang w:eastAsia="ru-RU"/>
        </w:rPr>
        <w:t xml:space="preserve"> </w:t>
      </w:r>
      <w:r w:rsidR="005414AD" w:rsidRPr="0066263B">
        <w:rPr>
          <w:rFonts w:ascii="Times New Roman" w:eastAsia="Times New Roman" w:hAnsi="Times New Roman" w:cs="Times New Roman"/>
          <w:sz w:val="24"/>
          <w:szCs w:val="24"/>
          <w:lang w:eastAsia="ru-RU"/>
        </w:rPr>
        <w:t>5,6</w:t>
      </w:r>
      <w:r w:rsidRPr="0066263B">
        <w:rPr>
          <w:rFonts w:ascii="Times New Roman" w:eastAsia="Times New Roman" w:hAnsi="Times New Roman" w:cs="Times New Roman"/>
          <w:sz w:val="24"/>
          <w:szCs w:val="24"/>
          <w:lang w:eastAsia="ru-RU"/>
        </w:rPr>
        <w:t>% (</w:t>
      </w:r>
      <w:r w:rsidR="005414AD" w:rsidRPr="0066263B">
        <w:rPr>
          <w:rFonts w:ascii="Times New Roman" w:eastAsia="Times New Roman" w:hAnsi="Times New Roman" w:cs="Times New Roman"/>
          <w:sz w:val="24"/>
          <w:szCs w:val="24"/>
          <w:lang w:eastAsia="ru-RU"/>
        </w:rPr>
        <w:t xml:space="preserve">2020 – 1,8%; </w:t>
      </w:r>
      <w:r w:rsidRPr="0066263B">
        <w:rPr>
          <w:rFonts w:ascii="Times New Roman" w:eastAsia="Times New Roman" w:hAnsi="Times New Roman" w:cs="Times New Roman"/>
          <w:sz w:val="24"/>
          <w:szCs w:val="24"/>
          <w:lang w:eastAsia="ru-RU"/>
        </w:rPr>
        <w:t>2019 – 4,7%; 2018 – 3,6%);</w:t>
      </w:r>
    </w:p>
    <w:p w:rsidR="00415622" w:rsidRPr="0066263B" w:rsidRDefault="00415622" w:rsidP="00160BD2">
      <w:pPr>
        <w:numPr>
          <w:ilvl w:val="0"/>
          <w:numId w:val="30"/>
        </w:numPr>
        <w:spacing w:before="0" w:after="0"/>
        <w:ind w:left="709"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измерений ЭМ</w:t>
      </w:r>
      <w:r w:rsidR="00FC25F2" w:rsidRPr="0066263B">
        <w:rPr>
          <w:rFonts w:ascii="Times New Roman" w:eastAsia="Times New Roman" w:hAnsi="Times New Roman" w:cs="Times New Roman"/>
          <w:sz w:val="24"/>
          <w:szCs w:val="24"/>
          <w:lang w:eastAsia="ru-RU"/>
        </w:rPr>
        <w:t>И</w:t>
      </w:r>
      <w:r w:rsidRPr="0066263B">
        <w:rPr>
          <w:rFonts w:ascii="Times New Roman" w:eastAsia="Times New Roman" w:hAnsi="Times New Roman" w:cs="Times New Roman"/>
          <w:sz w:val="24"/>
          <w:szCs w:val="24"/>
          <w:lang w:eastAsia="ru-RU"/>
        </w:rPr>
        <w:t xml:space="preserve"> – </w:t>
      </w:r>
      <w:r w:rsidR="005414AD" w:rsidRPr="0066263B">
        <w:rPr>
          <w:rFonts w:ascii="Times New Roman" w:eastAsia="Times New Roman" w:hAnsi="Times New Roman" w:cs="Times New Roman"/>
          <w:sz w:val="24"/>
          <w:szCs w:val="24"/>
          <w:lang w:eastAsia="ru-RU"/>
        </w:rPr>
        <w:t>1 185</w:t>
      </w:r>
      <w:r w:rsidRPr="0066263B">
        <w:rPr>
          <w:rFonts w:ascii="Times New Roman" w:eastAsia="Times New Roman" w:hAnsi="Times New Roman" w:cs="Times New Roman"/>
          <w:sz w:val="24"/>
          <w:szCs w:val="24"/>
          <w:lang w:eastAsia="ru-RU"/>
        </w:rPr>
        <w:t xml:space="preserve">, из них доля не соответствующих гигиеническим нормативам </w:t>
      </w:r>
      <w:r w:rsidR="005A3292" w:rsidRPr="0066263B">
        <w:rPr>
          <w:rFonts w:ascii="Times New Roman" w:eastAsia="Times New Roman" w:hAnsi="Times New Roman" w:cs="Times New Roman"/>
          <w:sz w:val="24"/>
          <w:szCs w:val="24"/>
          <w:lang w:eastAsia="ru-RU"/>
        </w:rPr>
        <w:t>состав</w:t>
      </w:r>
      <w:r w:rsidR="005A3292">
        <w:rPr>
          <w:rFonts w:ascii="Times New Roman" w:eastAsia="Times New Roman" w:hAnsi="Times New Roman" w:cs="Times New Roman"/>
          <w:sz w:val="24"/>
          <w:szCs w:val="24"/>
          <w:lang w:eastAsia="ru-RU"/>
        </w:rPr>
        <w:t>ила</w:t>
      </w:r>
      <w:r w:rsidR="005A3292" w:rsidRPr="0066263B">
        <w:rPr>
          <w:rFonts w:ascii="Times New Roman" w:eastAsia="Times New Roman" w:hAnsi="Times New Roman" w:cs="Times New Roman"/>
          <w:sz w:val="24"/>
          <w:szCs w:val="24"/>
          <w:lang w:eastAsia="ru-RU"/>
        </w:rPr>
        <w:t xml:space="preserve"> </w:t>
      </w:r>
      <w:r w:rsidR="005414AD" w:rsidRPr="0066263B">
        <w:rPr>
          <w:rFonts w:ascii="Times New Roman" w:eastAsia="Times New Roman" w:hAnsi="Times New Roman" w:cs="Times New Roman"/>
          <w:sz w:val="24"/>
          <w:szCs w:val="24"/>
          <w:lang w:eastAsia="ru-RU"/>
        </w:rPr>
        <w:t>0,6</w:t>
      </w:r>
      <w:r w:rsidRPr="0066263B">
        <w:rPr>
          <w:rFonts w:ascii="Times New Roman" w:eastAsia="Times New Roman" w:hAnsi="Times New Roman" w:cs="Times New Roman"/>
          <w:sz w:val="24"/>
          <w:szCs w:val="24"/>
          <w:lang w:eastAsia="ru-RU"/>
        </w:rPr>
        <w:t>% (</w:t>
      </w:r>
      <w:r w:rsidR="005414AD" w:rsidRPr="0066263B">
        <w:rPr>
          <w:rFonts w:ascii="Times New Roman" w:eastAsia="Times New Roman" w:hAnsi="Times New Roman" w:cs="Times New Roman"/>
          <w:sz w:val="24"/>
          <w:szCs w:val="24"/>
          <w:lang w:eastAsia="ru-RU"/>
        </w:rPr>
        <w:t xml:space="preserve">2020 – 2,3%; </w:t>
      </w:r>
      <w:r w:rsidRPr="0066263B">
        <w:rPr>
          <w:rFonts w:ascii="Times New Roman" w:eastAsia="Times New Roman" w:hAnsi="Times New Roman" w:cs="Times New Roman"/>
          <w:sz w:val="24"/>
          <w:szCs w:val="24"/>
          <w:lang w:eastAsia="ru-RU"/>
        </w:rPr>
        <w:t>2019 – 3,4%; 2018 – 11,5%) (табл. </w:t>
      </w:r>
      <w:r w:rsidR="000D45BB" w:rsidRPr="0066263B">
        <w:rPr>
          <w:rFonts w:ascii="Times New Roman" w:eastAsia="Times New Roman" w:hAnsi="Times New Roman" w:cs="Times New Roman"/>
          <w:sz w:val="24"/>
          <w:szCs w:val="24"/>
          <w:lang w:eastAsia="ru-RU"/>
        </w:rPr>
        <w:t>2</w:t>
      </w:r>
      <w:r w:rsidR="00222578"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w:t>
      </w:r>
    </w:p>
    <w:p w:rsidR="00415622" w:rsidRPr="0066263B" w:rsidRDefault="00415622" w:rsidP="00415622">
      <w:pPr>
        <w:spacing w:before="0" w:after="0"/>
        <w:ind w:left="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29</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Характеристика результатов измерений физических факторов проведённых в рамках надзора за детскими дошкольными и учебными заведениями по физическим факторам, %</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9050"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02"/>
        <w:gridCol w:w="1104"/>
        <w:gridCol w:w="1104"/>
        <w:gridCol w:w="1104"/>
        <w:gridCol w:w="2836"/>
      </w:tblGrid>
      <w:tr w:rsidR="005414AD" w:rsidRPr="0066263B" w:rsidTr="005414AD">
        <w:trPr>
          <w:jc w:val="center"/>
        </w:trPr>
        <w:tc>
          <w:tcPr>
            <w:tcW w:w="2902" w:type="dxa"/>
            <w:vAlign w:val="center"/>
          </w:tcPr>
          <w:p w:rsidR="005414AD" w:rsidRPr="0066263B" w:rsidRDefault="005414AD"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Показатель</w:t>
            </w:r>
          </w:p>
        </w:tc>
        <w:tc>
          <w:tcPr>
            <w:tcW w:w="1104" w:type="dxa"/>
            <w:vAlign w:val="center"/>
          </w:tcPr>
          <w:p w:rsidR="005414AD" w:rsidRPr="0066263B" w:rsidRDefault="005414AD" w:rsidP="005414AD">
            <w:pPr>
              <w:spacing w:before="0" w:after="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104" w:type="dxa"/>
            <w:vAlign w:val="center"/>
          </w:tcPr>
          <w:p w:rsidR="005414AD" w:rsidRPr="0066263B" w:rsidRDefault="005414AD" w:rsidP="005414AD">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104" w:type="dxa"/>
            <w:vAlign w:val="center"/>
          </w:tcPr>
          <w:p w:rsidR="005414AD" w:rsidRPr="0066263B" w:rsidRDefault="005414AD" w:rsidP="00C84D4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c>
          <w:tcPr>
            <w:tcW w:w="2836" w:type="dxa"/>
          </w:tcPr>
          <w:p w:rsidR="005414AD" w:rsidRPr="0066263B" w:rsidRDefault="005414AD" w:rsidP="005414AD">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Темп прироста к 2019, %</w:t>
            </w:r>
          </w:p>
        </w:tc>
      </w:tr>
      <w:tr w:rsidR="00BE3DAD" w:rsidRPr="0066263B" w:rsidTr="005414AD">
        <w:trPr>
          <w:jc w:val="center"/>
        </w:trPr>
        <w:tc>
          <w:tcPr>
            <w:tcW w:w="2902" w:type="dxa"/>
            <w:vAlign w:val="center"/>
          </w:tcPr>
          <w:p w:rsidR="00BE3DAD" w:rsidRPr="0066263B" w:rsidRDefault="00BE3DAD"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Микроклимат</w:t>
            </w:r>
          </w:p>
        </w:tc>
        <w:tc>
          <w:tcPr>
            <w:tcW w:w="1104" w:type="dxa"/>
            <w:vAlign w:val="center"/>
          </w:tcPr>
          <w:p w:rsidR="00BE3DAD" w:rsidRPr="0066263B" w:rsidRDefault="00BE3DAD" w:rsidP="005414AD">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w:t>
            </w:r>
          </w:p>
        </w:tc>
        <w:tc>
          <w:tcPr>
            <w:tcW w:w="1104" w:type="dxa"/>
            <w:vAlign w:val="center"/>
          </w:tcPr>
          <w:p w:rsidR="00BE3DAD" w:rsidRPr="0066263B" w:rsidRDefault="00BE3DAD" w:rsidP="005414AD">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w:t>
            </w:r>
          </w:p>
        </w:tc>
        <w:tc>
          <w:tcPr>
            <w:tcW w:w="1104" w:type="dxa"/>
            <w:vAlign w:val="center"/>
          </w:tcPr>
          <w:p w:rsidR="00BE3DAD" w:rsidRPr="0066263B" w:rsidRDefault="00BE3DAD" w:rsidP="00415622">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0,03</w:t>
            </w:r>
          </w:p>
        </w:tc>
        <w:tc>
          <w:tcPr>
            <w:tcW w:w="2836" w:type="dxa"/>
            <w:shd w:val="clear" w:color="auto" w:fill="auto"/>
            <w:vAlign w:val="center"/>
          </w:tcPr>
          <w:p w:rsidR="00BE3DAD" w:rsidRPr="0066263B" w:rsidRDefault="00BE3DAD"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w:t>
            </w:r>
          </w:p>
        </w:tc>
      </w:tr>
      <w:tr w:rsidR="00BE3DAD" w:rsidRPr="0066263B" w:rsidTr="005414AD">
        <w:trPr>
          <w:jc w:val="center"/>
        </w:trPr>
        <w:tc>
          <w:tcPr>
            <w:tcW w:w="2902" w:type="dxa"/>
            <w:vAlign w:val="center"/>
          </w:tcPr>
          <w:p w:rsidR="00BE3DAD" w:rsidRPr="0066263B" w:rsidRDefault="00BE3DAD"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Освещённость</w:t>
            </w:r>
          </w:p>
        </w:tc>
        <w:tc>
          <w:tcPr>
            <w:tcW w:w="1104" w:type="dxa"/>
            <w:vAlign w:val="center"/>
          </w:tcPr>
          <w:p w:rsidR="00BE3DAD" w:rsidRPr="0066263B" w:rsidRDefault="00BE3DAD" w:rsidP="005414AD">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w:t>
            </w:r>
          </w:p>
        </w:tc>
        <w:tc>
          <w:tcPr>
            <w:tcW w:w="1104" w:type="dxa"/>
            <w:vAlign w:val="center"/>
          </w:tcPr>
          <w:p w:rsidR="00BE3DAD" w:rsidRPr="0066263B" w:rsidRDefault="00BE3DAD" w:rsidP="005414AD">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1104" w:type="dxa"/>
            <w:vAlign w:val="center"/>
          </w:tcPr>
          <w:p w:rsidR="00BE3DAD" w:rsidRPr="0066263B" w:rsidRDefault="00BE3DAD" w:rsidP="00C84D4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w:t>
            </w:r>
          </w:p>
        </w:tc>
        <w:tc>
          <w:tcPr>
            <w:tcW w:w="2836" w:type="dxa"/>
            <w:shd w:val="clear" w:color="auto" w:fill="auto"/>
            <w:vAlign w:val="center"/>
          </w:tcPr>
          <w:p w:rsidR="00BE3DAD" w:rsidRPr="0066263B" w:rsidRDefault="00BE3DAD"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19,15</w:t>
            </w:r>
          </w:p>
        </w:tc>
      </w:tr>
      <w:tr w:rsidR="00BE3DAD" w:rsidRPr="0066263B" w:rsidTr="005414AD">
        <w:trPr>
          <w:jc w:val="center"/>
        </w:trPr>
        <w:tc>
          <w:tcPr>
            <w:tcW w:w="2902" w:type="dxa"/>
            <w:vAlign w:val="center"/>
          </w:tcPr>
          <w:p w:rsidR="00BE3DAD" w:rsidRPr="0066263B" w:rsidRDefault="00BE3DAD" w:rsidP="00FC25F2">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Электромагнитные излучения</w:t>
            </w:r>
          </w:p>
        </w:tc>
        <w:tc>
          <w:tcPr>
            <w:tcW w:w="1104" w:type="dxa"/>
            <w:vAlign w:val="center"/>
          </w:tcPr>
          <w:p w:rsidR="00BE3DAD" w:rsidRPr="0066263B" w:rsidRDefault="00BE3DAD" w:rsidP="005414AD">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w:t>
            </w:r>
          </w:p>
        </w:tc>
        <w:tc>
          <w:tcPr>
            <w:tcW w:w="1104" w:type="dxa"/>
            <w:vAlign w:val="center"/>
          </w:tcPr>
          <w:p w:rsidR="00BE3DAD" w:rsidRPr="0066263B" w:rsidRDefault="00BE3DAD" w:rsidP="005414AD">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w:t>
            </w:r>
          </w:p>
        </w:tc>
        <w:tc>
          <w:tcPr>
            <w:tcW w:w="1104" w:type="dxa"/>
            <w:vAlign w:val="center"/>
          </w:tcPr>
          <w:p w:rsidR="00BE3DAD" w:rsidRPr="0066263B" w:rsidRDefault="00BE3DAD" w:rsidP="00C84D4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w:t>
            </w:r>
          </w:p>
        </w:tc>
        <w:tc>
          <w:tcPr>
            <w:tcW w:w="2836" w:type="dxa"/>
            <w:shd w:val="clear" w:color="auto" w:fill="auto"/>
            <w:vAlign w:val="center"/>
          </w:tcPr>
          <w:p w:rsidR="00BE3DAD" w:rsidRPr="0066263B" w:rsidRDefault="00BE3DAD"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-82,35</w:t>
            </w:r>
          </w:p>
        </w:tc>
      </w:tr>
    </w:tbl>
    <w:p w:rsidR="00324483" w:rsidRPr="0066263B" w:rsidRDefault="00324483" w:rsidP="00324483">
      <w:pPr>
        <w:spacing w:before="0" w:after="0"/>
        <w:ind w:firstLine="709"/>
        <w:rPr>
          <w:rFonts w:ascii="Times New Roman" w:eastAsia="Times New Roman" w:hAnsi="Times New Roman" w:cs="Times New Roman"/>
          <w:bCs/>
          <w:sz w:val="24"/>
          <w:szCs w:val="24"/>
          <w:lang w:eastAsia="ru-RU"/>
        </w:rPr>
      </w:pPr>
    </w:p>
    <w:p w:rsidR="00415622" w:rsidRPr="0066263B" w:rsidRDefault="00415622" w:rsidP="00415622">
      <w:pPr>
        <w:spacing w:before="0" w:after="0"/>
        <w:ind w:firstLine="709"/>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В 202</w:t>
      </w:r>
      <w:r w:rsidR="005414AD" w:rsidRPr="0066263B">
        <w:rPr>
          <w:rFonts w:ascii="Times New Roman" w:eastAsia="Times New Roman" w:hAnsi="Times New Roman" w:cs="Times New Roman"/>
          <w:bCs/>
          <w:sz w:val="24"/>
          <w:szCs w:val="24"/>
          <w:lang w:eastAsia="ru-RU"/>
        </w:rPr>
        <w:t>1</w:t>
      </w:r>
      <w:r w:rsidRPr="0066263B">
        <w:rPr>
          <w:rFonts w:ascii="Times New Roman" w:eastAsia="Times New Roman" w:hAnsi="Times New Roman" w:cs="Times New Roman"/>
          <w:bCs/>
          <w:sz w:val="24"/>
          <w:szCs w:val="24"/>
          <w:lang w:eastAsia="ru-RU"/>
        </w:rPr>
        <w:t xml:space="preserve"> году отмечено </w:t>
      </w:r>
      <w:r w:rsidR="005414AD" w:rsidRPr="0066263B">
        <w:rPr>
          <w:rFonts w:ascii="Times New Roman" w:eastAsia="Times New Roman" w:hAnsi="Times New Roman" w:cs="Times New Roman"/>
          <w:bCs/>
          <w:sz w:val="24"/>
          <w:szCs w:val="24"/>
          <w:lang w:eastAsia="ru-RU"/>
        </w:rPr>
        <w:t>ухудшение</w:t>
      </w:r>
      <w:r w:rsidRPr="0066263B">
        <w:rPr>
          <w:rFonts w:ascii="Times New Roman" w:eastAsia="Times New Roman" w:hAnsi="Times New Roman" w:cs="Times New Roman"/>
          <w:bCs/>
          <w:sz w:val="24"/>
          <w:szCs w:val="24"/>
          <w:lang w:eastAsia="ru-RU"/>
        </w:rPr>
        <w:t xml:space="preserve"> ситуации в учреждениях для детей и подростков по обеспечению помещений надлежащим искусственным освещением </w:t>
      </w:r>
      <w:r w:rsidR="005414AD" w:rsidRPr="0066263B">
        <w:rPr>
          <w:rFonts w:ascii="Times New Roman" w:eastAsia="Times New Roman" w:hAnsi="Times New Roman" w:cs="Times New Roman"/>
          <w:bCs/>
          <w:sz w:val="24"/>
          <w:szCs w:val="24"/>
          <w:lang w:eastAsia="ru-RU"/>
        </w:rPr>
        <w:t>в связи с принятием нового гигиенического норматива (400 </w:t>
      </w:r>
      <w:r w:rsidR="00297951" w:rsidRPr="0066263B">
        <w:rPr>
          <w:rFonts w:ascii="Times New Roman" w:eastAsia="Times New Roman" w:hAnsi="Times New Roman" w:cs="Times New Roman"/>
          <w:bCs/>
          <w:sz w:val="24"/>
          <w:szCs w:val="24"/>
          <w:lang w:eastAsia="ru-RU"/>
        </w:rPr>
        <w:t>л</w:t>
      </w:r>
      <w:r w:rsidR="005414AD" w:rsidRPr="0066263B">
        <w:rPr>
          <w:rFonts w:ascii="Times New Roman" w:eastAsia="Times New Roman" w:hAnsi="Times New Roman" w:cs="Times New Roman"/>
          <w:bCs/>
          <w:sz w:val="24"/>
          <w:szCs w:val="24"/>
          <w:lang w:eastAsia="ru-RU"/>
        </w:rPr>
        <w:t>к)</w:t>
      </w:r>
      <w:r w:rsidRPr="0066263B">
        <w:rPr>
          <w:rFonts w:ascii="Times New Roman" w:eastAsia="Times New Roman" w:hAnsi="Times New Roman" w:cs="Times New Roman"/>
          <w:bCs/>
          <w:sz w:val="24"/>
          <w:szCs w:val="24"/>
          <w:lang w:eastAsia="ru-RU"/>
        </w:rPr>
        <w:t>.</w:t>
      </w:r>
    </w:p>
    <w:p w:rsidR="000A53B6" w:rsidRPr="0066263B" w:rsidRDefault="000A53B6" w:rsidP="00415622">
      <w:pPr>
        <w:spacing w:before="0" w:after="0"/>
        <w:ind w:firstLine="709"/>
        <w:rPr>
          <w:rFonts w:ascii="Times New Roman" w:eastAsia="Times New Roman" w:hAnsi="Times New Roman" w:cs="Times New Roman"/>
          <w:bCs/>
          <w:sz w:val="24"/>
          <w:szCs w:val="24"/>
          <w:lang w:eastAsia="ru-RU"/>
        </w:rPr>
      </w:pPr>
    </w:p>
    <w:p w:rsidR="00C23EB0" w:rsidRPr="0066263B" w:rsidRDefault="00C23EB0" w:rsidP="00415622">
      <w:pPr>
        <w:spacing w:before="0" w:after="0"/>
        <w:ind w:firstLine="709"/>
        <w:rPr>
          <w:rFonts w:ascii="Times New Roman" w:eastAsia="Times New Roman" w:hAnsi="Times New Roman" w:cs="Times New Roman"/>
          <w:bCs/>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t>Состояние продовольственного сырья и пищевых продуктов</w:t>
      </w:r>
    </w:p>
    <w:p w:rsidR="00324483" w:rsidRPr="0066263B" w:rsidRDefault="00324483" w:rsidP="00324483">
      <w:pPr>
        <w:spacing w:before="0" w:after="0"/>
        <w:ind w:firstLine="709"/>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По итогам 20</w:t>
      </w:r>
      <w:r w:rsidR="00415622" w:rsidRPr="0066263B">
        <w:rPr>
          <w:rFonts w:ascii="Times New Roman" w:eastAsia="Times New Roman" w:hAnsi="Times New Roman" w:cs="Times New Roman"/>
          <w:bCs/>
          <w:sz w:val="24"/>
          <w:szCs w:val="24"/>
          <w:lang w:eastAsia="ru-RU"/>
        </w:rPr>
        <w:t>2</w:t>
      </w:r>
      <w:r w:rsidR="009C55F9" w:rsidRPr="0066263B">
        <w:rPr>
          <w:rFonts w:ascii="Times New Roman" w:eastAsia="Times New Roman" w:hAnsi="Times New Roman" w:cs="Times New Roman"/>
          <w:bCs/>
          <w:sz w:val="24"/>
          <w:szCs w:val="24"/>
          <w:lang w:eastAsia="ru-RU"/>
        </w:rPr>
        <w:t>1</w:t>
      </w:r>
      <w:r w:rsidRPr="0066263B">
        <w:rPr>
          <w:rFonts w:ascii="Times New Roman" w:eastAsia="Times New Roman" w:hAnsi="Times New Roman" w:cs="Times New Roman"/>
          <w:bCs/>
          <w:sz w:val="24"/>
          <w:szCs w:val="24"/>
          <w:lang w:eastAsia="ru-RU"/>
        </w:rPr>
        <w:t xml:space="preserve"> года </w:t>
      </w:r>
      <w:r w:rsidR="00415622" w:rsidRPr="0066263B">
        <w:rPr>
          <w:rFonts w:ascii="Times New Roman" w:eastAsia="Times New Roman" w:hAnsi="Times New Roman" w:cs="Times New Roman"/>
          <w:bCs/>
          <w:sz w:val="24"/>
          <w:szCs w:val="24"/>
          <w:lang w:eastAsia="ru-RU"/>
        </w:rPr>
        <w:t xml:space="preserve">удельный вес </w:t>
      </w:r>
      <w:proofErr w:type="gramStart"/>
      <w:r w:rsidR="00415622" w:rsidRPr="0066263B">
        <w:rPr>
          <w:rFonts w:ascii="Times New Roman" w:eastAsia="Times New Roman" w:hAnsi="Times New Roman" w:cs="Times New Roman"/>
          <w:bCs/>
          <w:sz w:val="24"/>
          <w:szCs w:val="24"/>
          <w:lang w:eastAsia="ru-RU"/>
        </w:rPr>
        <w:t>продукции, не соответствовавшей нормативным требованиям по содержанию загрязнителей микробиологической природы</w:t>
      </w:r>
      <w:r w:rsidR="00B12C57" w:rsidRPr="0066263B">
        <w:rPr>
          <w:rFonts w:ascii="Times New Roman" w:eastAsia="Times New Roman" w:hAnsi="Times New Roman" w:cs="Times New Roman"/>
          <w:bCs/>
          <w:sz w:val="24"/>
          <w:szCs w:val="24"/>
          <w:lang w:eastAsia="ru-RU"/>
        </w:rPr>
        <w:t xml:space="preserve"> снизился</w:t>
      </w:r>
      <w:proofErr w:type="gramEnd"/>
      <w:r w:rsidR="00B12C57" w:rsidRPr="0066263B">
        <w:rPr>
          <w:rFonts w:ascii="Times New Roman" w:eastAsia="Times New Roman" w:hAnsi="Times New Roman" w:cs="Times New Roman"/>
          <w:bCs/>
          <w:sz w:val="24"/>
          <w:szCs w:val="24"/>
          <w:lang w:eastAsia="ru-RU"/>
        </w:rPr>
        <w:t xml:space="preserve"> (2021 – 2,58%; 2020 – 3,1%; 2019 – 2,75%; 2018 – 3,94%; РФ 2020 – 3,54%);</w:t>
      </w:r>
      <w:r w:rsidR="00415622" w:rsidRPr="0066263B">
        <w:rPr>
          <w:rFonts w:ascii="Times New Roman" w:eastAsia="Times New Roman" w:hAnsi="Times New Roman" w:cs="Times New Roman"/>
          <w:bCs/>
          <w:sz w:val="24"/>
          <w:szCs w:val="24"/>
          <w:lang w:eastAsia="ru-RU"/>
        </w:rPr>
        <w:t xml:space="preserve"> </w:t>
      </w:r>
      <w:r w:rsidR="009C55F9" w:rsidRPr="0066263B">
        <w:rPr>
          <w:rFonts w:ascii="Times New Roman" w:eastAsia="Times New Roman" w:hAnsi="Times New Roman" w:cs="Times New Roman"/>
          <w:bCs/>
          <w:sz w:val="24"/>
          <w:szCs w:val="24"/>
          <w:lang w:eastAsia="ru-RU"/>
        </w:rPr>
        <w:t xml:space="preserve">а по содержанию химических загрязнителей </w:t>
      </w:r>
      <w:r w:rsidR="00B12C57" w:rsidRPr="0066263B">
        <w:rPr>
          <w:rFonts w:ascii="Times New Roman" w:eastAsia="Times New Roman" w:hAnsi="Times New Roman" w:cs="Times New Roman"/>
          <w:bCs/>
          <w:sz w:val="24"/>
          <w:szCs w:val="24"/>
          <w:lang w:eastAsia="ru-RU"/>
        </w:rPr>
        <w:t>отмечается значительный рост (</w:t>
      </w:r>
      <w:r w:rsidR="009C55F9" w:rsidRPr="0066263B">
        <w:rPr>
          <w:rFonts w:ascii="Times New Roman" w:eastAsia="Times New Roman" w:hAnsi="Times New Roman" w:cs="Times New Roman"/>
          <w:bCs/>
          <w:sz w:val="24"/>
          <w:szCs w:val="24"/>
          <w:lang w:eastAsia="ru-RU"/>
        </w:rPr>
        <w:t xml:space="preserve">2021 – 1,07%; </w:t>
      </w:r>
      <w:r w:rsidR="00415622" w:rsidRPr="0066263B">
        <w:rPr>
          <w:rFonts w:ascii="Times New Roman" w:eastAsia="Times New Roman" w:hAnsi="Times New Roman" w:cs="Times New Roman"/>
          <w:bCs/>
          <w:sz w:val="24"/>
          <w:szCs w:val="24"/>
          <w:lang w:eastAsia="ru-RU"/>
        </w:rPr>
        <w:t>2020 – 0,1; 2019 – 0,25%; 2018 – 0,36%; РФ 20</w:t>
      </w:r>
      <w:r w:rsidR="009C55F9" w:rsidRPr="0066263B">
        <w:rPr>
          <w:rFonts w:ascii="Times New Roman" w:eastAsia="Times New Roman" w:hAnsi="Times New Roman" w:cs="Times New Roman"/>
          <w:bCs/>
          <w:sz w:val="24"/>
          <w:szCs w:val="24"/>
          <w:lang w:eastAsia="ru-RU"/>
        </w:rPr>
        <w:t>20</w:t>
      </w:r>
      <w:r w:rsidR="00415622" w:rsidRPr="0066263B">
        <w:rPr>
          <w:rFonts w:ascii="Times New Roman" w:eastAsia="Times New Roman" w:hAnsi="Times New Roman" w:cs="Times New Roman"/>
          <w:bCs/>
          <w:sz w:val="24"/>
          <w:szCs w:val="24"/>
          <w:lang w:eastAsia="ru-RU"/>
        </w:rPr>
        <w:t xml:space="preserve"> – 0,</w:t>
      </w:r>
      <w:r w:rsidR="009C55F9" w:rsidRPr="0066263B">
        <w:rPr>
          <w:rFonts w:ascii="Times New Roman" w:eastAsia="Times New Roman" w:hAnsi="Times New Roman" w:cs="Times New Roman"/>
          <w:bCs/>
          <w:sz w:val="24"/>
          <w:szCs w:val="24"/>
          <w:lang w:eastAsia="ru-RU"/>
        </w:rPr>
        <w:t>4</w:t>
      </w:r>
      <w:r w:rsidR="00415622" w:rsidRPr="0066263B">
        <w:rPr>
          <w:rFonts w:ascii="Times New Roman" w:eastAsia="Times New Roman" w:hAnsi="Times New Roman" w:cs="Times New Roman"/>
          <w:bCs/>
          <w:sz w:val="24"/>
          <w:szCs w:val="24"/>
          <w:lang w:eastAsia="ru-RU"/>
        </w:rPr>
        <w:t>%).</w:t>
      </w:r>
    </w:p>
    <w:p w:rsidR="009C55F9" w:rsidRPr="0066263B" w:rsidRDefault="009C55F9" w:rsidP="00415622">
      <w:pPr>
        <w:spacing w:before="0" w:after="0"/>
        <w:ind w:firstLine="709"/>
        <w:rPr>
          <w:rFonts w:ascii="Times New Roman" w:eastAsia="Times New Roman" w:hAnsi="Times New Roman" w:cs="Times New Roman"/>
          <w:sz w:val="24"/>
          <w:szCs w:val="24"/>
          <w:lang w:eastAsia="ru-RU"/>
        </w:rPr>
      </w:pPr>
    </w:p>
    <w:p w:rsidR="00415622" w:rsidRPr="0066263B" w:rsidRDefault="00415622" w:rsidP="0041562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Доля проб продукции, не соответствующих требованиям по физико-химическим показателям, в 202</w:t>
      </w:r>
      <w:r w:rsidR="009C55F9"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уменьшилась и составила </w:t>
      </w:r>
      <w:r w:rsidR="009C55F9" w:rsidRPr="0066263B">
        <w:rPr>
          <w:rFonts w:ascii="Times New Roman" w:eastAsia="Times New Roman" w:hAnsi="Times New Roman" w:cs="Times New Roman"/>
          <w:sz w:val="24"/>
          <w:szCs w:val="24"/>
          <w:lang w:eastAsia="ru-RU"/>
        </w:rPr>
        <w:t>1,69</w:t>
      </w:r>
      <w:r w:rsidRPr="0066263B">
        <w:rPr>
          <w:rFonts w:ascii="Times New Roman" w:eastAsia="Times New Roman" w:hAnsi="Times New Roman" w:cs="Times New Roman"/>
          <w:sz w:val="24"/>
          <w:szCs w:val="24"/>
          <w:lang w:eastAsia="ru-RU"/>
        </w:rPr>
        <w:t>% (</w:t>
      </w:r>
      <w:r w:rsidR="009C55F9" w:rsidRPr="0066263B">
        <w:rPr>
          <w:rFonts w:ascii="Times New Roman" w:eastAsia="Times New Roman" w:hAnsi="Times New Roman" w:cs="Times New Roman"/>
          <w:sz w:val="24"/>
          <w:szCs w:val="24"/>
          <w:lang w:eastAsia="ru-RU"/>
        </w:rPr>
        <w:t xml:space="preserve">2020 – 2,0%; </w:t>
      </w:r>
      <w:r w:rsidRPr="0066263B">
        <w:rPr>
          <w:rFonts w:ascii="Times New Roman" w:eastAsia="Times New Roman" w:hAnsi="Times New Roman" w:cs="Times New Roman"/>
          <w:sz w:val="24"/>
          <w:szCs w:val="24"/>
          <w:lang w:eastAsia="ru-RU"/>
        </w:rPr>
        <w:t>2019 – 2,06%; 2018 – 4,67%; РФ 20</w:t>
      </w:r>
      <w:r w:rsidR="009C55F9"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 3,</w:t>
      </w:r>
      <w:r w:rsidR="009C55F9"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w:t>
      </w:r>
      <w:r w:rsidR="00921A39" w:rsidRPr="0066263B">
        <w:rPr>
          <w:rFonts w:ascii="Times New Roman" w:eastAsia="Times New Roman" w:hAnsi="Times New Roman" w:cs="Times New Roman"/>
          <w:sz w:val="24"/>
          <w:szCs w:val="24"/>
          <w:lang w:eastAsia="ru-RU"/>
        </w:rPr>
        <w:t xml:space="preserve"> (рис. 44)</w:t>
      </w:r>
      <w:r w:rsidRPr="0066263B">
        <w:rPr>
          <w:rFonts w:ascii="Times New Roman" w:eastAsia="Times New Roman" w:hAnsi="Times New Roman" w:cs="Times New Roman"/>
          <w:sz w:val="24"/>
          <w:szCs w:val="24"/>
          <w:lang w:eastAsia="ru-RU"/>
        </w:rPr>
        <w:t>.</w:t>
      </w:r>
    </w:p>
    <w:p w:rsidR="009C55F9" w:rsidRPr="0066263B" w:rsidRDefault="009C55F9" w:rsidP="00415622">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C23EB0" w:rsidRPr="0066263B" w:rsidRDefault="00C23EB0" w:rsidP="00415622">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noProof/>
          <w:sz w:val="24"/>
          <w:szCs w:val="24"/>
          <w:lang w:eastAsia="ru-RU"/>
        </w:rPr>
        <w:drawing>
          <wp:inline distT="0" distB="0" distL="0" distR="0">
            <wp:extent cx="5928208" cy="2889504"/>
            <wp:effectExtent l="19050" t="0" r="0" b="0"/>
            <wp:docPr id="746"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24483" w:rsidRPr="0066263B" w:rsidRDefault="00324483" w:rsidP="00324483">
      <w:pPr>
        <w:spacing w:before="0" w:after="0"/>
        <w:ind w:left="57"/>
        <w:jc w:val="center"/>
        <w:rPr>
          <w:rFonts w:ascii="Times New Roman CYR" w:eastAsia="Times New Roman" w:hAnsi="Times New Roman CYR" w:cs="Times New Roman CYR"/>
          <w:lang w:eastAsia="ar-SA"/>
        </w:rPr>
      </w:pPr>
      <w:r w:rsidRPr="0066263B">
        <w:rPr>
          <w:rFonts w:ascii="Times New Roman" w:eastAsia="Times New Roman" w:hAnsi="Times New Roman" w:cs="Times New Roman"/>
          <w:b/>
          <w:lang w:eastAsia="ar-SA"/>
        </w:rPr>
        <w:t xml:space="preserve">Рис. </w:t>
      </w:r>
      <w:r w:rsidR="006C34E2" w:rsidRPr="0066263B">
        <w:rPr>
          <w:rFonts w:ascii="Times New Roman" w:eastAsia="Times New Roman" w:hAnsi="Times New Roman" w:cs="Times New Roman"/>
          <w:b/>
          <w:lang w:eastAsia="ar-SA"/>
        </w:rPr>
        <w:fldChar w:fldCharType="begin"/>
      </w:r>
      <w:r w:rsidRPr="0066263B">
        <w:rPr>
          <w:rFonts w:ascii="Times New Roman" w:eastAsia="Times New Roman" w:hAnsi="Times New Roman" w:cs="Times New Roman"/>
          <w:b/>
          <w:lang w:eastAsia="ar-SA"/>
        </w:rPr>
        <w:instrText xml:space="preserve"> SEQ Рис._№ \* ARABIC </w:instrText>
      </w:r>
      <w:r w:rsidR="006C34E2" w:rsidRPr="0066263B">
        <w:rPr>
          <w:rFonts w:ascii="Times New Roman" w:eastAsia="Times New Roman" w:hAnsi="Times New Roman" w:cs="Times New Roman"/>
          <w:b/>
          <w:lang w:eastAsia="ar-SA"/>
        </w:rPr>
        <w:fldChar w:fldCharType="separate"/>
      </w:r>
      <w:r w:rsidR="00EC1D99">
        <w:rPr>
          <w:rFonts w:ascii="Times New Roman" w:eastAsia="Times New Roman" w:hAnsi="Times New Roman" w:cs="Times New Roman"/>
          <w:b/>
          <w:noProof/>
          <w:lang w:eastAsia="ar-SA"/>
        </w:rPr>
        <w:t>44</w:t>
      </w:r>
      <w:r w:rsidR="006C34E2" w:rsidRPr="0066263B">
        <w:rPr>
          <w:rFonts w:ascii="Times New Roman" w:eastAsia="Times New Roman" w:hAnsi="Times New Roman" w:cs="Times New Roman"/>
          <w:b/>
          <w:lang w:eastAsia="ar-SA"/>
        </w:rPr>
        <w:fldChar w:fldCharType="end"/>
      </w:r>
      <w:r w:rsidRPr="0066263B">
        <w:rPr>
          <w:rFonts w:ascii="Times New Roman" w:eastAsia="Times New Roman" w:hAnsi="Times New Roman" w:cs="Times New Roman"/>
          <w:b/>
          <w:lang w:eastAsia="ar-SA"/>
        </w:rPr>
        <w:t>.</w:t>
      </w:r>
      <w:r w:rsidRPr="0066263B">
        <w:rPr>
          <w:rFonts w:ascii="Times New Roman" w:eastAsia="Times New Roman" w:hAnsi="Times New Roman" w:cs="Times New Roman"/>
          <w:lang w:eastAsia="ar-SA"/>
        </w:rPr>
        <w:t xml:space="preserve"> </w:t>
      </w:r>
      <w:r w:rsidRPr="0066263B">
        <w:rPr>
          <w:rFonts w:ascii="Times New Roman CYR" w:eastAsia="Times New Roman" w:hAnsi="Times New Roman CYR" w:cs="Times New Roman CYR"/>
          <w:lang w:eastAsia="ar-SA"/>
        </w:rPr>
        <w:t>Динамика удельного веса проб пищевых продуктов, не соответствующих</w:t>
      </w:r>
      <w:r w:rsidRPr="0066263B">
        <w:rPr>
          <w:rFonts w:ascii="Times New Roman CYR" w:eastAsia="Times New Roman" w:hAnsi="Times New Roman CYR" w:cs="Times New Roman CYR"/>
          <w:lang w:eastAsia="ar-SA"/>
        </w:rPr>
        <w:br/>
        <w:t>гигиеническим нормативам, %</w:t>
      </w:r>
    </w:p>
    <w:p w:rsidR="00546F46" w:rsidRPr="0066263B" w:rsidRDefault="00546F46"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Данные о результатах исследования на соответствие требованиям гигиенических нормативов по санитарно-химическим показателям продуктов питания и продовольственного сырья за 201</w:t>
      </w:r>
      <w:r w:rsidR="00B12C57"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C84D41" w:rsidRPr="0066263B">
        <w:rPr>
          <w:rFonts w:ascii="Times New Roman" w:eastAsia="Times New Roman" w:hAnsi="Times New Roman" w:cs="Times New Roman"/>
          <w:sz w:val="24"/>
          <w:szCs w:val="24"/>
          <w:lang w:eastAsia="ru-RU"/>
        </w:rPr>
        <w:t>2</w:t>
      </w:r>
      <w:r w:rsidR="00B12C5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г.г. представлены в таблице </w:t>
      </w:r>
      <w:r w:rsidR="00222578" w:rsidRPr="0066263B">
        <w:rPr>
          <w:rFonts w:ascii="Times New Roman" w:eastAsia="Times New Roman" w:hAnsi="Times New Roman" w:cs="Times New Roman"/>
          <w:sz w:val="24"/>
          <w:szCs w:val="24"/>
          <w:lang w:eastAsia="ru-RU"/>
        </w:rPr>
        <w:t>30</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jc w:val="left"/>
        <w:rPr>
          <w:rFonts w:ascii="Times New Roman" w:eastAsia="Calibri" w:hAnsi="Times New Roman" w:cs="Times New Roman"/>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30</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Доля проб продовольственного сырья и пищевых продуктов, не соответствующих</w:t>
      </w:r>
      <w:r w:rsidRPr="0066263B">
        <w:rPr>
          <w:rFonts w:ascii="Times New Roman" w:eastAsia="Times New Roman" w:hAnsi="Times New Roman" w:cs="Times New Roman"/>
          <w:b/>
          <w:lang w:eastAsia="ru-RU"/>
        </w:rPr>
        <w:br/>
        <w:t>гигиеническим нормативам по санитарно-химическим показателям, %</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5002"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2"/>
        <w:gridCol w:w="942"/>
        <w:gridCol w:w="942"/>
        <w:gridCol w:w="942"/>
        <w:gridCol w:w="942"/>
      </w:tblGrid>
      <w:tr w:rsidR="00B12C57" w:rsidRPr="0066263B" w:rsidTr="00B12C57">
        <w:trPr>
          <w:jc w:val="center"/>
        </w:trPr>
        <w:tc>
          <w:tcPr>
            <w:tcW w:w="2972" w:type="pct"/>
            <w:vAlign w:val="center"/>
          </w:tcPr>
          <w:p w:rsidR="00B12C57" w:rsidRPr="0066263B" w:rsidRDefault="00B12C57" w:rsidP="00C84D4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Продовольственное сырьё и пищевые продукты</w:t>
            </w:r>
          </w:p>
        </w:tc>
        <w:tc>
          <w:tcPr>
            <w:tcW w:w="507" w:type="pct"/>
          </w:tcPr>
          <w:p w:rsidR="00B12C57" w:rsidRPr="0066263B" w:rsidRDefault="00B12C57" w:rsidP="00E00CC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507" w:type="pct"/>
          </w:tcPr>
          <w:p w:rsidR="00B12C57" w:rsidRPr="0066263B" w:rsidRDefault="00B12C57" w:rsidP="00E00CC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507" w:type="pct"/>
            <w:vAlign w:val="center"/>
          </w:tcPr>
          <w:p w:rsidR="00B12C57" w:rsidRPr="0066263B" w:rsidRDefault="00B12C57" w:rsidP="00E00CC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507" w:type="pct"/>
            <w:vAlign w:val="center"/>
          </w:tcPr>
          <w:p w:rsidR="00B12C57" w:rsidRPr="0066263B" w:rsidRDefault="00B12C57" w:rsidP="00C84D4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B12C57" w:rsidRPr="0066263B" w:rsidTr="00B12C57">
        <w:trPr>
          <w:jc w:val="center"/>
        </w:trPr>
        <w:tc>
          <w:tcPr>
            <w:tcW w:w="2972" w:type="pct"/>
            <w:vAlign w:val="center"/>
          </w:tcPr>
          <w:p w:rsidR="00B12C57" w:rsidRPr="0066263B" w:rsidRDefault="00B12C57"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 в т.ч.:</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0,36</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0,25</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1,07</w:t>
            </w:r>
          </w:p>
        </w:tc>
      </w:tr>
      <w:tr w:rsidR="00B12C57" w:rsidRPr="0066263B" w:rsidTr="00B12C57">
        <w:trPr>
          <w:jc w:val="center"/>
        </w:trPr>
        <w:tc>
          <w:tcPr>
            <w:tcW w:w="2972" w:type="pct"/>
            <w:vAlign w:val="center"/>
          </w:tcPr>
          <w:p w:rsidR="00B12C57" w:rsidRPr="0066263B" w:rsidRDefault="00B12C57"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0,33</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0,15</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3,25</w:t>
            </w:r>
          </w:p>
        </w:tc>
      </w:tr>
      <w:tr w:rsidR="00B12C57" w:rsidRPr="0066263B" w:rsidTr="00B12C57">
        <w:trPr>
          <w:jc w:val="center"/>
        </w:trPr>
        <w:tc>
          <w:tcPr>
            <w:tcW w:w="2972" w:type="pct"/>
            <w:vAlign w:val="center"/>
          </w:tcPr>
          <w:p w:rsidR="00B12C57" w:rsidRPr="0066263B" w:rsidRDefault="00B12C57"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Мясо и мясные продукты</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Птица, яйца и продукты их переработки</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Молоко и молочные продукты</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Рыба, нерыбные объекты промысла и продукты,</w:t>
            </w:r>
            <w:r w:rsidRPr="0066263B">
              <w:rPr>
                <w:rFonts w:ascii="Times New Roman" w:eastAsia="Times New Roman" w:hAnsi="Times New Roman" w:cs="Times New Roman"/>
                <w:lang w:eastAsia="ru-RU"/>
              </w:rPr>
              <w:br/>
              <w:t>вырабатываемые из них</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Кулинарные изделия</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Хлебобулочные и кондитерские изделия</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B12C57" w:rsidRPr="0066263B" w:rsidTr="00B12C57">
        <w:trPr>
          <w:jc w:val="center"/>
        </w:trPr>
        <w:tc>
          <w:tcPr>
            <w:tcW w:w="2972" w:type="pct"/>
            <w:vAlign w:val="center"/>
          </w:tcPr>
          <w:p w:rsidR="00B12C57" w:rsidRPr="0066263B" w:rsidRDefault="00B12C57"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Плодоовощная продукция</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1,01</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0,41</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0,25</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3,05</w:t>
            </w:r>
          </w:p>
        </w:tc>
      </w:tr>
      <w:tr w:rsidR="00B12C57" w:rsidRPr="0066263B" w:rsidTr="00B12C57">
        <w:trPr>
          <w:jc w:val="center"/>
        </w:trPr>
        <w:tc>
          <w:tcPr>
            <w:tcW w:w="2972" w:type="pct"/>
            <w:vAlign w:val="center"/>
          </w:tcPr>
          <w:p w:rsidR="00B12C57" w:rsidRPr="0066263B" w:rsidRDefault="00B12C57" w:rsidP="00C84D41">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0,21</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0,25</w:t>
            </w:r>
          </w:p>
        </w:tc>
        <w:tc>
          <w:tcPr>
            <w:tcW w:w="507" w:type="pct"/>
            <w:vAlign w:val="center"/>
          </w:tcPr>
          <w:p w:rsidR="00B12C57" w:rsidRPr="0066263B" w:rsidRDefault="00B12C57"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5,31</w:t>
            </w:r>
          </w:p>
        </w:tc>
      </w:tr>
      <w:tr w:rsidR="006C3961" w:rsidRPr="0066263B" w:rsidTr="00B12C57">
        <w:trPr>
          <w:jc w:val="center"/>
        </w:trPr>
        <w:tc>
          <w:tcPr>
            <w:tcW w:w="2972" w:type="pct"/>
            <w:vAlign w:val="center"/>
          </w:tcPr>
          <w:p w:rsidR="006C3961" w:rsidRPr="0066263B" w:rsidRDefault="006C3961"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Масличное сырье и жировые продукты</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 из 61</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 из 7</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C23EB0" w:rsidRPr="0066263B" w:rsidRDefault="00C23EB0" w:rsidP="00C23EB0">
      <w:pPr>
        <w:spacing w:before="0" w:after="60"/>
        <w:ind w:firstLine="709"/>
        <w:jc w:val="right"/>
        <w:rPr>
          <w:rFonts w:ascii="Times New Roman" w:eastAsia="Times New Roman" w:hAnsi="Times New Roman" w:cs="Times New Roman"/>
          <w:sz w:val="24"/>
          <w:szCs w:val="24"/>
          <w:lang w:eastAsia="ru-RU"/>
        </w:rPr>
      </w:pPr>
    </w:p>
    <w:p w:rsidR="00C23EB0" w:rsidRPr="0066263B" w:rsidRDefault="00C23EB0" w:rsidP="00C23EB0">
      <w:pPr>
        <w:spacing w:before="0" w:after="60"/>
        <w:ind w:firstLine="709"/>
        <w:jc w:val="righ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продолжение таблицы </w:t>
      </w:r>
      <w:r w:rsidR="00222578" w:rsidRPr="0066263B">
        <w:rPr>
          <w:rFonts w:ascii="Times New Roman" w:eastAsia="Times New Roman" w:hAnsi="Times New Roman" w:cs="Times New Roman"/>
          <w:sz w:val="24"/>
          <w:szCs w:val="24"/>
          <w:lang w:eastAsia="ru-RU"/>
        </w:rPr>
        <w:t>30</w:t>
      </w:r>
    </w:p>
    <w:tbl>
      <w:tblPr>
        <w:tblW w:w="5002"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2"/>
        <w:gridCol w:w="942"/>
        <w:gridCol w:w="942"/>
        <w:gridCol w:w="942"/>
        <w:gridCol w:w="942"/>
      </w:tblGrid>
      <w:tr w:rsidR="006C3961" w:rsidRPr="0066263B" w:rsidTr="00B12C57">
        <w:trPr>
          <w:jc w:val="center"/>
        </w:trPr>
        <w:tc>
          <w:tcPr>
            <w:tcW w:w="2972" w:type="pct"/>
            <w:vAlign w:val="center"/>
          </w:tcPr>
          <w:p w:rsidR="006C3961" w:rsidRPr="0066263B" w:rsidRDefault="006C3961"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Безалкогольные напитки</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Алкогольные напитки и пиво</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Мёд и продукты пчеловодства</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Продукты детского питания</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Консервы</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Минеральная вода</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Зерно</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C84D41">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C3961" w:rsidRPr="0066263B" w:rsidTr="00B12C57">
        <w:trPr>
          <w:jc w:val="center"/>
        </w:trPr>
        <w:tc>
          <w:tcPr>
            <w:tcW w:w="2972" w:type="pct"/>
            <w:vAlign w:val="center"/>
          </w:tcPr>
          <w:p w:rsidR="006C3961" w:rsidRPr="0066263B" w:rsidRDefault="006C3961" w:rsidP="00B12C57">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Соль</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0,83</w:t>
            </w:r>
          </w:p>
        </w:tc>
      </w:tr>
      <w:tr w:rsidR="006C3961" w:rsidRPr="0066263B" w:rsidTr="00B12C57">
        <w:trPr>
          <w:jc w:val="center"/>
        </w:trPr>
        <w:tc>
          <w:tcPr>
            <w:tcW w:w="2972" w:type="pct"/>
            <w:vAlign w:val="center"/>
          </w:tcPr>
          <w:p w:rsidR="006C3961" w:rsidRPr="0066263B" w:rsidRDefault="006C3961" w:rsidP="00E00CC7">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6C3961">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6C3961" w:rsidRPr="0066263B" w:rsidRDefault="006C3961" w:rsidP="00E00CC7">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из 11</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пробы продуктов и продовольственного сырья, не соответствующих санитарно-эпидемиологическим требованиям по санитарно-химическим показателям, были отобраны на территориях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Брянска, Суземского и Брянского районов.</w:t>
      </w: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пробы, не отвечающие требованиям гигиенических нормативов по санитарно-химическим показателям, были выявлены в группе продуктов:</w:t>
      </w:r>
    </w:p>
    <w:p w:rsidR="00145C09" w:rsidRPr="0066263B" w:rsidRDefault="00145C09" w:rsidP="00BE7104">
      <w:pPr>
        <w:pStyle w:val="aff9"/>
        <w:numPr>
          <w:ilvl w:val="0"/>
          <w:numId w:val="69"/>
        </w:numPr>
        <w:ind w:left="851" w:hanging="142"/>
        <w:jc w:val="both"/>
      </w:pPr>
      <w:r w:rsidRPr="0066263B">
        <w:t>«плодоовощная продукция» (5 проб – по содержанию нитратов, из них 2 импортируемые; 39 проб – по содержанию пестицидов, все пробы импортируемые);</w:t>
      </w:r>
    </w:p>
    <w:p w:rsidR="00145C09" w:rsidRPr="0066263B" w:rsidRDefault="00145C09" w:rsidP="00BE7104">
      <w:pPr>
        <w:pStyle w:val="aff9"/>
        <w:numPr>
          <w:ilvl w:val="0"/>
          <w:numId w:val="69"/>
        </w:numPr>
        <w:ind w:left="851" w:hanging="142"/>
        <w:jc w:val="both"/>
      </w:pPr>
      <w:r w:rsidRPr="0066263B">
        <w:t>«соль» (2 пробы – по содержанию йода, из них 1 импортируемая).</w:t>
      </w:r>
    </w:p>
    <w:p w:rsidR="005A3292" w:rsidRDefault="005A3292" w:rsidP="00145C09">
      <w:pPr>
        <w:spacing w:before="0" w:after="0"/>
        <w:ind w:firstLine="709"/>
        <w:rPr>
          <w:rFonts w:ascii="Times New Roman" w:eastAsia="Times New Roman" w:hAnsi="Times New Roman" w:cs="Times New Roman"/>
          <w:sz w:val="24"/>
          <w:szCs w:val="24"/>
          <w:lang w:eastAsia="ru-RU"/>
        </w:rPr>
      </w:pP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Пробы остальных групп пищевых продуктов и продовольственного сырья, исследованные по санитарно-химическим показателям, соответствовали гигиеническим требованиям.</w:t>
      </w: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2020 году пробы, не отвечающие требованиям гигиенических нормативов по санитарно-химическим показателям, были выявлены в группе продуктов «плодоовощная продукция» (пробы не соответствовали нормативным требованиям по содержанию нитратов) и в «консервах» (по содержанию </w:t>
      </w:r>
      <w:proofErr w:type="spellStart"/>
      <w:r w:rsidRPr="0066263B">
        <w:rPr>
          <w:rFonts w:ascii="Times New Roman" w:eastAsia="Times New Roman" w:hAnsi="Times New Roman" w:cs="Times New Roman"/>
          <w:sz w:val="24"/>
          <w:szCs w:val="24"/>
          <w:lang w:eastAsia="ru-RU"/>
        </w:rPr>
        <w:t>микотоксинов</w:t>
      </w:r>
      <w:proofErr w:type="spellEnd"/>
      <w:r w:rsidRPr="0066263B">
        <w:rPr>
          <w:rFonts w:ascii="Times New Roman" w:eastAsia="Times New Roman" w:hAnsi="Times New Roman" w:cs="Times New Roman"/>
          <w:sz w:val="24"/>
          <w:szCs w:val="24"/>
          <w:lang w:eastAsia="ru-RU"/>
        </w:rPr>
        <w:t>). Пробы остальных групп пищевых продуктов и продовольственного сырья, исследованные по санитарно-химическим показателям, соответствовали гигиеническим требованиям.</w:t>
      </w: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2019 году пробы, не отвечающие требованиям гигиенических нормативов по санитарно-химическим показателям, были выявлены в группе продуктов «плодоовощная продукция» (пробы не соответствовали нормативным требованиям по содержанию нитратов) и в группе «масличное сырье и жировые продукты» (пробы мака (импортируемые) не соответствовали нормативным требованиям по содержанию кадмия).</w:t>
      </w: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Исследования пищевых продуктов на наличие генетически модифицированных организмов</w:t>
      </w:r>
    </w:p>
    <w:p w:rsidR="00C84D41" w:rsidRPr="0066263B" w:rsidRDefault="00C84D41" w:rsidP="00C84D4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Управлением Роспотребнадзора по Брянской области проводится мониторинг за продукцией, полученной из генетически модифицированных организмов (далее – ГМО) или содержащей ГМО.</w:t>
      </w: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За 2021 год исследовано 699 проб продовольственного сырья и пищевых продуктов (2021 – 564; 2019 – 561; 2018 – 705). По результатам проведённых исследований в 2018-2021 г.г. наличие ГМО в продовольственном сырье и пищевых продуктах не установлено.</w:t>
      </w:r>
    </w:p>
    <w:p w:rsidR="00145C09" w:rsidRPr="0066263B" w:rsidRDefault="00145C09" w:rsidP="00C84D41">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Обеспечение паразитологической безопасности пищевых продуктов</w:t>
      </w: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наблюдался рост удельного веса проб, не соответствующих гигиеническим нормативам по паразитологическим показателям (2021 – 0,38%; 2020 – 0,2%; 2019 – 0,33%; 2018 – 1,5%; РФ 2020 – 0,32%).</w:t>
      </w: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течение 2021 года исследовано 532 пробы пищевых продуктов и продовольственного сырья по паразитологическим показателям (2020 – 1 016; 2019 – 1 834; 2018 – 1 066), 2 пробы не соответствовали гигиеническим нормативам («плодоовощная продукция»).</w:t>
      </w: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Удельный вес проб плодоовощной продукции, не соответствующих гигиеническим нормативам по паразитологическим показателям, в 2021 году составил 0,44% (2020 – 0,2%; 2019 – 0,35%; 2018 – 1,62%).</w:t>
      </w: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ходе проведённого анализа результатов исследований по административным территориям Брянской области установлено, что пробы продуктов и продовольственного сырья, не соответствующие санитарно-эпидемиологическим требованиям по паразитологическим показателям, были выявлены на территории Брянского района.</w:t>
      </w:r>
    </w:p>
    <w:p w:rsidR="00C84D41" w:rsidRPr="0066263B" w:rsidRDefault="00C84D41" w:rsidP="00C84D41">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Обеспечение биологической безопасности пищевых продуктов</w:t>
      </w:r>
    </w:p>
    <w:p w:rsidR="00145C09" w:rsidRPr="0066263B" w:rsidRDefault="00145C09" w:rsidP="00145C0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 целью </w:t>
      </w:r>
      <w:proofErr w:type="gramStart"/>
      <w:r w:rsidRPr="0066263B">
        <w:rPr>
          <w:rFonts w:ascii="Times New Roman" w:eastAsia="Times New Roman" w:hAnsi="Times New Roman" w:cs="Times New Roman"/>
          <w:sz w:val="24"/>
          <w:szCs w:val="24"/>
          <w:lang w:eastAsia="ru-RU"/>
        </w:rPr>
        <w:t>контроля за</w:t>
      </w:r>
      <w:proofErr w:type="gramEnd"/>
      <w:r w:rsidRPr="0066263B">
        <w:rPr>
          <w:rFonts w:ascii="Times New Roman" w:eastAsia="Times New Roman" w:hAnsi="Times New Roman" w:cs="Times New Roman"/>
          <w:sz w:val="24"/>
          <w:szCs w:val="24"/>
          <w:lang w:eastAsia="ru-RU"/>
        </w:rPr>
        <w:t xml:space="preserve"> соответствием требованиям безопасности по микробиологическим показателям в 2021 году проведены исследования 11 539 проб пищевых продуктов (2020 </w:t>
      </w:r>
      <w:r w:rsidR="00E00CC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7 391; 2019 – 11 361; 2018 – 12 233), не соответствовали требованиям гигиенических нормативов 298 проб (2020 – 232; 2019 – 312; 2018 – 481).</w:t>
      </w:r>
    </w:p>
    <w:p w:rsidR="00C84D41" w:rsidRPr="0066263B" w:rsidRDefault="00C84D41" w:rsidP="00C84D41">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688965" cy="3810000"/>
            <wp:effectExtent l="19050" t="0" r="6985" b="0"/>
            <wp:docPr id="23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24483" w:rsidRPr="0066263B" w:rsidRDefault="00324483" w:rsidP="00324483">
      <w:pPr>
        <w:spacing w:before="0" w:after="0"/>
        <w:ind w:left="57"/>
        <w:jc w:val="center"/>
        <w:rPr>
          <w:rFonts w:ascii="Times New Roman CYR" w:eastAsia="Times New Roman" w:hAnsi="Times New Roman CYR" w:cs="Times New Roman CYR"/>
          <w:lang w:eastAsia="ar-SA"/>
        </w:rPr>
      </w:pPr>
      <w:r w:rsidRPr="0066263B">
        <w:rPr>
          <w:rFonts w:ascii="Times New Roman" w:eastAsia="Times New Roman" w:hAnsi="Times New Roman" w:cs="Times New Roman"/>
          <w:b/>
          <w:lang w:eastAsia="ar-SA"/>
        </w:rPr>
        <w:t xml:space="preserve">Рис. </w:t>
      </w:r>
      <w:r w:rsidR="006C34E2" w:rsidRPr="0066263B">
        <w:rPr>
          <w:rFonts w:ascii="Times New Roman" w:eastAsia="Times New Roman" w:hAnsi="Times New Roman" w:cs="Times New Roman"/>
          <w:b/>
          <w:lang w:eastAsia="ar-SA"/>
        </w:rPr>
        <w:fldChar w:fldCharType="begin"/>
      </w:r>
      <w:r w:rsidRPr="0066263B">
        <w:rPr>
          <w:rFonts w:ascii="Times New Roman" w:eastAsia="Times New Roman" w:hAnsi="Times New Roman" w:cs="Times New Roman"/>
          <w:b/>
          <w:lang w:eastAsia="ar-SA"/>
        </w:rPr>
        <w:instrText xml:space="preserve"> SEQ Рис._№ \* ARABIC </w:instrText>
      </w:r>
      <w:r w:rsidR="006C34E2" w:rsidRPr="0066263B">
        <w:rPr>
          <w:rFonts w:ascii="Times New Roman" w:eastAsia="Times New Roman" w:hAnsi="Times New Roman" w:cs="Times New Roman"/>
          <w:b/>
          <w:lang w:eastAsia="ar-SA"/>
        </w:rPr>
        <w:fldChar w:fldCharType="separate"/>
      </w:r>
      <w:r w:rsidR="00EC1D99">
        <w:rPr>
          <w:rFonts w:ascii="Times New Roman" w:eastAsia="Times New Roman" w:hAnsi="Times New Roman" w:cs="Times New Roman"/>
          <w:b/>
          <w:noProof/>
          <w:lang w:eastAsia="ar-SA"/>
        </w:rPr>
        <w:t>45</w:t>
      </w:r>
      <w:r w:rsidR="006C34E2" w:rsidRPr="0066263B">
        <w:rPr>
          <w:rFonts w:ascii="Times New Roman" w:eastAsia="Times New Roman" w:hAnsi="Times New Roman" w:cs="Times New Roman"/>
          <w:b/>
          <w:lang w:eastAsia="ar-SA"/>
        </w:rPr>
        <w:fldChar w:fldCharType="end"/>
      </w:r>
      <w:r w:rsidRPr="0066263B">
        <w:rPr>
          <w:rFonts w:ascii="Times New Roman" w:eastAsia="Times New Roman" w:hAnsi="Times New Roman" w:cs="Times New Roman"/>
          <w:b/>
          <w:lang w:eastAsia="ar-SA"/>
        </w:rPr>
        <w:t>.</w:t>
      </w:r>
      <w:r w:rsidRPr="0066263B">
        <w:rPr>
          <w:rFonts w:ascii="Times New Roman" w:eastAsia="Times New Roman" w:hAnsi="Times New Roman" w:cs="Times New Roman"/>
          <w:lang w:eastAsia="ar-SA"/>
        </w:rPr>
        <w:t xml:space="preserve"> </w:t>
      </w:r>
      <w:r w:rsidRPr="0066263B">
        <w:rPr>
          <w:rFonts w:ascii="Times New Roman CYR" w:eastAsia="Times New Roman" w:hAnsi="Times New Roman CYR" w:cs="Times New Roman CYR"/>
          <w:lang w:eastAsia="ar-SA"/>
        </w:rPr>
        <w:t>Динамика удельного веса проб пищевых продуктов, не соответствующих</w:t>
      </w:r>
      <w:r w:rsidRPr="0066263B">
        <w:rPr>
          <w:rFonts w:ascii="Times New Roman CYR" w:eastAsia="Times New Roman" w:hAnsi="Times New Roman CYR" w:cs="Times New Roman CYR"/>
          <w:lang w:eastAsia="ar-SA"/>
        </w:rPr>
        <w:br/>
        <w:t>гигиеническим нормативам по микробиологическим показателям, %</w:t>
      </w:r>
    </w:p>
    <w:p w:rsidR="00C23EB0" w:rsidRPr="0066263B" w:rsidRDefault="00C23EB0" w:rsidP="00C23EB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2021 году наблюдалось снижение удельного веса проб, не соответствующих гигиеническим нормативам по микробиологическим показателям до 2,58% (2020 – 3,1%; 2019 – 2,75%; 2018 – 3,94%, РФ 2020 – 3,54%). В 2020-2021 г.г. отмечается отсутствие проб импортируемой продукции, не соответствовавших гигиеническим нормативам по микробиологическим показателям (2019 – 4,8%; 2018 – 8,83%; РФ 2020 – 2,36%) (рис. 4</w:t>
      </w:r>
      <w:r w:rsidR="00921A39"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w:t>
      </w:r>
    </w:p>
    <w:p w:rsidR="00C23EB0" w:rsidRPr="0066263B" w:rsidRDefault="00C23EB0" w:rsidP="00C84D41">
      <w:pPr>
        <w:spacing w:before="0" w:after="0"/>
        <w:ind w:firstLine="709"/>
        <w:rPr>
          <w:rFonts w:ascii="Times New Roman" w:eastAsia="Times New Roman" w:hAnsi="Times New Roman" w:cs="Times New Roman"/>
          <w:sz w:val="24"/>
          <w:szCs w:val="24"/>
          <w:lang w:eastAsia="ru-RU"/>
        </w:rPr>
      </w:pPr>
    </w:p>
    <w:p w:rsidR="00E00CC7" w:rsidRPr="0066263B" w:rsidRDefault="00E00CC7" w:rsidP="00E00CC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по сравнению с 2020 годом снижение удельного веса проб, не соответствующих гигиеническим нормативам по микробиологическим показателям, наблюдалось в группах:</w:t>
      </w:r>
    </w:p>
    <w:p w:rsidR="00E00CC7" w:rsidRPr="0066263B" w:rsidRDefault="00E00CC7" w:rsidP="00BE7104">
      <w:pPr>
        <w:pStyle w:val="aff9"/>
        <w:numPr>
          <w:ilvl w:val="0"/>
          <w:numId w:val="69"/>
        </w:numPr>
        <w:ind w:left="851" w:hanging="142"/>
        <w:jc w:val="both"/>
      </w:pPr>
      <w:r w:rsidRPr="0066263B">
        <w:t>«молоко и молочные продукты» (2021 – 1,46%; 2020 – 2,6%);</w:t>
      </w:r>
    </w:p>
    <w:p w:rsidR="00E00CC7" w:rsidRPr="0066263B" w:rsidRDefault="00E00CC7" w:rsidP="00BE7104">
      <w:pPr>
        <w:pStyle w:val="aff9"/>
        <w:numPr>
          <w:ilvl w:val="0"/>
          <w:numId w:val="69"/>
        </w:numPr>
        <w:ind w:left="851" w:hanging="142"/>
        <w:jc w:val="both"/>
      </w:pPr>
      <w:r w:rsidRPr="0066263B">
        <w:t>«рыба, нерыбные объекты промысла» (2021 – 4,85%; 2020 – 6,8%);</w:t>
      </w:r>
    </w:p>
    <w:p w:rsidR="00E00CC7" w:rsidRPr="0066263B" w:rsidRDefault="00E00CC7" w:rsidP="00BE7104">
      <w:pPr>
        <w:pStyle w:val="aff9"/>
        <w:numPr>
          <w:ilvl w:val="0"/>
          <w:numId w:val="69"/>
        </w:numPr>
        <w:ind w:left="851" w:hanging="142"/>
        <w:jc w:val="both"/>
      </w:pPr>
      <w:r w:rsidRPr="0066263B">
        <w:t>«кулинарные изделия» (2021 – 3,42%; 2020 – 4,3%).</w:t>
      </w:r>
    </w:p>
    <w:p w:rsidR="00E00CC7" w:rsidRPr="0066263B" w:rsidRDefault="00E00CC7" w:rsidP="00E00CC7">
      <w:pPr>
        <w:spacing w:before="0" w:after="0"/>
        <w:ind w:firstLine="709"/>
        <w:rPr>
          <w:rFonts w:ascii="Times New Roman" w:eastAsia="Times New Roman" w:hAnsi="Times New Roman" w:cs="Times New Roman"/>
          <w:sz w:val="24"/>
          <w:szCs w:val="24"/>
          <w:lang w:eastAsia="ru-RU"/>
        </w:rPr>
      </w:pPr>
    </w:p>
    <w:p w:rsidR="00E00CC7" w:rsidRPr="0066263B" w:rsidRDefault="00E00CC7" w:rsidP="00E00CC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Рост удельного веса проб, не соответствующих гигиеническим нормативам по микробиологическим показателям, наблюдался в группах:</w:t>
      </w:r>
    </w:p>
    <w:p w:rsidR="00E00CC7" w:rsidRPr="0066263B" w:rsidRDefault="00E00CC7" w:rsidP="00BE7104">
      <w:pPr>
        <w:pStyle w:val="aff9"/>
        <w:numPr>
          <w:ilvl w:val="0"/>
          <w:numId w:val="69"/>
        </w:numPr>
        <w:ind w:left="851" w:hanging="142"/>
        <w:jc w:val="both"/>
      </w:pPr>
      <w:r w:rsidRPr="0066263B">
        <w:t>«мясо и мясные продукты» (2021 – 3,49%; 2020 – 2,1%);</w:t>
      </w:r>
    </w:p>
    <w:p w:rsidR="00E00CC7" w:rsidRPr="0066263B" w:rsidRDefault="00E00CC7" w:rsidP="00BE7104">
      <w:pPr>
        <w:pStyle w:val="aff9"/>
        <w:numPr>
          <w:ilvl w:val="0"/>
          <w:numId w:val="69"/>
        </w:numPr>
        <w:ind w:left="851" w:hanging="142"/>
        <w:jc w:val="both"/>
      </w:pPr>
      <w:r w:rsidRPr="0066263B">
        <w:t>«кондитерские изделия» (2021 – 6,09%</w:t>
      </w:r>
      <w:r w:rsidR="006B432E">
        <w:t>;</w:t>
      </w:r>
      <w:r w:rsidRPr="0066263B">
        <w:t xml:space="preserve"> 2020 – 4,5%);</w:t>
      </w:r>
    </w:p>
    <w:p w:rsidR="00E00CC7" w:rsidRPr="0066263B" w:rsidRDefault="00E00CC7" w:rsidP="00BE7104">
      <w:pPr>
        <w:pStyle w:val="aff9"/>
        <w:numPr>
          <w:ilvl w:val="0"/>
          <w:numId w:val="69"/>
        </w:numPr>
        <w:ind w:left="851" w:hanging="142"/>
        <w:jc w:val="both"/>
      </w:pPr>
      <w:r w:rsidRPr="0066263B">
        <w:t>«безалкогольные напитки» (2021 – 4,14%</w:t>
      </w:r>
      <w:r w:rsidR="006B432E">
        <w:t>;</w:t>
      </w:r>
      <w:r w:rsidRPr="0066263B">
        <w:t xml:space="preserve"> 2020 – 2,2%).</w:t>
      </w:r>
    </w:p>
    <w:p w:rsidR="00E00CC7" w:rsidRPr="0066263B" w:rsidRDefault="00E00CC7" w:rsidP="00C84D41">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31</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Доля проб продовольственного сырья и пищевых продуктов, не соответствующих</w:t>
      </w:r>
      <w:r w:rsidRPr="0066263B">
        <w:rPr>
          <w:rFonts w:ascii="Times New Roman" w:eastAsia="Times New Roman" w:hAnsi="Times New Roman" w:cs="Times New Roman"/>
          <w:b/>
          <w:lang w:eastAsia="ru-RU"/>
        </w:rPr>
        <w:br/>
        <w:t>гигиеническим нормативам по микробиологическим показателям,</w:t>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
          <w:lang w:eastAsia="ru-RU"/>
        </w:rPr>
        <w:t>%</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5002"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2"/>
        <w:gridCol w:w="942"/>
        <w:gridCol w:w="942"/>
        <w:gridCol w:w="942"/>
        <w:gridCol w:w="942"/>
      </w:tblGrid>
      <w:tr w:rsidR="00E00CC7" w:rsidRPr="0066263B" w:rsidTr="00C23EB0">
        <w:trPr>
          <w:jc w:val="center"/>
        </w:trPr>
        <w:tc>
          <w:tcPr>
            <w:tcW w:w="2972" w:type="pct"/>
            <w:vAlign w:val="center"/>
          </w:tcPr>
          <w:p w:rsidR="00E00CC7" w:rsidRPr="0066263B" w:rsidRDefault="00E00CC7" w:rsidP="00C84D4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Продовольственное сырьё и пищевые продукты</w:t>
            </w:r>
          </w:p>
        </w:tc>
        <w:tc>
          <w:tcPr>
            <w:tcW w:w="507" w:type="pct"/>
          </w:tcPr>
          <w:p w:rsidR="00E00CC7" w:rsidRPr="0066263B" w:rsidRDefault="00E00CC7" w:rsidP="00E00CC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507" w:type="pct"/>
          </w:tcPr>
          <w:p w:rsidR="00E00CC7" w:rsidRPr="0066263B" w:rsidRDefault="00E00CC7" w:rsidP="00E00CC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507" w:type="pct"/>
            <w:vAlign w:val="center"/>
          </w:tcPr>
          <w:p w:rsidR="00E00CC7" w:rsidRPr="0066263B" w:rsidRDefault="00E00CC7" w:rsidP="00E00CC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507" w:type="pct"/>
            <w:vAlign w:val="center"/>
          </w:tcPr>
          <w:p w:rsidR="00E00CC7" w:rsidRPr="0066263B" w:rsidRDefault="00E00CC7" w:rsidP="00C84D4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5420C4" w:rsidRPr="0066263B" w:rsidTr="00C23EB0">
        <w:trPr>
          <w:jc w:val="center"/>
        </w:trPr>
        <w:tc>
          <w:tcPr>
            <w:tcW w:w="2972" w:type="pct"/>
            <w:vAlign w:val="center"/>
          </w:tcPr>
          <w:p w:rsidR="005420C4" w:rsidRPr="0066263B" w:rsidRDefault="005420C4" w:rsidP="00C84D41">
            <w:pPr>
              <w:spacing w:before="16" w:after="16"/>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 в т.ч.:</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3,94</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2,75</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2,58</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 в т.ч.:</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8,83</w:t>
            </w:r>
          </w:p>
        </w:tc>
        <w:tc>
          <w:tcPr>
            <w:tcW w:w="507" w:type="pct"/>
            <w:vAlign w:val="center"/>
          </w:tcPr>
          <w:p w:rsidR="005420C4" w:rsidRPr="0066263B" w:rsidRDefault="005420C4" w:rsidP="00C35F3A">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из 19</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Мясо и мясные продукты</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4,47</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3,49</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Птица, яйца и продукты их переработки</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3,03</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7,78</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3,66</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Молоко и молочные продукты</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3,52</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2,27</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1,46</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 из 61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Рыба, нерыбные объекты промысла и продукты, вырабатываемые из них</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 из 71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2,44</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6,8</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4,85</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Кулинарные изделия</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6,51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3,29</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3,42</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в т. ч. </w:t>
            </w:r>
            <w:proofErr w:type="gramStart"/>
            <w:r w:rsidRPr="0066263B">
              <w:rPr>
                <w:rFonts w:ascii="Times New Roman" w:eastAsia="Times New Roman" w:hAnsi="Times New Roman" w:cs="Times New Roman"/>
                <w:lang w:eastAsia="ru-RU"/>
              </w:rPr>
              <w:t>вырабатываемые</w:t>
            </w:r>
            <w:proofErr w:type="gramEnd"/>
            <w:r w:rsidRPr="0066263B">
              <w:rPr>
                <w:rFonts w:ascii="Times New Roman" w:eastAsia="Times New Roman" w:hAnsi="Times New Roman" w:cs="Times New Roman"/>
                <w:lang w:eastAsia="ru-RU"/>
              </w:rPr>
              <w:t xml:space="preserve"> по нетрадиционным</w:t>
            </w:r>
            <w:r w:rsidRPr="0066263B">
              <w:rPr>
                <w:rFonts w:ascii="Times New Roman" w:eastAsia="Times New Roman" w:hAnsi="Times New Roman" w:cs="Times New Roman"/>
                <w:lang w:eastAsia="ru-RU"/>
              </w:rPr>
              <w:br/>
              <w:t>технологиям</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4,92</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14,29</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 из 12</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 из 18</w:t>
            </w:r>
          </w:p>
        </w:tc>
      </w:tr>
      <w:tr w:rsidR="005420C4" w:rsidRPr="0066263B" w:rsidTr="00C23EB0">
        <w:trPr>
          <w:jc w:val="center"/>
        </w:trPr>
        <w:tc>
          <w:tcPr>
            <w:tcW w:w="2972" w:type="pct"/>
            <w:vAlign w:val="center"/>
          </w:tcPr>
          <w:p w:rsidR="005420C4" w:rsidRPr="0066263B" w:rsidRDefault="005420C4"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т.ч. кулинарные изделия цехов и предприятий общепита, реализуемые через торговую сеть</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4,86</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6,96</w:t>
            </w:r>
          </w:p>
        </w:tc>
      </w:tr>
      <w:tr w:rsidR="005420C4" w:rsidRPr="0066263B" w:rsidTr="00C23EB0">
        <w:trPr>
          <w:jc w:val="center"/>
        </w:trPr>
        <w:tc>
          <w:tcPr>
            <w:tcW w:w="2972" w:type="pct"/>
            <w:vAlign w:val="center"/>
          </w:tcPr>
          <w:p w:rsidR="005420C4" w:rsidRPr="0066263B" w:rsidRDefault="005420C4"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т.ч. продукция предприятий общественного питания</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13,52</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2,76</w:t>
            </w:r>
          </w:p>
        </w:tc>
      </w:tr>
      <w:tr w:rsidR="005420C4" w:rsidRPr="0066263B" w:rsidTr="00C23EB0">
        <w:trPr>
          <w:jc w:val="center"/>
        </w:trPr>
        <w:tc>
          <w:tcPr>
            <w:tcW w:w="2972" w:type="pct"/>
            <w:vAlign w:val="center"/>
          </w:tcPr>
          <w:p w:rsidR="005420C4" w:rsidRPr="0066263B" w:rsidRDefault="005420C4" w:rsidP="00C84D41">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Мукомольно-крупяные и хлебобулочные изделия</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0,55</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0,65</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Кондитерские изделия</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4,67</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4,58</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6,09</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0,59</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Масложировая продукция, животные и </w:t>
            </w:r>
            <w:proofErr w:type="gramStart"/>
            <w:r w:rsidRPr="0066263B">
              <w:rPr>
                <w:rFonts w:ascii="Times New Roman" w:eastAsia="Times New Roman" w:hAnsi="Times New Roman" w:cs="Times New Roman"/>
                <w:lang w:eastAsia="ru-RU"/>
              </w:rPr>
              <w:t>рыбный</w:t>
            </w:r>
            <w:proofErr w:type="gramEnd"/>
            <w:r w:rsidRPr="0066263B">
              <w:rPr>
                <w:rFonts w:ascii="Times New Roman" w:eastAsia="Times New Roman" w:hAnsi="Times New Roman" w:cs="Times New Roman"/>
                <w:lang w:eastAsia="ru-RU"/>
              </w:rPr>
              <w:t xml:space="preserve"> жиры</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4,47</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 из 41</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C23EB0" w:rsidRPr="0066263B" w:rsidRDefault="00C23EB0" w:rsidP="00C23EB0">
      <w:pPr>
        <w:spacing w:before="0" w:after="60"/>
        <w:ind w:firstLine="709"/>
        <w:jc w:val="righ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продолжение таблицы </w:t>
      </w:r>
      <w:r w:rsidR="00222578" w:rsidRPr="0066263B">
        <w:rPr>
          <w:rFonts w:ascii="Times New Roman" w:eastAsia="Times New Roman" w:hAnsi="Times New Roman" w:cs="Times New Roman"/>
          <w:sz w:val="24"/>
          <w:szCs w:val="24"/>
          <w:lang w:eastAsia="ru-RU"/>
        </w:rPr>
        <w:t>31</w:t>
      </w:r>
    </w:p>
    <w:tbl>
      <w:tblPr>
        <w:tblW w:w="5002"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2"/>
        <w:gridCol w:w="942"/>
        <w:gridCol w:w="942"/>
        <w:gridCol w:w="942"/>
        <w:gridCol w:w="942"/>
      </w:tblGrid>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Безалкогольные напитки</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1,45</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4,14</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Соки, нектары, </w:t>
            </w:r>
            <w:proofErr w:type="spellStart"/>
            <w:r w:rsidRPr="0066263B">
              <w:rPr>
                <w:rFonts w:ascii="Times New Roman" w:eastAsia="Times New Roman" w:hAnsi="Times New Roman" w:cs="Times New Roman"/>
                <w:lang w:eastAsia="ru-RU"/>
              </w:rPr>
              <w:t>сокосодержащие</w:t>
            </w:r>
            <w:proofErr w:type="spellEnd"/>
            <w:r w:rsidRPr="0066263B">
              <w:rPr>
                <w:rFonts w:ascii="Times New Roman" w:eastAsia="Times New Roman" w:hAnsi="Times New Roman" w:cs="Times New Roman"/>
                <w:lang w:eastAsia="ru-RU"/>
              </w:rPr>
              <w:t xml:space="preserve"> напитки</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из 32</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из 19</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из 23</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Плодоовощная продукция </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0,76</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3,09</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1 из 1 </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Алкогольные напитки</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3,34</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2,84</w:t>
            </w:r>
          </w:p>
        </w:tc>
        <w:tc>
          <w:tcPr>
            <w:tcW w:w="507" w:type="pct"/>
            <w:shd w:val="clear" w:color="auto" w:fill="auto"/>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w:t>
            </w:r>
          </w:p>
        </w:tc>
        <w:tc>
          <w:tcPr>
            <w:tcW w:w="507" w:type="pct"/>
            <w:shd w:val="clear" w:color="auto" w:fill="auto"/>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2,29</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shd w:val="clear" w:color="auto" w:fill="auto"/>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shd w:val="clear" w:color="auto" w:fill="auto"/>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Продукты детского питания</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1,18</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br w:type="page"/>
            </w:r>
            <w:r w:rsidRPr="0066263B">
              <w:rPr>
                <w:rFonts w:ascii="Times New Roman" w:eastAsia="Times New Roman" w:hAnsi="Times New Roman" w:cs="Times New Roman"/>
                <w:lang w:eastAsia="ru-RU"/>
              </w:rPr>
              <w:t>Консервы</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0,89</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3,18</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Минеральная вода</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из 38</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6,7</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284"/>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Вода</w:t>
            </w:r>
            <w:proofErr w:type="gramEnd"/>
            <w:r w:rsidRPr="0066263B">
              <w:rPr>
                <w:rFonts w:ascii="Times New Roman" w:eastAsia="Times New Roman" w:hAnsi="Times New Roman" w:cs="Times New Roman"/>
                <w:lang w:eastAsia="ru-RU"/>
              </w:rPr>
              <w:t xml:space="preserve"> расфасованная в емкости</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из 58</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1,92</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БАД</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из 68</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5420C4" w:rsidRPr="0066263B" w:rsidRDefault="005420C4" w:rsidP="00C35F3A">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16" w:after="16"/>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420C4" w:rsidRPr="0066263B" w:rsidTr="00C23EB0">
        <w:trPr>
          <w:jc w:val="center"/>
        </w:trPr>
        <w:tc>
          <w:tcPr>
            <w:tcW w:w="2972" w:type="pct"/>
            <w:vAlign w:val="center"/>
          </w:tcPr>
          <w:p w:rsidR="005420C4" w:rsidRPr="0066263B" w:rsidRDefault="005420C4" w:rsidP="00C84D4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Прочие</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0,31</w:t>
            </w:r>
          </w:p>
        </w:tc>
        <w:tc>
          <w:tcPr>
            <w:tcW w:w="507" w:type="pct"/>
            <w:vAlign w:val="center"/>
          </w:tcPr>
          <w:p w:rsidR="005420C4" w:rsidRPr="0066263B" w:rsidRDefault="005420C4"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0,49</w:t>
            </w:r>
          </w:p>
        </w:tc>
        <w:tc>
          <w:tcPr>
            <w:tcW w:w="507" w:type="pct"/>
            <w:vAlign w:val="center"/>
          </w:tcPr>
          <w:p w:rsidR="005420C4" w:rsidRPr="0066263B" w:rsidRDefault="005420C4" w:rsidP="00E00CC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5420C4" w:rsidRPr="0066263B" w:rsidRDefault="005420C4" w:rsidP="00C84D4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C84D41" w:rsidRPr="0066263B" w:rsidRDefault="00C84D41" w:rsidP="00324483">
      <w:pPr>
        <w:spacing w:before="0" w:after="0"/>
        <w:ind w:firstLine="709"/>
        <w:rPr>
          <w:rFonts w:ascii="Times New Roman" w:eastAsia="Times New Roman" w:hAnsi="Times New Roman" w:cs="Times New Roman"/>
          <w:sz w:val="24"/>
          <w:szCs w:val="24"/>
          <w:lang w:eastAsia="ru-RU"/>
        </w:rPr>
      </w:pPr>
    </w:p>
    <w:p w:rsidR="005420C4" w:rsidRPr="0066263B" w:rsidRDefault="005420C4"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ходе проведённого анализа результатов исследований по административным территориям Брянской области установлено, что на территориях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Брянска, Новозыбковского городского округа, Брасовского, Брянского, Клинцовского, Климовского, Карачевского, Навлинского и Дубровского районов в 2021 году доля проб продуктов и продовольственного сырья, не соответствующих нормативным требованиям по микробиологическим показателям, превышает среднеобластной показатель (табл. 3</w:t>
      </w:r>
      <w:r w:rsidR="00222578"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Доля проб продуктов и продовольственного сырья, не соответствующих</w:t>
      </w:r>
      <w:r w:rsidRPr="0066263B">
        <w:rPr>
          <w:rFonts w:ascii="Times New Roman" w:eastAsia="Times New Roman" w:hAnsi="Times New Roman" w:cs="Times New Roman"/>
          <w:b/>
          <w:lang w:eastAsia="ru-RU"/>
        </w:rPr>
        <w:br/>
        <w:t>санитарно-эпидемиологическим требованиям по микробиологическим показателям</w:t>
      </w:r>
      <w:r w:rsidRPr="0066263B">
        <w:rPr>
          <w:rFonts w:ascii="Times New Roman" w:eastAsia="Times New Roman" w:hAnsi="Times New Roman" w:cs="Times New Roman"/>
          <w:b/>
          <w:lang w:eastAsia="ru-RU"/>
        </w:rPr>
        <w:br/>
        <w:t>по административным территориям, %</w:t>
      </w:r>
    </w:p>
    <w:p w:rsidR="00324483" w:rsidRPr="0066263B" w:rsidRDefault="00324483" w:rsidP="00324483">
      <w:pPr>
        <w:spacing w:before="0" w:after="0"/>
        <w:ind w:firstLine="708"/>
        <w:jc w:val="center"/>
        <w:rPr>
          <w:rFonts w:ascii="Times New Roman" w:eastAsia="Times New Roman" w:hAnsi="Times New Roman" w:cs="Times New Roman"/>
          <w:b/>
          <w:lang w:eastAsia="ru-RU"/>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5"/>
        <w:gridCol w:w="1311"/>
        <w:gridCol w:w="1311"/>
        <w:gridCol w:w="1311"/>
      </w:tblGrid>
      <w:tr w:rsidR="005420C4" w:rsidRPr="0066263B" w:rsidTr="00C35F3A">
        <w:trPr>
          <w:trHeight w:val="261"/>
          <w:jc w:val="center"/>
        </w:trPr>
        <w:tc>
          <w:tcPr>
            <w:tcW w:w="2857" w:type="pct"/>
            <w:vAlign w:val="center"/>
          </w:tcPr>
          <w:p w:rsidR="005420C4" w:rsidRPr="0066263B" w:rsidRDefault="005420C4" w:rsidP="00324483">
            <w:pPr>
              <w:spacing w:before="20" w:after="20"/>
              <w:ind w:firstLine="708"/>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Административная территория</w:t>
            </w:r>
          </w:p>
        </w:tc>
        <w:tc>
          <w:tcPr>
            <w:tcW w:w="714" w:type="pct"/>
            <w:vAlign w:val="center"/>
          </w:tcPr>
          <w:p w:rsidR="005420C4" w:rsidRPr="0066263B" w:rsidRDefault="005420C4" w:rsidP="00C35F3A">
            <w:pPr>
              <w:spacing w:before="20" w:after="20"/>
              <w:ind w:firstLine="95"/>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14" w:type="pct"/>
            <w:vAlign w:val="center"/>
          </w:tcPr>
          <w:p w:rsidR="005420C4" w:rsidRPr="0066263B" w:rsidRDefault="005420C4" w:rsidP="00C35F3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14" w:type="pct"/>
            <w:vAlign w:val="center"/>
          </w:tcPr>
          <w:p w:rsidR="005420C4" w:rsidRPr="0066263B" w:rsidRDefault="005420C4"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Брянск</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5,3</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6,1</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6,7</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Клинцы</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1,5</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1,4</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1,1</w:t>
            </w:r>
          </w:p>
        </w:tc>
      </w:tr>
      <w:tr w:rsidR="005420C4" w:rsidRPr="0066263B" w:rsidTr="00C35F3A">
        <w:trPr>
          <w:jc w:val="center"/>
        </w:trPr>
        <w:tc>
          <w:tcPr>
            <w:tcW w:w="2857" w:type="pct"/>
            <w:vAlign w:val="center"/>
          </w:tcPr>
          <w:p w:rsidR="005420C4" w:rsidRPr="0066263B" w:rsidRDefault="005420C4" w:rsidP="002E529C">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Новозыбковский городской округ</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3,2</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5,5</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4,4</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Сельцо</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5,0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3 из 9</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Брасовский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6,5</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6,5</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11,1</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Брянский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7,4</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6,4</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10,3</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Выгоничский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23,2</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8,4</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2,1</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Гордеевский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Дубровский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0,5</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4,1</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3,1</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Дятьковский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1,7</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2,6</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Жирятинский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Жуковский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0,3</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0,2</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0,1</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Злынковский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0,7</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5,5</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Карачевский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5,6</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9,9</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3,8</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Клетнянский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bl>
    <w:p w:rsidR="00C23EB0" w:rsidRPr="0066263B" w:rsidRDefault="00C23EB0" w:rsidP="00C23EB0">
      <w:pPr>
        <w:spacing w:before="0" w:after="60"/>
        <w:ind w:firstLine="709"/>
        <w:jc w:val="right"/>
        <w:rPr>
          <w:rFonts w:ascii="Times New Roman" w:eastAsia="Times New Roman" w:hAnsi="Times New Roman" w:cs="Times New Roman"/>
          <w:sz w:val="24"/>
          <w:szCs w:val="24"/>
          <w:lang w:eastAsia="ru-RU"/>
        </w:rPr>
      </w:pPr>
    </w:p>
    <w:p w:rsidR="00C23EB0" w:rsidRPr="0066263B" w:rsidRDefault="00C23EB0" w:rsidP="00C23EB0">
      <w:pPr>
        <w:spacing w:before="0" w:after="60"/>
        <w:ind w:firstLine="709"/>
        <w:jc w:val="righ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продолжение таблицы 3</w:t>
      </w:r>
      <w:r w:rsidR="00222578" w:rsidRPr="0066263B">
        <w:rPr>
          <w:rFonts w:ascii="Times New Roman" w:eastAsia="Times New Roman" w:hAnsi="Times New Roman" w:cs="Times New Roman"/>
          <w:sz w:val="24"/>
          <w:szCs w:val="24"/>
          <w:lang w:eastAsia="ru-RU"/>
        </w:rPr>
        <w:t>2</w:t>
      </w: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5"/>
        <w:gridCol w:w="1311"/>
        <w:gridCol w:w="1311"/>
        <w:gridCol w:w="1311"/>
      </w:tblGrid>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Климовский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4,2</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Клинцовский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2,1</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5,1</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Комаричский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7,1</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Красногорский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5,9</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Мглинский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Навлинский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1,4</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3,8</w:t>
            </w:r>
          </w:p>
        </w:tc>
      </w:tr>
      <w:tr w:rsidR="005420C4" w:rsidRPr="0066263B" w:rsidTr="00C35F3A">
        <w:trPr>
          <w:jc w:val="center"/>
        </w:trPr>
        <w:tc>
          <w:tcPr>
            <w:tcW w:w="2857" w:type="pct"/>
            <w:vAlign w:val="center"/>
          </w:tcPr>
          <w:p w:rsidR="005420C4" w:rsidRPr="0066263B" w:rsidRDefault="005420C4" w:rsidP="00C40EE2">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Погарский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2,4</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C40EE2">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Почепский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C40EE2">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Рогнединский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C40EE2">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Севский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C40EE2">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Стародубский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0,5</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0,4</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0,2</w:t>
            </w:r>
          </w:p>
        </w:tc>
      </w:tr>
      <w:tr w:rsidR="005420C4" w:rsidRPr="0066263B" w:rsidTr="00C35F3A">
        <w:trPr>
          <w:jc w:val="center"/>
        </w:trPr>
        <w:tc>
          <w:tcPr>
            <w:tcW w:w="2857" w:type="pct"/>
            <w:vAlign w:val="center"/>
          </w:tcPr>
          <w:p w:rsidR="005420C4" w:rsidRPr="0066263B" w:rsidRDefault="005420C4" w:rsidP="00C40EE2">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Суземский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r w:rsidR="005420C4" w:rsidRPr="0066263B" w:rsidTr="00C35F3A">
        <w:trPr>
          <w:jc w:val="center"/>
        </w:trPr>
        <w:tc>
          <w:tcPr>
            <w:tcW w:w="2857" w:type="pct"/>
            <w:vAlign w:val="center"/>
          </w:tcPr>
          <w:p w:rsidR="005420C4" w:rsidRPr="0066263B" w:rsidRDefault="005420C4" w:rsidP="00C40EE2">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Суражский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0,7</w:t>
            </w:r>
          </w:p>
        </w:tc>
      </w:tr>
      <w:tr w:rsidR="005420C4" w:rsidRPr="0066263B" w:rsidTr="00C35F3A">
        <w:trPr>
          <w:jc w:val="center"/>
        </w:trPr>
        <w:tc>
          <w:tcPr>
            <w:tcW w:w="2857" w:type="pct"/>
            <w:vAlign w:val="center"/>
          </w:tcPr>
          <w:p w:rsidR="005420C4" w:rsidRPr="0066263B" w:rsidRDefault="005420C4" w:rsidP="00C40EE2">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Трубчевский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0,2</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0,4</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1,6</w:t>
            </w:r>
          </w:p>
        </w:tc>
      </w:tr>
      <w:tr w:rsidR="005420C4" w:rsidRPr="0066263B" w:rsidTr="00C35F3A">
        <w:trPr>
          <w:jc w:val="center"/>
        </w:trPr>
        <w:tc>
          <w:tcPr>
            <w:tcW w:w="2857" w:type="pct"/>
            <w:vAlign w:val="center"/>
          </w:tcPr>
          <w:p w:rsidR="005420C4" w:rsidRPr="0066263B" w:rsidRDefault="005420C4" w:rsidP="00C40EE2">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Унечский район</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0,2</w:t>
            </w:r>
          </w:p>
        </w:tc>
        <w:tc>
          <w:tcPr>
            <w:tcW w:w="714" w:type="pct"/>
            <w:vAlign w:val="center"/>
          </w:tcPr>
          <w:p w:rsidR="005420C4" w:rsidRPr="0066263B" w:rsidRDefault="005420C4" w:rsidP="00C35F3A">
            <w:pPr>
              <w:spacing w:before="0" w:after="0"/>
              <w:jc w:val="center"/>
              <w:rPr>
                <w:rFonts w:ascii="Times New Roman" w:hAnsi="Times New Roman" w:cs="Times New Roman"/>
              </w:rPr>
            </w:pPr>
            <w:r w:rsidRPr="0066263B">
              <w:rPr>
                <w:rFonts w:ascii="Times New Roman" w:hAnsi="Times New Roman" w:cs="Times New Roman"/>
              </w:rPr>
              <w:t>0,3</w:t>
            </w:r>
          </w:p>
        </w:tc>
        <w:tc>
          <w:tcPr>
            <w:tcW w:w="714" w:type="pct"/>
            <w:vAlign w:val="center"/>
          </w:tcPr>
          <w:p w:rsidR="005420C4" w:rsidRPr="0066263B" w:rsidRDefault="005420C4" w:rsidP="002E529C">
            <w:pPr>
              <w:spacing w:before="0" w:after="0"/>
              <w:jc w:val="center"/>
              <w:rPr>
                <w:rFonts w:ascii="Times New Roman" w:hAnsi="Times New Roman" w:cs="Times New Roman"/>
              </w:rPr>
            </w:pPr>
            <w:r w:rsidRPr="0066263B">
              <w:rPr>
                <w:rFonts w:ascii="Times New Roman" w:hAnsi="Times New Roman" w:cs="Times New Roman"/>
              </w:rPr>
              <w:t>0</w:t>
            </w:r>
          </w:p>
        </w:tc>
      </w:tr>
    </w:tbl>
    <w:p w:rsidR="00324483" w:rsidRPr="0066263B" w:rsidRDefault="00324483" w:rsidP="002E529C">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Лабораторный контроль за содержание антибиотиков в пищевых продуктах</w:t>
      </w:r>
      <w:r w:rsidRPr="0066263B">
        <w:rPr>
          <w:rFonts w:ascii="Times New Roman" w:eastAsia="Times New Roman" w:hAnsi="Times New Roman" w:cs="Times New Roman"/>
          <w:i/>
          <w:sz w:val="24"/>
          <w:szCs w:val="24"/>
          <w:u w:val="single"/>
          <w:lang w:eastAsia="ru-RU"/>
        </w:rPr>
        <w:br/>
        <w:t>и продовольственном сырь</w:t>
      </w:r>
      <w:r w:rsidR="006114AC" w:rsidRPr="0066263B">
        <w:rPr>
          <w:rFonts w:ascii="Times New Roman" w:eastAsia="Times New Roman" w:hAnsi="Times New Roman" w:cs="Times New Roman"/>
          <w:i/>
          <w:sz w:val="24"/>
          <w:szCs w:val="24"/>
          <w:u w:val="single"/>
          <w:lang w:eastAsia="ru-RU"/>
        </w:rPr>
        <w:t>е</w:t>
      </w:r>
    </w:p>
    <w:p w:rsidR="005420C4" w:rsidRPr="0066263B" w:rsidRDefault="005420C4" w:rsidP="005420C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отобрано и исследовано 1 456 проб пищевых продуктов и продовольственного сырья на содержание антибиотиков</w:t>
      </w:r>
      <w:r w:rsidR="006114AC" w:rsidRPr="0066263B">
        <w:rPr>
          <w:rFonts w:ascii="Times New Roman" w:eastAsia="Times New Roman" w:hAnsi="Times New Roman" w:cs="Times New Roman"/>
          <w:sz w:val="24"/>
          <w:szCs w:val="24"/>
          <w:lang w:eastAsia="ru-RU"/>
        </w:rPr>
        <w:t xml:space="preserve"> (2020 – 1 192; 2019 – 1 068; 1 113). В</w:t>
      </w:r>
      <w:r w:rsidRPr="0066263B">
        <w:rPr>
          <w:rFonts w:ascii="Times New Roman" w:eastAsia="Times New Roman" w:hAnsi="Times New Roman" w:cs="Times New Roman"/>
          <w:sz w:val="24"/>
          <w:szCs w:val="24"/>
          <w:lang w:eastAsia="ru-RU"/>
        </w:rPr>
        <w:t xml:space="preserve"> 1 исследованной пробе </w:t>
      </w:r>
      <w:r w:rsidR="006114AC" w:rsidRPr="0066263B">
        <w:rPr>
          <w:rFonts w:ascii="Times New Roman" w:eastAsia="Times New Roman" w:hAnsi="Times New Roman" w:cs="Times New Roman"/>
          <w:sz w:val="24"/>
          <w:szCs w:val="24"/>
          <w:lang w:eastAsia="ru-RU"/>
        </w:rPr>
        <w:t xml:space="preserve">(меланж яичный) </w:t>
      </w:r>
      <w:r w:rsidRPr="0066263B">
        <w:rPr>
          <w:rFonts w:ascii="Times New Roman" w:eastAsia="Times New Roman" w:hAnsi="Times New Roman" w:cs="Times New Roman"/>
          <w:sz w:val="24"/>
          <w:szCs w:val="24"/>
          <w:lang w:eastAsia="ru-RU"/>
        </w:rPr>
        <w:t xml:space="preserve">на территории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Брянска установлено превышение нормативов</w:t>
      </w:r>
      <w:r w:rsidR="006114AC" w:rsidRPr="0066263B">
        <w:rPr>
          <w:rFonts w:ascii="Times New Roman" w:eastAsia="Times New Roman" w:hAnsi="Times New Roman" w:cs="Times New Roman"/>
          <w:sz w:val="24"/>
          <w:szCs w:val="24"/>
          <w:lang w:eastAsia="ru-RU"/>
        </w:rPr>
        <w:t xml:space="preserve"> по левомицетину</w:t>
      </w:r>
      <w:r w:rsidRPr="0066263B">
        <w:rPr>
          <w:rFonts w:ascii="Times New Roman" w:eastAsia="Times New Roman" w:hAnsi="Times New Roman" w:cs="Times New Roman"/>
          <w:sz w:val="24"/>
          <w:szCs w:val="24"/>
          <w:lang w:eastAsia="ru-RU"/>
        </w:rPr>
        <w:t>. Доля проб пищевых продуктов, не соответствующих нормативным требованиям по содержанию антибиотиков, составила 0,07%</w:t>
      </w:r>
      <w:r w:rsidR="006114AC" w:rsidRPr="0066263B">
        <w:rPr>
          <w:rFonts w:ascii="Times New Roman" w:eastAsia="Times New Roman" w:hAnsi="Times New Roman" w:cs="Times New Roman"/>
          <w:sz w:val="24"/>
          <w:szCs w:val="24"/>
          <w:lang w:eastAsia="ru-RU"/>
        </w:rPr>
        <w:t xml:space="preserve"> (2020 – 0,25%; 2019 – 0,66%; 2018 – 0,18%)</w:t>
      </w:r>
      <w:r w:rsidRPr="0066263B">
        <w:rPr>
          <w:rFonts w:ascii="Times New Roman" w:eastAsia="Times New Roman" w:hAnsi="Times New Roman" w:cs="Times New Roman"/>
          <w:sz w:val="24"/>
          <w:szCs w:val="24"/>
          <w:lang w:eastAsia="ru-RU"/>
        </w:rPr>
        <w:t xml:space="preserve"> (табл. 3</w:t>
      </w:r>
      <w:r w:rsidR="00222578"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33</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Доля проб продовольственного сырья и пищевых продуктов,</w:t>
      </w:r>
      <w:r w:rsidRPr="0066263B">
        <w:rPr>
          <w:rFonts w:ascii="Times New Roman" w:eastAsia="Times New Roman" w:hAnsi="Times New Roman" w:cs="Times New Roman"/>
          <w:b/>
          <w:bCs/>
          <w:lang w:eastAsia="ru-RU"/>
        </w:rPr>
        <w:br/>
        <w:t>не соответствующих гигиеническим нормативам по содержанию антибиотиков, %</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3"/>
        <w:gridCol w:w="1052"/>
        <w:gridCol w:w="1052"/>
        <w:gridCol w:w="1052"/>
        <w:gridCol w:w="1050"/>
      </w:tblGrid>
      <w:tr w:rsidR="006114AC" w:rsidRPr="0066263B" w:rsidTr="00C35F3A">
        <w:trPr>
          <w:jc w:val="center"/>
        </w:trPr>
        <w:tc>
          <w:tcPr>
            <w:tcW w:w="2733" w:type="pct"/>
            <w:vAlign w:val="center"/>
          </w:tcPr>
          <w:p w:rsidR="006114AC" w:rsidRPr="0066263B" w:rsidRDefault="006114AC" w:rsidP="00315CF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Наименование продуктов</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567" w:type="pct"/>
            <w:vAlign w:val="center"/>
          </w:tcPr>
          <w:p w:rsidR="006114AC" w:rsidRPr="0066263B" w:rsidRDefault="006114AC" w:rsidP="00315CF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6114AC" w:rsidRPr="0066263B" w:rsidTr="00C35F3A">
        <w:trPr>
          <w:jc w:val="center"/>
        </w:trPr>
        <w:tc>
          <w:tcPr>
            <w:tcW w:w="2733"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0,18</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0,66</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0,25</w:t>
            </w:r>
          </w:p>
        </w:tc>
        <w:tc>
          <w:tcPr>
            <w:tcW w:w="567"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0,07</w:t>
            </w:r>
          </w:p>
        </w:tc>
      </w:tr>
      <w:tr w:rsidR="006114AC" w:rsidRPr="0066263B" w:rsidTr="00C35F3A">
        <w:trPr>
          <w:jc w:val="center"/>
        </w:trPr>
        <w:tc>
          <w:tcPr>
            <w:tcW w:w="2733"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 в т.ч.:</w:t>
            </w:r>
            <w:proofErr w:type="gramEnd"/>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jc w:val="center"/>
        </w:trPr>
        <w:tc>
          <w:tcPr>
            <w:tcW w:w="2733"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Мясо и мясные продукты</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w:t>
            </w:r>
          </w:p>
        </w:tc>
        <w:tc>
          <w:tcPr>
            <w:tcW w:w="567"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jc w:val="center"/>
        </w:trPr>
        <w:tc>
          <w:tcPr>
            <w:tcW w:w="2733"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jc w:val="center"/>
        </w:trPr>
        <w:tc>
          <w:tcPr>
            <w:tcW w:w="2733"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Молоко и молочные продукты</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0,18</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1,54</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w:t>
            </w:r>
          </w:p>
        </w:tc>
        <w:tc>
          <w:tcPr>
            <w:tcW w:w="567"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trHeight w:val="208"/>
          <w:jc w:val="center"/>
        </w:trPr>
        <w:tc>
          <w:tcPr>
            <w:tcW w:w="2733"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trHeight w:val="208"/>
          <w:jc w:val="center"/>
        </w:trPr>
        <w:tc>
          <w:tcPr>
            <w:tcW w:w="2733"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Птица, яйца и продукты их переработки</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0,78</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0,54</w:t>
            </w:r>
          </w:p>
        </w:tc>
      </w:tr>
      <w:tr w:rsidR="006114AC" w:rsidRPr="0066263B" w:rsidTr="00C35F3A">
        <w:trPr>
          <w:trHeight w:val="208"/>
          <w:jc w:val="center"/>
        </w:trPr>
        <w:tc>
          <w:tcPr>
            <w:tcW w:w="2733"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67"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6114AC" w:rsidRPr="0066263B" w:rsidRDefault="006114AC"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Лабораторный контроль за содержание радиоактивных веществ в пищевых</w:t>
      </w:r>
      <w:r w:rsidRPr="0066263B">
        <w:rPr>
          <w:rFonts w:ascii="Times New Roman" w:eastAsia="Times New Roman" w:hAnsi="Times New Roman" w:cs="Times New Roman"/>
          <w:i/>
          <w:sz w:val="24"/>
          <w:szCs w:val="24"/>
          <w:u w:val="single"/>
          <w:lang w:eastAsia="ru-RU"/>
        </w:rPr>
        <w:br/>
        <w:t>продуктах и продовольственном сырье</w:t>
      </w:r>
    </w:p>
    <w:p w:rsidR="006114AC" w:rsidRPr="0066263B" w:rsidRDefault="006114AC" w:rsidP="006114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Всего в 2021 году исследовано 3 257 проб пищевых продуктов и продовольственного сырья на содержание радиоактивных веществ (2020 – 3 099; 2019 – 3 358), из них 134 пробы не соответствовали гигиеническим нормативам (2020 – 147; 2019 – 162). Удельный вес неудовлетворительных проб, отобранных на территории Брянской области в 2021 году, незначительно снизился и составил 4,1% (2020 – 4,7%; 2019 – 4,8%; 2018 – 3,6%).</w:t>
      </w:r>
    </w:p>
    <w:p w:rsidR="006114AC" w:rsidRPr="0066263B" w:rsidRDefault="006114AC" w:rsidP="006114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2021 году рост доли проб продуктов и продовольственного сырья, не соответствующих санитарно-эпидемиологическим требованиям по содержанию радиоактивных веществ, произошёл в группе продукции «грибы». Снижение доли проб продуктов и продовольственного сырья, не соответствующих санитарно-эпидемиологическим требованиям по содержанию радиоактивных веще</w:t>
      </w:r>
      <w:proofErr w:type="gramStart"/>
      <w:r w:rsidRPr="0066263B">
        <w:rPr>
          <w:rFonts w:ascii="Times New Roman" w:eastAsia="Times New Roman" w:hAnsi="Times New Roman" w:cs="Times New Roman"/>
          <w:sz w:val="24"/>
          <w:szCs w:val="24"/>
          <w:lang w:eastAsia="ru-RU"/>
        </w:rPr>
        <w:t>ств пр</w:t>
      </w:r>
      <w:proofErr w:type="gramEnd"/>
      <w:r w:rsidRPr="0066263B">
        <w:rPr>
          <w:rFonts w:ascii="Times New Roman" w:eastAsia="Times New Roman" w:hAnsi="Times New Roman" w:cs="Times New Roman"/>
          <w:sz w:val="24"/>
          <w:szCs w:val="24"/>
          <w:lang w:eastAsia="ru-RU"/>
        </w:rPr>
        <w:t>оизошло в группах продукции «мясо и мясные продукты», «молоко и молочные продукты». В группе продукции «рыба, нерыбные объекты промысла и продукты, вырабатываемые из них» пробы отвечали нормативным требованиям (табл. 3</w:t>
      </w:r>
      <w:r w:rsidR="00222578"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w:t>
      </w:r>
    </w:p>
    <w:p w:rsidR="006114AC" w:rsidRPr="0066263B" w:rsidRDefault="006114AC" w:rsidP="00315CFA">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Доля проб продуктов и продовольственного сырья, не соответствующих</w:t>
      </w:r>
      <w:r w:rsidRPr="0066263B">
        <w:rPr>
          <w:rFonts w:ascii="Times New Roman" w:eastAsia="Times New Roman" w:hAnsi="Times New Roman" w:cs="Times New Roman"/>
          <w:b/>
          <w:bCs/>
          <w:lang w:eastAsia="ru-RU"/>
        </w:rPr>
        <w:br/>
        <w:t>гигиеническим нормативам по содержанию радиоактивных веществ, %</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498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9"/>
        <w:gridCol w:w="1060"/>
        <w:gridCol w:w="1060"/>
        <w:gridCol w:w="1060"/>
        <w:gridCol w:w="1060"/>
      </w:tblGrid>
      <w:tr w:rsidR="006114AC" w:rsidRPr="0066263B" w:rsidTr="00C35F3A">
        <w:trPr>
          <w:jc w:val="center"/>
        </w:trPr>
        <w:tc>
          <w:tcPr>
            <w:tcW w:w="2708" w:type="pct"/>
            <w:vAlign w:val="center"/>
          </w:tcPr>
          <w:p w:rsidR="006114AC" w:rsidRPr="0066263B" w:rsidRDefault="006114AC" w:rsidP="00315CFA">
            <w:pPr>
              <w:spacing w:before="16" w:after="16"/>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Продовольственное сырьё и пищевые продукты</w:t>
            </w:r>
          </w:p>
        </w:tc>
        <w:tc>
          <w:tcPr>
            <w:tcW w:w="573" w:type="pct"/>
            <w:vAlign w:val="center"/>
          </w:tcPr>
          <w:p w:rsidR="006114AC" w:rsidRPr="0066263B" w:rsidRDefault="006114AC" w:rsidP="00C35F3A">
            <w:pPr>
              <w:spacing w:before="16" w:after="16"/>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573" w:type="pct"/>
            <w:vAlign w:val="center"/>
          </w:tcPr>
          <w:p w:rsidR="006114AC" w:rsidRPr="0066263B" w:rsidRDefault="006114AC" w:rsidP="00C35F3A">
            <w:pPr>
              <w:spacing w:before="16" w:after="16"/>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573" w:type="pct"/>
            <w:vAlign w:val="center"/>
          </w:tcPr>
          <w:p w:rsidR="006114AC" w:rsidRPr="0066263B" w:rsidRDefault="006114AC" w:rsidP="00C35F3A">
            <w:pPr>
              <w:spacing w:before="16" w:after="16"/>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573" w:type="pct"/>
            <w:vAlign w:val="center"/>
          </w:tcPr>
          <w:p w:rsidR="006114AC" w:rsidRPr="0066263B" w:rsidRDefault="006114AC" w:rsidP="00315CFA">
            <w:pPr>
              <w:spacing w:before="16" w:after="16"/>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6114AC" w:rsidRPr="0066263B" w:rsidTr="00C35F3A">
        <w:trPr>
          <w:jc w:val="center"/>
        </w:trPr>
        <w:tc>
          <w:tcPr>
            <w:tcW w:w="2708"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3,65</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4,82</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w:t>
            </w:r>
          </w:p>
        </w:tc>
      </w:tr>
      <w:tr w:rsidR="006114AC" w:rsidRPr="0066263B" w:rsidTr="00C35F3A">
        <w:trPr>
          <w:jc w:val="center"/>
        </w:trPr>
        <w:tc>
          <w:tcPr>
            <w:tcW w:w="2708"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 в т.ч.:</w:t>
            </w:r>
            <w:proofErr w:type="gramEnd"/>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jc w:val="center"/>
        </w:trPr>
        <w:tc>
          <w:tcPr>
            <w:tcW w:w="2708"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Мясо и мясные продукты</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2,19</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3,06</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0,99</w:t>
            </w:r>
          </w:p>
        </w:tc>
      </w:tr>
      <w:tr w:rsidR="006114AC" w:rsidRPr="0066263B" w:rsidTr="00C35F3A">
        <w:trPr>
          <w:jc w:val="center"/>
        </w:trPr>
        <w:tc>
          <w:tcPr>
            <w:tcW w:w="2708"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jc w:val="center"/>
        </w:trPr>
        <w:tc>
          <w:tcPr>
            <w:tcW w:w="2708"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Молоко и молочные продукты</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0,54</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0,68</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r>
      <w:tr w:rsidR="006114AC" w:rsidRPr="0066263B" w:rsidTr="00C35F3A">
        <w:trPr>
          <w:jc w:val="center"/>
        </w:trPr>
        <w:tc>
          <w:tcPr>
            <w:tcW w:w="2708"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jc w:val="center"/>
        </w:trPr>
        <w:tc>
          <w:tcPr>
            <w:tcW w:w="2708"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Рыба, нерыбные объекты промысла и продукты,</w:t>
            </w:r>
            <w:r w:rsidRPr="0066263B">
              <w:rPr>
                <w:rFonts w:ascii="Times New Roman" w:eastAsia="Times New Roman" w:hAnsi="Times New Roman" w:cs="Times New Roman"/>
                <w:lang w:eastAsia="ru-RU"/>
              </w:rPr>
              <w:br/>
              <w:t>вырабатываемые из них</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3,37</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 из 84</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w:t>
            </w:r>
          </w:p>
        </w:tc>
        <w:tc>
          <w:tcPr>
            <w:tcW w:w="573"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jc w:val="center"/>
        </w:trPr>
        <w:tc>
          <w:tcPr>
            <w:tcW w:w="2708"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jc w:val="center"/>
        </w:trPr>
        <w:tc>
          <w:tcPr>
            <w:tcW w:w="2708"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Плоды и ягоды</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32,4</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 из 94</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53,2</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 из 73</w:t>
            </w:r>
          </w:p>
        </w:tc>
      </w:tr>
      <w:tr w:rsidR="006114AC" w:rsidRPr="0066263B" w:rsidTr="00C35F3A">
        <w:trPr>
          <w:jc w:val="center"/>
        </w:trPr>
        <w:tc>
          <w:tcPr>
            <w:tcW w:w="2708"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114AC" w:rsidRPr="0066263B" w:rsidTr="00C35F3A">
        <w:trPr>
          <w:jc w:val="center"/>
        </w:trPr>
        <w:tc>
          <w:tcPr>
            <w:tcW w:w="2708" w:type="pct"/>
            <w:vAlign w:val="center"/>
          </w:tcPr>
          <w:p w:rsidR="006114AC" w:rsidRPr="0066263B" w:rsidRDefault="006114AC" w:rsidP="00315CF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Грибы</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27,3</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40,15</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34,2</w:t>
            </w:r>
          </w:p>
        </w:tc>
        <w:tc>
          <w:tcPr>
            <w:tcW w:w="573"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37,4</w:t>
            </w:r>
          </w:p>
        </w:tc>
      </w:tr>
      <w:tr w:rsidR="006114AC" w:rsidRPr="0066263B" w:rsidTr="00C35F3A">
        <w:trPr>
          <w:jc w:val="center"/>
        </w:trPr>
        <w:tc>
          <w:tcPr>
            <w:tcW w:w="2708" w:type="pct"/>
            <w:vAlign w:val="center"/>
          </w:tcPr>
          <w:p w:rsidR="006114AC" w:rsidRPr="0066263B" w:rsidRDefault="006114AC" w:rsidP="00315CFA">
            <w:pPr>
              <w:numPr>
                <w:ilvl w:val="0"/>
                <w:numId w:val="7"/>
              </w:numPr>
              <w:spacing w:before="20" w:after="20"/>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73" w:type="pct"/>
            <w:vAlign w:val="center"/>
          </w:tcPr>
          <w:p w:rsidR="006114AC" w:rsidRPr="0066263B" w:rsidRDefault="006114AC"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6114AC" w:rsidRPr="0066263B" w:rsidRDefault="006114AC" w:rsidP="006114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ходе проведённого анализа результатов исследований по административным территориям Брянской области установлено, что в 2021 году все пробы продуктов и продовольственного сырья, не соответствующие санитарно-эпидемиологическим требованиям по содержанию радиоактивных веществ, отобраны или выращены в юго-западных районах области, подвергшихся загрязнению вследствие аварии на Чернобыльской АЭС (табл. 3</w:t>
      </w:r>
      <w:r w:rsidR="00222578"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35</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Доля проб продуктов и продовольственного сырья, не соответствующих</w:t>
      </w:r>
      <w:r w:rsidRPr="0066263B">
        <w:rPr>
          <w:rFonts w:ascii="Times New Roman" w:eastAsia="Times New Roman" w:hAnsi="Times New Roman" w:cs="Times New Roman"/>
          <w:b/>
          <w:bCs/>
          <w:lang w:eastAsia="ru-RU"/>
        </w:rPr>
        <w:br/>
        <w:t>гигиеническим нормативам по содержанию радиоактивных веществ</w:t>
      </w:r>
      <w:r w:rsidRPr="0066263B">
        <w:rPr>
          <w:rFonts w:ascii="Times New Roman" w:eastAsia="Times New Roman" w:hAnsi="Times New Roman" w:cs="Times New Roman"/>
          <w:b/>
          <w:bCs/>
          <w:lang w:eastAsia="ru-RU"/>
        </w:rPr>
        <w:br/>
      </w:r>
      <w:r w:rsidRPr="0066263B">
        <w:rPr>
          <w:rFonts w:ascii="Times New Roman" w:eastAsia="Times New Roman" w:hAnsi="Times New Roman" w:cs="Times New Roman"/>
          <w:b/>
          <w:lang w:eastAsia="ru-RU"/>
        </w:rPr>
        <w:t>по административным территориям</w:t>
      </w:r>
      <w:r w:rsidRPr="0066263B">
        <w:rPr>
          <w:rFonts w:ascii="Times New Roman" w:eastAsia="Times New Roman" w:hAnsi="Times New Roman" w:cs="Times New Roman"/>
          <w:b/>
          <w:bCs/>
          <w:lang w:eastAsia="ru-RU"/>
        </w:rPr>
        <w:t>, %</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4981" w:type="pct"/>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70"/>
        <w:gridCol w:w="996"/>
        <w:gridCol w:w="995"/>
        <w:gridCol w:w="995"/>
        <w:gridCol w:w="995"/>
      </w:tblGrid>
      <w:tr w:rsidR="006114AC" w:rsidRPr="0066263B" w:rsidTr="00B2489F">
        <w:trPr>
          <w:trHeight w:val="261"/>
          <w:jc w:val="center"/>
        </w:trPr>
        <w:tc>
          <w:tcPr>
            <w:tcW w:w="2848" w:type="pct"/>
            <w:vAlign w:val="center"/>
          </w:tcPr>
          <w:p w:rsidR="006114AC" w:rsidRPr="0066263B" w:rsidRDefault="006114AC" w:rsidP="00324483">
            <w:pPr>
              <w:spacing w:before="20" w:after="20"/>
              <w:ind w:firstLine="708"/>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Административная территория</w:t>
            </w:r>
          </w:p>
        </w:tc>
        <w:tc>
          <w:tcPr>
            <w:tcW w:w="538" w:type="pct"/>
            <w:vAlign w:val="center"/>
          </w:tcPr>
          <w:p w:rsidR="006114AC" w:rsidRPr="0066263B" w:rsidRDefault="006114AC"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538" w:type="pct"/>
            <w:vAlign w:val="center"/>
          </w:tcPr>
          <w:p w:rsidR="006114AC" w:rsidRPr="0066263B" w:rsidRDefault="006114AC" w:rsidP="00C40EE2">
            <w:pPr>
              <w:spacing w:before="20" w:after="20"/>
              <w:ind w:firstLine="95"/>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538" w:type="pct"/>
            <w:vAlign w:val="center"/>
          </w:tcPr>
          <w:p w:rsidR="006114AC" w:rsidRPr="0066263B" w:rsidRDefault="006114AC"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538" w:type="pct"/>
          </w:tcPr>
          <w:p w:rsidR="006114AC" w:rsidRPr="0066263B" w:rsidRDefault="00B2489F"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B2489F" w:rsidRPr="0066263B" w:rsidTr="00C35F3A">
        <w:trPr>
          <w:jc w:val="center"/>
        </w:trPr>
        <w:tc>
          <w:tcPr>
            <w:tcW w:w="2848" w:type="pct"/>
            <w:vAlign w:val="center"/>
          </w:tcPr>
          <w:p w:rsidR="00B2489F" w:rsidRPr="0066263B" w:rsidRDefault="00B2489F"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Клинцы</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13,0</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14,7</w:t>
            </w:r>
          </w:p>
        </w:tc>
        <w:tc>
          <w:tcPr>
            <w:tcW w:w="538" w:type="pct"/>
            <w:vAlign w:val="center"/>
          </w:tcPr>
          <w:p w:rsidR="00B2489F" w:rsidRPr="0066263B" w:rsidRDefault="00B2489F"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12,1</w:t>
            </w:r>
          </w:p>
        </w:tc>
        <w:tc>
          <w:tcPr>
            <w:tcW w:w="538" w:type="pct"/>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hAnsi="Times New Roman" w:cs="Times New Roman"/>
              </w:rPr>
              <w:t>12,5</w:t>
            </w:r>
          </w:p>
        </w:tc>
      </w:tr>
      <w:tr w:rsidR="00B2489F" w:rsidRPr="0066263B" w:rsidTr="00C35F3A">
        <w:trPr>
          <w:jc w:val="center"/>
        </w:trPr>
        <w:tc>
          <w:tcPr>
            <w:tcW w:w="2848" w:type="pct"/>
            <w:vAlign w:val="center"/>
          </w:tcPr>
          <w:p w:rsidR="00B2489F" w:rsidRPr="0066263B" w:rsidRDefault="00B2489F" w:rsidP="00C40EE2">
            <w:pPr>
              <w:spacing w:before="0" w:after="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Новозыбковский городской округ</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6,2</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11,8</w:t>
            </w:r>
          </w:p>
        </w:tc>
        <w:tc>
          <w:tcPr>
            <w:tcW w:w="538" w:type="pct"/>
            <w:vAlign w:val="center"/>
          </w:tcPr>
          <w:p w:rsidR="00B2489F" w:rsidRPr="0066263B" w:rsidRDefault="00B2489F"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10,1</w:t>
            </w:r>
          </w:p>
        </w:tc>
        <w:tc>
          <w:tcPr>
            <w:tcW w:w="538" w:type="pct"/>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hAnsi="Times New Roman" w:cs="Times New Roman"/>
              </w:rPr>
              <w:t>9,1</w:t>
            </w:r>
          </w:p>
        </w:tc>
      </w:tr>
      <w:tr w:rsidR="00B2489F" w:rsidRPr="0066263B" w:rsidTr="00C35F3A">
        <w:trPr>
          <w:jc w:val="center"/>
        </w:trPr>
        <w:tc>
          <w:tcPr>
            <w:tcW w:w="2848" w:type="pct"/>
            <w:vAlign w:val="center"/>
          </w:tcPr>
          <w:p w:rsidR="00B2489F" w:rsidRPr="0066263B" w:rsidRDefault="00B2489F"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Гордеевский район</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7,4</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w:t>
            </w:r>
          </w:p>
        </w:tc>
        <w:tc>
          <w:tcPr>
            <w:tcW w:w="538" w:type="pct"/>
            <w:vAlign w:val="center"/>
          </w:tcPr>
          <w:p w:rsidR="00B2489F" w:rsidRPr="0066263B" w:rsidRDefault="00B2489F"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13,1</w:t>
            </w:r>
          </w:p>
        </w:tc>
        <w:tc>
          <w:tcPr>
            <w:tcW w:w="538" w:type="pct"/>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hAnsi="Times New Roman" w:cs="Times New Roman"/>
              </w:rPr>
              <w:t>14,1</w:t>
            </w:r>
          </w:p>
        </w:tc>
      </w:tr>
      <w:tr w:rsidR="00B2489F" w:rsidRPr="0066263B" w:rsidTr="00C35F3A">
        <w:trPr>
          <w:jc w:val="center"/>
        </w:trPr>
        <w:tc>
          <w:tcPr>
            <w:tcW w:w="2848" w:type="pct"/>
            <w:vAlign w:val="center"/>
          </w:tcPr>
          <w:p w:rsidR="00B2489F" w:rsidRPr="0066263B" w:rsidRDefault="00B2489F"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Злынковский район</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10,2</w:t>
            </w:r>
          </w:p>
        </w:tc>
        <w:tc>
          <w:tcPr>
            <w:tcW w:w="538" w:type="pct"/>
            <w:vAlign w:val="center"/>
          </w:tcPr>
          <w:p w:rsidR="00B2489F" w:rsidRPr="0066263B" w:rsidRDefault="00B2489F"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w:t>
            </w:r>
          </w:p>
        </w:tc>
        <w:tc>
          <w:tcPr>
            <w:tcW w:w="538" w:type="pct"/>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hAnsi="Times New Roman" w:cs="Times New Roman"/>
              </w:rPr>
              <w:t>5,5</w:t>
            </w:r>
          </w:p>
        </w:tc>
      </w:tr>
      <w:tr w:rsidR="00B2489F" w:rsidRPr="0066263B" w:rsidTr="00C35F3A">
        <w:trPr>
          <w:jc w:val="center"/>
        </w:trPr>
        <w:tc>
          <w:tcPr>
            <w:tcW w:w="2848" w:type="pct"/>
            <w:vAlign w:val="center"/>
          </w:tcPr>
          <w:p w:rsidR="00B2489F" w:rsidRPr="0066263B" w:rsidRDefault="00B2489F"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Климовский район</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5,9</w:t>
            </w:r>
          </w:p>
        </w:tc>
        <w:tc>
          <w:tcPr>
            <w:tcW w:w="538" w:type="pct"/>
            <w:vAlign w:val="center"/>
          </w:tcPr>
          <w:p w:rsidR="00B2489F" w:rsidRPr="0066263B" w:rsidRDefault="00B2489F"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6,2</w:t>
            </w:r>
          </w:p>
        </w:tc>
        <w:tc>
          <w:tcPr>
            <w:tcW w:w="538" w:type="pct"/>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hAnsi="Times New Roman" w:cs="Times New Roman"/>
              </w:rPr>
              <w:t>3,5</w:t>
            </w:r>
          </w:p>
        </w:tc>
      </w:tr>
      <w:tr w:rsidR="00B2489F" w:rsidRPr="0066263B" w:rsidTr="00C35F3A">
        <w:trPr>
          <w:jc w:val="center"/>
        </w:trPr>
        <w:tc>
          <w:tcPr>
            <w:tcW w:w="2848" w:type="pct"/>
            <w:vAlign w:val="center"/>
          </w:tcPr>
          <w:p w:rsidR="00B2489F" w:rsidRPr="0066263B" w:rsidRDefault="00B2489F"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Клинцовский район</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w:t>
            </w:r>
          </w:p>
        </w:tc>
        <w:tc>
          <w:tcPr>
            <w:tcW w:w="538" w:type="pct"/>
            <w:vAlign w:val="center"/>
          </w:tcPr>
          <w:p w:rsidR="00B2489F" w:rsidRPr="0066263B" w:rsidRDefault="00B2489F"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w:t>
            </w:r>
          </w:p>
        </w:tc>
        <w:tc>
          <w:tcPr>
            <w:tcW w:w="538" w:type="pct"/>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hAnsi="Times New Roman" w:cs="Times New Roman"/>
              </w:rPr>
              <w:t>6,2</w:t>
            </w:r>
          </w:p>
        </w:tc>
      </w:tr>
      <w:tr w:rsidR="00B2489F" w:rsidRPr="0066263B" w:rsidTr="00C35F3A">
        <w:trPr>
          <w:trHeight w:val="146"/>
          <w:jc w:val="center"/>
        </w:trPr>
        <w:tc>
          <w:tcPr>
            <w:tcW w:w="2848" w:type="pct"/>
            <w:vAlign w:val="center"/>
          </w:tcPr>
          <w:p w:rsidR="00B2489F" w:rsidRPr="0066263B" w:rsidRDefault="00B2489F"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Красногорский район</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w:t>
            </w:r>
          </w:p>
        </w:tc>
        <w:tc>
          <w:tcPr>
            <w:tcW w:w="538" w:type="pct"/>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13,0</w:t>
            </w:r>
          </w:p>
        </w:tc>
        <w:tc>
          <w:tcPr>
            <w:tcW w:w="538" w:type="pct"/>
            <w:vAlign w:val="center"/>
          </w:tcPr>
          <w:p w:rsidR="00B2489F" w:rsidRPr="0066263B" w:rsidRDefault="00B2489F" w:rsidP="00315CF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538" w:type="pct"/>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hAnsi="Times New Roman" w:cs="Times New Roman"/>
              </w:rPr>
              <w:t>11,6</w:t>
            </w:r>
          </w:p>
        </w:tc>
      </w:tr>
    </w:tbl>
    <w:p w:rsidR="00B2489F" w:rsidRPr="0066263B" w:rsidRDefault="00B2489F" w:rsidP="00324483">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br w:type="page"/>
      </w:r>
    </w:p>
    <w:p w:rsidR="00546F46" w:rsidRPr="0066263B" w:rsidRDefault="00546F46" w:rsidP="00546F46">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lastRenderedPageBreak/>
        <w:t>Охват учащихся общеобразовательных учреждений питанием</w:t>
      </w:r>
    </w:p>
    <w:p w:rsidR="00B2489F" w:rsidRPr="0066263B" w:rsidRDefault="00B2489F" w:rsidP="00B2489F">
      <w:pPr>
        <w:spacing w:before="0" w:after="0"/>
        <w:ind w:firstLine="709"/>
        <w:rPr>
          <w:rFonts w:ascii="Times New Roman" w:eastAsia="Times New Roman" w:hAnsi="Times New Roman" w:cs="Times New Roman"/>
          <w:sz w:val="24"/>
          <w:szCs w:val="24"/>
          <w:shd w:val="clear" w:color="auto" w:fill="FFFFFF"/>
          <w:lang w:eastAsia="ru-RU"/>
        </w:rPr>
      </w:pPr>
      <w:r w:rsidRPr="0066263B">
        <w:rPr>
          <w:rFonts w:ascii="Times New Roman" w:eastAsia="Times New Roman" w:hAnsi="Times New Roman" w:cs="Times New Roman"/>
          <w:sz w:val="24"/>
          <w:szCs w:val="24"/>
          <w:shd w:val="clear" w:color="auto" w:fill="FFFFFF"/>
          <w:lang w:eastAsia="ru-RU"/>
        </w:rPr>
        <w:t>Горячее питание получают 113 218 детей школьного возраста, из них 41 515 детей – учащиеся из льготных категорий (36,6%).</w:t>
      </w:r>
    </w:p>
    <w:p w:rsidR="00546F46" w:rsidRPr="0066263B" w:rsidRDefault="00546F46" w:rsidP="00546F4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Охват учащихся горячим питанием в 202</w:t>
      </w:r>
      <w:r w:rsidR="00B2489F"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-202</w:t>
      </w:r>
      <w:r w:rsidR="00B2489F"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 xml:space="preserve"> учебном году остался на уровне 20</w:t>
      </w:r>
      <w:r w:rsidR="00B2489F"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-202</w:t>
      </w:r>
      <w:r w:rsidR="00B2489F"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учебного года и составил:</w:t>
      </w:r>
    </w:p>
    <w:p w:rsidR="00546F46" w:rsidRPr="0066263B" w:rsidRDefault="00546F46" w:rsidP="00160BD2">
      <w:pPr>
        <w:numPr>
          <w:ilvl w:val="0"/>
          <w:numId w:val="42"/>
        </w:numPr>
        <w:spacing w:before="0" w:after="0"/>
        <w:ind w:left="993" w:hanging="284"/>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общеобразовательных организациях – 9</w:t>
      </w:r>
      <w:r w:rsidR="00B2489F"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,5%</w:t>
      </w:r>
      <w:r w:rsidR="00B2489F" w:rsidRPr="0066263B">
        <w:rPr>
          <w:rFonts w:ascii="Times New Roman" w:eastAsia="Times New Roman" w:hAnsi="Times New Roman" w:cs="Times New Roman"/>
          <w:sz w:val="24"/>
          <w:szCs w:val="24"/>
          <w:lang w:eastAsia="ru-RU"/>
        </w:rPr>
        <w:t xml:space="preserve"> (2020 – 98,5%)</w:t>
      </w:r>
      <w:r w:rsidRPr="0066263B">
        <w:rPr>
          <w:rFonts w:ascii="Times New Roman" w:eastAsia="Times New Roman" w:hAnsi="Times New Roman" w:cs="Times New Roman"/>
          <w:sz w:val="24"/>
          <w:szCs w:val="24"/>
          <w:lang w:eastAsia="ru-RU"/>
        </w:rPr>
        <w:t>;</w:t>
      </w:r>
    </w:p>
    <w:p w:rsidR="00546F46" w:rsidRPr="0066263B" w:rsidRDefault="00546F46" w:rsidP="00160BD2">
      <w:pPr>
        <w:numPr>
          <w:ilvl w:val="0"/>
          <w:numId w:val="42"/>
        </w:numPr>
        <w:spacing w:before="0" w:after="0"/>
        <w:ind w:left="993" w:hanging="284"/>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дошкольных учреждениях – 100%</w:t>
      </w:r>
      <w:r w:rsidR="00B2489F" w:rsidRPr="0066263B">
        <w:rPr>
          <w:rFonts w:ascii="Times New Roman" w:eastAsia="Times New Roman" w:hAnsi="Times New Roman" w:cs="Times New Roman"/>
          <w:sz w:val="24"/>
          <w:szCs w:val="24"/>
          <w:lang w:eastAsia="ru-RU"/>
        </w:rPr>
        <w:t xml:space="preserve"> (2020 – 100%)</w:t>
      </w:r>
      <w:r w:rsidRPr="0066263B">
        <w:rPr>
          <w:rFonts w:ascii="Times New Roman" w:eastAsia="Times New Roman" w:hAnsi="Times New Roman" w:cs="Times New Roman"/>
          <w:sz w:val="24"/>
          <w:szCs w:val="24"/>
          <w:lang w:eastAsia="ru-RU"/>
        </w:rPr>
        <w:t>;</w:t>
      </w:r>
    </w:p>
    <w:p w:rsidR="00546F46" w:rsidRPr="0066263B" w:rsidRDefault="00546F46" w:rsidP="00160BD2">
      <w:pPr>
        <w:numPr>
          <w:ilvl w:val="0"/>
          <w:numId w:val="42"/>
        </w:numPr>
        <w:spacing w:before="0" w:after="0"/>
        <w:ind w:left="993" w:hanging="284"/>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средних профессиональных учреждениях – 5</w:t>
      </w:r>
      <w:r w:rsidR="00B2489F" w:rsidRPr="0066263B">
        <w:rPr>
          <w:rFonts w:ascii="Times New Roman" w:eastAsia="Times New Roman" w:hAnsi="Times New Roman" w:cs="Times New Roman"/>
          <w:sz w:val="24"/>
          <w:szCs w:val="24"/>
          <w:lang w:eastAsia="ru-RU"/>
        </w:rPr>
        <w:t>7,3</w:t>
      </w:r>
      <w:r w:rsidRPr="0066263B">
        <w:rPr>
          <w:rFonts w:ascii="Times New Roman" w:eastAsia="Times New Roman" w:hAnsi="Times New Roman" w:cs="Times New Roman"/>
          <w:sz w:val="24"/>
          <w:szCs w:val="24"/>
          <w:lang w:eastAsia="ru-RU"/>
        </w:rPr>
        <w:t>%</w:t>
      </w:r>
      <w:r w:rsidR="00B2489F" w:rsidRPr="0066263B">
        <w:rPr>
          <w:rFonts w:ascii="Times New Roman" w:eastAsia="Times New Roman" w:hAnsi="Times New Roman" w:cs="Times New Roman"/>
          <w:sz w:val="24"/>
          <w:szCs w:val="24"/>
          <w:lang w:eastAsia="ru-RU"/>
        </w:rPr>
        <w:t xml:space="preserve"> (2020 – 59,0%)</w:t>
      </w:r>
      <w:r w:rsidRPr="0066263B">
        <w:rPr>
          <w:rFonts w:ascii="Times New Roman" w:eastAsia="Times New Roman" w:hAnsi="Times New Roman" w:cs="Times New Roman"/>
          <w:sz w:val="24"/>
          <w:szCs w:val="24"/>
          <w:lang w:eastAsia="ru-RU"/>
        </w:rPr>
        <w:t>.</w:t>
      </w:r>
    </w:p>
    <w:p w:rsidR="00B2489F" w:rsidRPr="0066263B" w:rsidRDefault="00B2489F" w:rsidP="00B2489F">
      <w:pPr>
        <w:spacing w:before="0" w:after="0"/>
        <w:ind w:firstLine="709"/>
        <w:rPr>
          <w:rFonts w:ascii="Times New Roman" w:eastAsia="Times New Roman" w:hAnsi="Times New Roman" w:cs="Times New Roman"/>
          <w:sz w:val="24"/>
          <w:szCs w:val="24"/>
          <w:shd w:val="clear" w:color="auto" w:fill="FFFFFF"/>
          <w:lang w:eastAsia="ru-RU"/>
        </w:rPr>
      </w:pPr>
    </w:p>
    <w:p w:rsidR="00B2489F" w:rsidRPr="0066263B" w:rsidRDefault="00B2489F" w:rsidP="00B2489F">
      <w:pPr>
        <w:spacing w:before="0" w:after="0"/>
        <w:ind w:firstLine="709"/>
        <w:rPr>
          <w:rFonts w:ascii="Times New Roman" w:eastAsia="Times New Roman" w:hAnsi="Times New Roman" w:cs="Times New Roman"/>
          <w:sz w:val="24"/>
          <w:szCs w:val="24"/>
          <w:shd w:val="clear" w:color="auto" w:fill="FFFFFF"/>
          <w:lang w:eastAsia="ru-RU"/>
        </w:rPr>
      </w:pPr>
      <w:r w:rsidRPr="0066263B">
        <w:rPr>
          <w:rFonts w:ascii="Times New Roman" w:eastAsia="Times New Roman" w:hAnsi="Times New Roman" w:cs="Times New Roman"/>
          <w:sz w:val="24"/>
          <w:szCs w:val="24"/>
          <w:shd w:val="clear" w:color="auto" w:fill="FFFFFF"/>
          <w:lang w:eastAsia="ru-RU"/>
        </w:rPr>
        <w:t xml:space="preserve">Питание детей организовано во всех образовательных организациях (далее – ОО) Брянской области. 489 объектов ОО организуют горячее питание учащихся на базе собственных столовых с пищеблоком, работающим на сырье. 54 ОО обеспечивают питание учащихся в столовых с </w:t>
      </w:r>
      <w:proofErr w:type="spellStart"/>
      <w:proofErr w:type="gramStart"/>
      <w:r w:rsidRPr="0066263B">
        <w:rPr>
          <w:rFonts w:ascii="Times New Roman" w:eastAsia="Times New Roman" w:hAnsi="Times New Roman" w:cs="Times New Roman"/>
          <w:sz w:val="24"/>
          <w:szCs w:val="24"/>
          <w:shd w:val="clear" w:color="auto" w:fill="FFFFFF"/>
          <w:lang w:eastAsia="ru-RU"/>
        </w:rPr>
        <w:t>буфет-раздаточными</w:t>
      </w:r>
      <w:proofErr w:type="spellEnd"/>
      <w:proofErr w:type="gramEnd"/>
      <w:r w:rsidRPr="0066263B">
        <w:rPr>
          <w:rFonts w:ascii="Times New Roman" w:eastAsia="Times New Roman" w:hAnsi="Times New Roman" w:cs="Times New Roman"/>
          <w:sz w:val="24"/>
          <w:szCs w:val="24"/>
          <w:shd w:val="clear" w:color="auto" w:fill="FFFFFF"/>
          <w:lang w:eastAsia="ru-RU"/>
        </w:rPr>
        <w:t xml:space="preserve">. </w:t>
      </w:r>
      <w:proofErr w:type="gramStart"/>
      <w:r w:rsidRPr="0066263B">
        <w:rPr>
          <w:rFonts w:ascii="Times New Roman" w:eastAsia="Times New Roman" w:hAnsi="Times New Roman" w:cs="Times New Roman"/>
          <w:sz w:val="24"/>
          <w:szCs w:val="24"/>
          <w:shd w:val="clear" w:color="auto" w:fill="FFFFFF"/>
          <w:lang w:eastAsia="ru-RU"/>
        </w:rPr>
        <w:t>Кроме того, в ОО Брянской области оборудованы 150 буфетов, в которых реализуется продукция, разрешённая к дополнительному питанию учащихся.</w:t>
      </w:r>
      <w:proofErr w:type="gramEnd"/>
    </w:p>
    <w:p w:rsidR="00B2489F" w:rsidRPr="0066263B" w:rsidRDefault="00B2489F" w:rsidP="00B2489F">
      <w:pPr>
        <w:spacing w:before="0" w:after="0"/>
        <w:ind w:firstLine="709"/>
        <w:rPr>
          <w:rFonts w:ascii="Times New Roman" w:eastAsia="Times New Roman" w:hAnsi="Times New Roman" w:cs="Times New Roman"/>
          <w:sz w:val="24"/>
          <w:szCs w:val="24"/>
          <w:shd w:val="clear" w:color="auto" w:fill="FFFFFF"/>
          <w:lang w:eastAsia="ru-RU"/>
        </w:rPr>
      </w:pPr>
      <w:r w:rsidRPr="0066263B">
        <w:rPr>
          <w:rFonts w:ascii="Times New Roman" w:eastAsia="Times New Roman" w:hAnsi="Times New Roman" w:cs="Times New Roman"/>
          <w:sz w:val="24"/>
          <w:szCs w:val="24"/>
          <w:shd w:val="clear" w:color="auto" w:fill="FFFFFF"/>
          <w:lang w:eastAsia="ru-RU"/>
        </w:rPr>
        <w:t>Средняя стоимость завтраков в начальной школе за средства бюджета составляет 50 рублей, в 5-11 классах с использованием родительской доли составляет 28-56 руб., для детей из малообеспеченных семей – 27 руб.</w:t>
      </w:r>
    </w:p>
    <w:p w:rsidR="00B2489F" w:rsidRPr="0066263B" w:rsidRDefault="00B2489F" w:rsidP="00B2489F">
      <w:pPr>
        <w:spacing w:before="0" w:after="0"/>
        <w:ind w:firstLine="709"/>
        <w:rPr>
          <w:rFonts w:ascii="Times New Roman" w:eastAsia="Times New Roman" w:hAnsi="Times New Roman" w:cs="Times New Roman"/>
          <w:sz w:val="24"/>
          <w:szCs w:val="24"/>
          <w:shd w:val="clear" w:color="auto" w:fill="FFFFFF"/>
          <w:lang w:eastAsia="ru-RU"/>
        </w:rPr>
      </w:pPr>
      <w:r w:rsidRPr="0066263B">
        <w:rPr>
          <w:rFonts w:ascii="Times New Roman" w:eastAsia="Times New Roman" w:hAnsi="Times New Roman" w:cs="Times New Roman"/>
          <w:sz w:val="24"/>
          <w:szCs w:val="24"/>
          <w:shd w:val="clear" w:color="auto" w:fill="FFFFFF"/>
          <w:lang w:eastAsia="ru-RU"/>
        </w:rPr>
        <w:t>Ежегодно во всех районах области проводится работа по удешевлению питания. В осенний период в более чем 450 школах осуществляется закладка картофеля и других овощей на зимнее хранение. Большая часть сельхозпродукции заготовлена за счёт пришкольных участков.</w:t>
      </w:r>
    </w:p>
    <w:p w:rsidR="00B2489F" w:rsidRPr="0066263B" w:rsidRDefault="00B2489F" w:rsidP="00B2489F">
      <w:pPr>
        <w:spacing w:before="0" w:after="0"/>
        <w:ind w:firstLine="709"/>
        <w:rPr>
          <w:rFonts w:ascii="Times New Roman" w:eastAsia="Times New Roman" w:hAnsi="Times New Roman" w:cs="Times New Roman"/>
          <w:sz w:val="24"/>
          <w:szCs w:val="24"/>
          <w:shd w:val="clear" w:color="auto" w:fill="FFFFFF"/>
          <w:lang w:eastAsia="ru-RU"/>
        </w:rPr>
      </w:pPr>
      <w:r w:rsidRPr="0066263B">
        <w:rPr>
          <w:rFonts w:ascii="Times New Roman" w:eastAsia="Times New Roman" w:hAnsi="Times New Roman" w:cs="Times New Roman"/>
          <w:sz w:val="24"/>
          <w:szCs w:val="24"/>
          <w:shd w:val="clear" w:color="auto" w:fill="FFFFFF"/>
          <w:lang w:eastAsia="ru-RU"/>
        </w:rPr>
        <w:t>Для организации поставок молока, мяса, хлебобулочной, овощной продукции привлечены местные производители. Правительством Брянской области рекомендовано заключение прямых договоров на поставку продуктов питания в организации всех типов в соответствие с п.п. 4, 5 ст. 93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B2489F" w:rsidRPr="0066263B" w:rsidRDefault="00B2489F" w:rsidP="00B2489F">
      <w:pPr>
        <w:spacing w:before="0" w:after="0"/>
        <w:ind w:firstLine="709"/>
        <w:rPr>
          <w:rFonts w:ascii="Times New Roman" w:eastAsia="Times New Roman" w:hAnsi="Times New Roman" w:cs="Times New Roman"/>
          <w:sz w:val="24"/>
          <w:szCs w:val="24"/>
          <w:shd w:val="clear" w:color="auto" w:fill="FFFFFF"/>
          <w:lang w:eastAsia="ru-RU"/>
        </w:rPr>
      </w:pPr>
      <w:r w:rsidRPr="0066263B">
        <w:rPr>
          <w:rFonts w:ascii="Times New Roman" w:eastAsia="Times New Roman" w:hAnsi="Times New Roman" w:cs="Times New Roman"/>
          <w:sz w:val="24"/>
          <w:szCs w:val="24"/>
          <w:shd w:val="clear" w:color="auto" w:fill="FFFFFF"/>
          <w:lang w:eastAsia="ru-RU"/>
        </w:rPr>
        <w:t>В течение 2021 года контроль (надзор) за организацией питания детей и подростков осуществлялся в рамках плановых проверок, а также при исполнении Приказа Федеральной службы по надзору в сфере защиты прав потребителей и благополучия человека от 16.10.2020 № 723 «О проведении внеплановых проверок образовательных организаций и их поставщиков продуктов». Все проверки сопровождались отбором проб с их последующим лабораторно-инструментальным исследованием. Так, в ходе проверок отобрано и исследовано:</w:t>
      </w:r>
    </w:p>
    <w:p w:rsidR="00B2489F" w:rsidRPr="0066263B" w:rsidRDefault="00B2489F" w:rsidP="00BE7104">
      <w:pPr>
        <w:pStyle w:val="aff9"/>
        <w:numPr>
          <w:ilvl w:val="0"/>
          <w:numId w:val="53"/>
        </w:numPr>
        <w:ind w:left="1134" w:hanging="141"/>
        <w:jc w:val="both"/>
      </w:pPr>
      <w:r w:rsidRPr="0066263B">
        <w:t>39 проб готовой продукции на микробиологические показатели;</w:t>
      </w:r>
    </w:p>
    <w:p w:rsidR="00B2489F" w:rsidRPr="0066263B" w:rsidRDefault="00B2489F" w:rsidP="00BE7104">
      <w:pPr>
        <w:pStyle w:val="aff9"/>
        <w:numPr>
          <w:ilvl w:val="0"/>
          <w:numId w:val="53"/>
        </w:numPr>
        <w:ind w:left="1134" w:hanging="141"/>
        <w:jc w:val="both"/>
      </w:pPr>
      <w:r w:rsidRPr="0066263B">
        <w:t>29 проб на санитарно-химические показатели;</w:t>
      </w:r>
    </w:p>
    <w:p w:rsidR="00B2489F" w:rsidRPr="0066263B" w:rsidRDefault="00B2489F" w:rsidP="00BE7104">
      <w:pPr>
        <w:pStyle w:val="aff9"/>
        <w:numPr>
          <w:ilvl w:val="0"/>
          <w:numId w:val="53"/>
        </w:numPr>
        <w:ind w:left="1134" w:hanging="141"/>
        <w:jc w:val="both"/>
      </w:pPr>
      <w:r w:rsidRPr="0066263B">
        <w:t>21 проба на показатели калорийности.</w:t>
      </w:r>
    </w:p>
    <w:p w:rsidR="00B2489F" w:rsidRPr="0066263B" w:rsidRDefault="00B2489F" w:rsidP="00103C7A">
      <w:pPr>
        <w:tabs>
          <w:tab w:val="left" w:pos="2602"/>
        </w:tabs>
        <w:spacing w:before="0" w:after="0"/>
        <w:ind w:firstLine="709"/>
        <w:contextualSpacing/>
        <w:rPr>
          <w:rFonts w:ascii="Times New Roman" w:eastAsia="Times New Roman" w:hAnsi="Times New Roman" w:cs="Times New Roman"/>
          <w:sz w:val="24"/>
          <w:szCs w:val="24"/>
          <w:lang w:eastAsia="ru-RU"/>
        </w:rPr>
      </w:pPr>
    </w:p>
    <w:p w:rsidR="00B2489F" w:rsidRPr="0066263B" w:rsidRDefault="00B2489F" w:rsidP="00B2489F">
      <w:pPr>
        <w:tabs>
          <w:tab w:val="left" w:pos="2602"/>
        </w:tabs>
        <w:spacing w:before="0" w:after="0"/>
        <w:ind w:firstLine="709"/>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микробиологическим показателям не соответствовали гигиеническим нормативам 3 исследованные пробы готовых блюд или 7,6% (2020 – 0%, 2019 – 0,7%; 2018 – 1,9%).</w:t>
      </w:r>
    </w:p>
    <w:p w:rsidR="00B2489F" w:rsidRPr="0066263B" w:rsidRDefault="00B2489F" w:rsidP="00B2489F">
      <w:pPr>
        <w:tabs>
          <w:tab w:val="left" w:pos="2602"/>
        </w:tabs>
        <w:spacing w:before="0" w:after="0"/>
        <w:ind w:firstLine="709"/>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показателям калорийности неудовлетворительны</w:t>
      </w:r>
      <w:r w:rsidR="00BA4464">
        <w:rPr>
          <w:rFonts w:ascii="Times New Roman" w:eastAsia="Times New Roman" w:hAnsi="Times New Roman" w:cs="Times New Roman"/>
          <w:sz w:val="24"/>
          <w:szCs w:val="24"/>
          <w:lang w:eastAsia="ru-RU"/>
        </w:rPr>
        <w:t>е</w:t>
      </w:r>
      <w:r w:rsidRPr="0066263B">
        <w:rPr>
          <w:rFonts w:ascii="Times New Roman" w:eastAsia="Times New Roman" w:hAnsi="Times New Roman" w:cs="Times New Roman"/>
          <w:sz w:val="24"/>
          <w:szCs w:val="24"/>
          <w:lang w:eastAsia="ru-RU"/>
        </w:rPr>
        <w:t xml:space="preserve"> проб</w:t>
      </w:r>
      <w:r w:rsidR="00BA4464">
        <w:rPr>
          <w:rFonts w:ascii="Times New Roman" w:eastAsia="Times New Roman" w:hAnsi="Times New Roman" w:cs="Times New Roman"/>
          <w:sz w:val="24"/>
          <w:szCs w:val="24"/>
          <w:lang w:eastAsia="ru-RU"/>
        </w:rPr>
        <w:t>ы</w:t>
      </w:r>
      <w:r w:rsidRPr="0066263B">
        <w:rPr>
          <w:rFonts w:ascii="Times New Roman" w:eastAsia="Times New Roman" w:hAnsi="Times New Roman" w:cs="Times New Roman"/>
          <w:sz w:val="24"/>
          <w:szCs w:val="24"/>
          <w:lang w:eastAsia="ru-RU"/>
        </w:rPr>
        <w:t xml:space="preserve"> в учреждениях для детей и подростков </w:t>
      </w:r>
      <w:r w:rsidR="00BA4464">
        <w:rPr>
          <w:rFonts w:ascii="Times New Roman" w:eastAsia="Times New Roman" w:hAnsi="Times New Roman" w:cs="Times New Roman"/>
          <w:sz w:val="24"/>
          <w:szCs w:val="24"/>
          <w:lang w:eastAsia="ru-RU"/>
        </w:rPr>
        <w:t>отсутствовали</w:t>
      </w:r>
      <w:r w:rsidRPr="0066263B">
        <w:rPr>
          <w:rFonts w:ascii="Times New Roman" w:eastAsia="Times New Roman" w:hAnsi="Times New Roman" w:cs="Times New Roman"/>
          <w:sz w:val="24"/>
          <w:szCs w:val="24"/>
          <w:lang w:eastAsia="ru-RU"/>
        </w:rPr>
        <w:t xml:space="preserve"> (2020 – 1,3%; 2019 – 5,1%; 2018 – 6,0%).</w:t>
      </w:r>
    </w:p>
    <w:p w:rsidR="00B2489F" w:rsidRPr="0066263B" w:rsidRDefault="00BA4464" w:rsidP="00B2489F">
      <w:pPr>
        <w:tabs>
          <w:tab w:val="left" w:pos="2602"/>
        </w:tabs>
        <w:spacing w:before="0" w:after="0"/>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Стабильно</w:t>
      </w:r>
      <w:r w:rsidR="00B2489F" w:rsidRPr="0066263B">
        <w:rPr>
          <w:rFonts w:ascii="Times New Roman" w:eastAsia="Times New Roman" w:hAnsi="Times New Roman" w:cs="Times New Roman"/>
          <w:sz w:val="24"/>
          <w:szCs w:val="24"/>
          <w:lang w:eastAsia="ru-RU"/>
        </w:rPr>
        <w:t xml:space="preserve"> качество готовой продукции по санитарно-химическим показателям – в 2021 году все исследованные пробы соответствовали гигиеническим нормативам (2020 – 0%, 2019 – 0,6%; 2018 – 1,1%) (табл. 3</w:t>
      </w:r>
      <w:r w:rsidR="00222578" w:rsidRPr="0066263B">
        <w:rPr>
          <w:rFonts w:ascii="Times New Roman" w:eastAsia="Times New Roman" w:hAnsi="Times New Roman" w:cs="Times New Roman"/>
          <w:sz w:val="24"/>
          <w:szCs w:val="24"/>
          <w:lang w:eastAsia="ru-RU"/>
        </w:rPr>
        <w:t>6</w:t>
      </w:r>
      <w:r w:rsidR="00B2489F" w:rsidRPr="0066263B">
        <w:rPr>
          <w:rFonts w:ascii="Times New Roman" w:eastAsia="Times New Roman" w:hAnsi="Times New Roman" w:cs="Times New Roman"/>
          <w:sz w:val="24"/>
          <w:szCs w:val="24"/>
          <w:lang w:eastAsia="ru-RU"/>
        </w:rPr>
        <w:t>).</w:t>
      </w:r>
    </w:p>
    <w:p w:rsidR="00C23EB0" w:rsidRPr="0066263B" w:rsidRDefault="00C23EB0" w:rsidP="00B2489F">
      <w:pPr>
        <w:tabs>
          <w:tab w:val="left" w:pos="2602"/>
        </w:tabs>
        <w:spacing w:before="0" w:after="0"/>
        <w:ind w:firstLine="709"/>
        <w:contextualSpacing/>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C23EB0" w:rsidRPr="0066263B" w:rsidRDefault="00C23EB0" w:rsidP="00B2489F">
      <w:pPr>
        <w:tabs>
          <w:tab w:val="left" w:pos="2602"/>
        </w:tabs>
        <w:spacing w:before="0" w:after="0"/>
        <w:ind w:firstLine="709"/>
        <w:contextualSpacing/>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36</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Доля проб пищевых продуктов не соответствующих санитарным нормам,</w:t>
      </w:r>
      <w:r w:rsidRPr="0066263B">
        <w:rPr>
          <w:rFonts w:ascii="Times New Roman" w:eastAsia="Times New Roman" w:hAnsi="Times New Roman" w:cs="Times New Roman"/>
          <w:b/>
          <w:bCs/>
          <w:lang w:eastAsia="ru-RU"/>
        </w:rPr>
        <w:br/>
        <w:t>отобранных в учреждениях для детей и подростков, %</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1020"/>
        <w:gridCol w:w="1020"/>
        <w:gridCol w:w="1020"/>
        <w:gridCol w:w="1020"/>
        <w:gridCol w:w="1020"/>
      </w:tblGrid>
      <w:tr w:rsidR="00B2489F" w:rsidRPr="0066263B" w:rsidTr="00C35F3A">
        <w:tc>
          <w:tcPr>
            <w:tcW w:w="3969" w:type="dxa"/>
            <w:vAlign w:val="center"/>
          </w:tcPr>
          <w:p w:rsidR="00B2489F" w:rsidRPr="0066263B" w:rsidRDefault="00B2489F"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Наименование показателя</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020" w:type="dxa"/>
            <w:vAlign w:val="center"/>
          </w:tcPr>
          <w:p w:rsidR="00B2489F" w:rsidRPr="0066263B" w:rsidRDefault="00B2489F"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B2489F" w:rsidRPr="0066263B" w:rsidTr="00C35F3A">
        <w:tc>
          <w:tcPr>
            <w:tcW w:w="3969" w:type="dxa"/>
          </w:tcPr>
          <w:p w:rsidR="00B2489F" w:rsidRPr="0066263B" w:rsidRDefault="00B2489F" w:rsidP="00324483">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Микробиологические показатели</w:t>
            </w:r>
          </w:p>
        </w:tc>
        <w:tc>
          <w:tcPr>
            <w:tcW w:w="1020" w:type="dxa"/>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w:t>
            </w:r>
          </w:p>
        </w:tc>
        <w:tc>
          <w:tcPr>
            <w:tcW w:w="1020" w:type="dxa"/>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w:t>
            </w:r>
          </w:p>
        </w:tc>
        <w:tc>
          <w:tcPr>
            <w:tcW w:w="1020" w:type="dxa"/>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w:t>
            </w:r>
          </w:p>
        </w:tc>
        <w:tc>
          <w:tcPr>
            <w:tcW w:w="1020" w:type="dxa"/>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020" w:type="dxa"/>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7,6</w:t>
            </w:r>
          </w:p>
        </w:tc>
      </w:tr>
      <w:tr w:rsidR="00B2489F" w:rsidRPr="0066263B" w:rsidTr="00C35F3A">
        <w:tc>
          <w:tcPr>
            <w:tcW w:w="3969" w:type="dxa"/>
          </w:tcPr>
          <w:p w:rsidR="00B2489F" w:rsidRPr="0066263B" w:rsidRDefault="00B2489F" w:rsidP="00324483">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Санитарно-химические показатели</w:t>
            </w:r>
          </w:p>
        </w:tc>
        <w:tc>
          <w:tcPr>
            <w:tcW w:w="1020" w:type="dxa"/>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0,06</w:t>
            </w:r>
          </w:p>
        </w:tc>
        <w:tc>
          <w:tcPr>
            <w:tcW w:w="1020" w:type="dxa"/>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w:t>
            </w:r>
          </w:p>
        </w:tc>
        <w:tc>
          <w:tcPr>
            <w:tcW w:w="1020" w:type="dxa"/>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w:t>
            </w:r>
          </w:p>
        </w:tc>
        <w:tc>
          <w:tcPr>
            <w:tcW w:w="1020" w:type="dxa"/>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020" w:type="dxa"/>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B2489F" w:rsidRPr="0066263B" w:rsidTr="00C35F3A">
        <w:tc>
          <w:tcPr>
            <w:tcW w:w="3969" w:type="dxa"/>
          </w:tcPr>
          <w:p w:rsidR="00B2489F" w:rsidRPr="0066263B" w:rsidRDefault="00B2489F" w:rsidP="00324483">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Калорийность и полнота вложения</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7,8</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1020" w:type="dxa"/>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B2489F" w:rsidRPr="0066263B" w:rsidTr="00C35F3A">
        <w:tc>
          <w:tcPr>
            <w:tcW w:w="3969" w:type="dxa"/>
          </w:tcPr>
          <w:p w:rsidR="00B2489F" w:rsidRPr="0066263B" w:rsidRDefault="00B2489F" w:rsidP="004E433A">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Вложения витамина «С»</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w:t>
            </w:r>
          </w:p>
        </w:tc>
        <w:tc>
          <w:tcPr>
            <w:tcW w:w="1020" w:type="dxa"/>
            <w:vAlign w:val="center"/>
          </w:tcPr>
          <w:p w:rsidR="00B2489F" w:rsidRPr="0066263B" w:rsidRDefault="00B2489F" w:rsidP="00C35F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020" w:type="dxa"/>
            <w:vAlign w:val="center"/>
          </w:tcPr>
          <w:p w:rsidR="00B2489F" w:rsidRPr="0066263B" w:rsidRDefault="00B2489F"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bl>
    <w:p w:rsidR="00B2489F" w:rsidRPr="0066263B" w:rsidRDefault="00B2489F" w:rsidP="00B2489F">
      <w:pPr>
        <w:tabs>
          <w:tab w:val="left" w:pos="2602"/>
        </w:tabs>
        <w:spacing w:before="0" w:after="0"/>
        <w:ind w:firstLine="709"/>
        <w:contextualSpacing/>
        <w:rPr>
          <w:rFonts w:ascii="Times New Roman" w:eastAsia="Times New Roman" w:hAnsi="Times New Roman" w:cs="Times New Roman"/>
          <w:sz w:val="24"/>
          <w:szCs w:val="24"/>
          <w:lang w:eastAsia="ru-RU"/>
        </w:rPr>
      </w:pPr>
    </w:p>
    <w:p w:rsidR="00C23EB0" w:rsidRPr="0066263B" w:rsidRDefault="00C23EB0" w:rsidP="00B2489F">
      <w:pPr>
        <w:tabs>
          <w:tab w:val="left" w:pos="2602"/>
        </w:tabs>
        <w:spacing w:before="0" w:after="0"/>
        <w:ind w:firstLine="709"/>
        <w:contextualSpacing/>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t>Состояние воздуха рабочей зоны</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Оценка уровня вредного воздействия отдельных факторов трудового процесса на работников в процессе их трудовой деятельности и выработка механизмов управления ими с целью снижения до уровней приемлемых рисков позволяет сохранять профессиональное здоровье работающих и ведёт к сбережению трудовых ресурсов.</w:t>
      </w:r>
    </w:p>
    <w:p w:rsidR="00B14598" w:rsidRPr="0066263B" w:rsidRDefault="00B14598" w:rsidP="00B1459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Брянской области за 202</w:t>
      </w:r>
      <w:r w:rsidR="00335C2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 количество работающих на промышленных предприятиях и других подконтрольных объектах снизилось на 1,0 тыс. человек и составило примерно 18</w:t>
      </w:r>
      <w:r w:rsidR="00297951"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 xml:space="preserve"> тыс. человек</w:t>
      </w:r>
      <w:r w:rsidR="00335C27" w:rsidRPr="0066263B">
        <w:rPr>
          <w:rFonts w:ascii="Times New Roman" w:eastAsia="Times New Roman" w:hAnsi="Times New Roman" w:cs="Times New Roman"/>
          <w:sz w:val="24"/>
          <w:szCs w:val="24"/>
          <w:lang w:eastAsia="ru-RU"/>
        </w:rPr>
        <w:t xml:space="preserve"> (2020 – 184 тыс. чел.)</w:t>
      </w:r>
      <w:r w:rsidRPr="0066263B">
        <w:rPr>
          <w:rFonts w:ascii="Times New Roman" w:eastAsia="Times New Roman" w:hAnsi="Times New Roman" w:cs="Times New Roman"/>
          <w:sz w:val="24"/>
          <w:szCs w:val="24"/>
          <w:lang w:eastAsia="ru-RU"/>
        </w:rPr>
        <w:t>.</w:t>
      </w:r>
    </w:p>
    <w:p w:rsidR="00B14598" w:rsidRPr="0066263B" w:rsidRDefault="00B14598" w:rsidP="00B14598">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На тяжёлых и вредных участках работ по области занято 67,2 тыс. человек, в т.ч. 6,7 тыс. женщин, что находится на уровне предыдущего года</w:t>
      </w:r>
      <w:r w:rsidR="00335C27" w:rsidRPr="0066263B">
        <w:rPr>
          <w:rFonts w:ascii="Times New Roman" w:eastAsia="Times New Roman" w:hAnsi="Times New Roman" w:cs="Times New Roman"/>
          <w:sz w:val="24"/>
          <w:szCs w:val="24"/>
          <w:lang w:eastAsia="ru-RU"/>
        </w:rPr>
        <w:t xml:space="preserve"> (2020 – 67,2 тыс. чел., в т.ч. 6,7 тыс. женщин)</w:t>
      </w:r>
      <w:r w:rsidRPr="0066263B">
        <w:rPr>
          <w:rFonts w:ascii="Times New Roman" w:eastAsia="Times New Roman" w:hAnsi="Times New Roman" w:cs="Times New Roman"/>
          <w:sz w:val="24"/>
          <w:szCs w:val="24"/>
          <w:lang w:eastAsia="ru-RU"/>
        </w:rPr>
        <w:t>.</w:t>
      </w:r>
      <w:proofErr w:type="gramEnd"/>
    </w:p>
    <w:p w:rsidR="00317696" w:rsidRPr="0066263B" w:rsidRDefault="00317696" w:rsidP="0031769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всего отобрано и исследовано проб воздуха рабочей зоны – 2 288, из них 75 проб с превышением установленных ПДК, что составляет – 3,3% (2020 – 0,3%, 2019 – 1,1%).</w:t>
      </w:r>
    </w:p>
    <w:p w:rsidR="00C23EB0" w:rsidRPr="0066263B" w:rsidRDefault="00C23EB0" w:rsidP="00317696">
      <w:pPr>
        <w:spacing w:before="0" w:after="0"/>
        <w:ind w:firstLine="709"/>
        <w:rPr>
          <w:rFonts w:ascii="Times New Roman" w:eastAsia="Times New Roman" w:hAnsi="Times New Roman" w:cs="Times New Roman"/>
          <w:sz w:val="24"/>
          <w:szCs w:val="24"/>
          <w:lang w:eastAsia="ru-RU"/>
        </w:rPr>
      </w:pPr>
    </w:p>
    <w:p w:rsidR="00317696" w:rsidRPr="0066263B" w:rsidRDefault="00317696" w:rsidP="00317696">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37</w:t>
      </w:r>
      <w:r w:rsidR="006C34E2" w:rsidRPr="0066263B">
        <w:rPr>
          <w:rFonts w:ascii="Times New Roman" w:eastAsia="Calibri" w:hAnsi="Times New Roman" w:cs="Times New Roman"/>
        </w:rPr>
        <w:fldChar w:fldCharType="end"/>
      </w:r>
    </w:p>
    <w:p w:rsidR="00317696" w:rsidRPr="0066263B" w:rsidRDefault="00317696" w:rsidP="00317696">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Доля проб воздуха, превышающих ПДК на промышленных предприятиях, %</w:t>
      </w:r>
    </w:p>
    <w:p w:rsidR="00317696" w:rsidRPr="0066263B" w:rsidRDefault="00317696" w:rsidP="00317696">
      <w:pPr>
        <w:spacing w:before="0" w:after="0"/>
        <w:jc w:val="center"/>
        <w:rPr>
          <w:rFonts w:ascii="Times New Roman" w:eastAsia="Times New Roman" w:hAnsi="Times New Roman" w:cs="Times New Roman"/>
          <w:b/>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850"/>
        <w:gridCol w:w="850"/>
        <w:gridCol w:w="851"/>
        <w:gridCol w:w="2693"/>
      </w:tblGrid>
      <w:tr w:rsidR="00317696" w:rsidRPr="0066263B" w:rsidTr="00586E43">
        <w:tc>
          <w:tcPr>
            <w:tcW w:w="3828" w:type="dxa"/>
            <w:vAlign w:val="center"/>
          </w:tcPr>
          <w:p w:rsidR="00317696" w:rsidRPr="0066263B" w:rsidRDefault="00317696" w:rsidP="005972B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Показатель</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851" w:type="dxa"/>
            <w:vAlign w:val="center"/>
          </w:tcPr>
          <w:p w:rsidR="00317696" w:rsidRPr="0066263B" w:rsidRDefault="00317696" w:rsidP="005972B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c>
          <w:tcPr>
            <w:tcW w:w="2693" w:type="dxa"/>
          </w:tcPr>
          <w:p w:rsidR="00317696" w:rsidRPr="0066263B" w:rsidRDefault="00317696" w:rsidP="00BE3DAD">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Темп прироста к 201</w:t>
            </w:r>
            <w:r w:rsidR="00BE3DAD" w:rsidRPr="0066263B">
              <w:rPr>
                <w:rFonts w:ascii="Times New Roman" w:eastAsia="Times New Roman" w:hAnsi="Times New Roman" w:cs="Times New Roman"/>
                <w:b/>
                <w:i/>
                <w:lang w:eastAsia="ru-RU"/>
              </w:rPr>
              <w:t>9</w:t>
            </w:r>
            <w:r w:rsidRPr="0066263B">
              <w:rPr>
                <w:rFonts w:ascii="Times New Roman" w:eastAsia="Times New Roman" w:hAnsi="Times New Roman" w:cs="Times New Roman"/>
                <w:b/>
                <w:i/>
                <w:lang w:eastAsia="ru-RU"/>
              </w:rPr>
              <w:t>, %</w:t>
            </w:r>
          </w:p>
        </w:tc>
      </w:tr>
      <w:tr w:rsidR="00317696" w:rsidRPr="0066263B" w:rsidTr="00586E43">
        <w:tc>
          <w:tcPr>
            <w:tcW w:w="3828" w:type="dxa"/>
            <w:vAlign w:val="center"/>
          </w:tcPr>
          <w:p w:rsidR="00317696" w:rsidRPr="0066263B" w:rsidRDefault="00317696" w:rsidP="005972B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Пары и газы</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w:t>
            </w:r>
          </w:p>
        </w:tc>
        <w:tc>
          <w:tcPr>
            <w:tcW w:w="851"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c>
          <w:tcPr>
            <w:tcW w:w="2693" w:type="dxa"/>
            <w:shd w:val="clear" w:color="auto" w:fill="auto"/>
            <w:vAlign w:val="center"/>
          </w:tcPr>
          <w:p w:rsidR="00317696" w:rsidRPr="0066263B" w:rsidRDefault="004D431C" w:rsidP="005972B7">
            <w:pPr>
              <w:spacing w:before="20" w:after="2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317696" w:rsidRPr="0066263B" w:rsidTr="00586E43">
        <w:tc>
          <w:tcPr>
            <w:tcW w:w="3828" w:type="dxa"/>
            <w:vAlign w:val="center"/>
          </w:tcPr>
          <w:p w:rsidR="00317696" w:rsidRPr="0066263B" w:rsidRDefault="00317696" w:rsidP="00586E4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Пары и газы, содержащие вещества</w:t>
            </w:r>
            <w:r w:rsidR="00586E43" w:rsidRPr="0066263B">
              <w:rPr>
                <w:rFonts w:ascii="Times New Roman" w:eastAsia="Times New Roman" w:hAnsi="Times New Roman" w:cs="Times New Roman"/>
                <w:lang w:eastAsia="ru-RU"/>
              </w:rPr>
              <w:br/>
            </w:r>
            <w:r w:rsidRPr="0066263B">
              <w:rPr>
                <w:rFonts w:ascii="Times New Roman" w:eastAsia="Times New Roman" w:hAnsi="Times New Roman" w:cs="Times New Roman"/>
                <w:lang w:eastAsia="ru-RU"/>
              </w:rPr>
              <w:t>1 и 2 классов опасности</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851"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2693" w:type="dxa"/>
            <w:shd w:val="clear" w:color="auto" w:fill="auto"/>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317696" w:rsidRPr="0066263B" w:rsidTr="00586E43">
        <w:tc>
          <w:tcPr>
            <w:tcW w:w="3828" w:type="dxa"/>
            <w:vAlign w:val="center"/>
          </w:tcPr>
          <w:p w:rsidR="00317696" w:rsidRPr="0066263B" w:rsidRDefault="00317696" w:rsidP="005972B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Пыль и аэрозоли</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w:t>
            </w:r>
          </w:p>
        </w:tc>
        <w:tc>
          <w:tcPr>
            <w:tcW w:w="851"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5,7</w:t>
            </w:r>
          </w:p>
        </w:tc>
        <w:tc>
          <w:tcPr>
            <w:tcW w:w="2693" w:type="dxa"/>
            <w:shd w:val="clear" w:color="auto" w:fill="auto"/>
            <w:vAlign w:val="center"/>
          </w:tcPr>
          <w:p w:rsidR="00317696" w:rsidRPr="0066263B" w:rsidRDefault="004D431C" w:rsidP="005972B7">
            <w:pPr>
              <w:spacing w:before="20" w:after="20"/>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39,02</w:t>
            </w:r>
          </w:p>
        </w:tc>
      </w:tr>
      <w:tr w:rsidR="00317696" w:rsidRPr="0066263B" w:rsidTr="00586E43">
        <w:tc>
          <w:tcPr>
            <w:tcW w:w="3828" w:type="dxa"/>
            <w:vAlign w:val="center"/>
          </w:tcPr>
          <w:p w:rsidR="00317696" w:rsidRPr="0066263B" w:rsidRDefault="00317696" w:rsidP="005972B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Пыль и аэрозоли, содержащие вещества 1 и 2 классов опасности</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w:t>
            </w:r>
          </w:p>
        </w:tc>
        <w:tc>
          <w:tcPr>
            <w:tcW w:w="850"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w:t>
            </w:r>
          </w:p>
        </w:tc>
        <w:tc>
          <w:tcPr>
            <w:tcW w:w="851" w:type="dxa"/>
            <w:vAlign w:val="center"/>
          </w:tcPr>
          <w:p w:rsidR="00317696" w:rsidRPr="0066263B" w:rsidRDefault="00317696"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w:t>
            </w:r>
          </w:p>
        </w:tc>
        <w:tc>
          <w:tcPr>
            <w:tcW w:w="2693" w:type="dxa"/>
            <w:shd w:val="clear" w:color="auto" w:fill="auto"/>
            <w:vAlign w:val="center"/>
          </w:tcPr>
          <w:p w:rsidR="00317696" w:rsidRPr="0066263B" w:rsidRDefault="004D431C" w:rsidP="005972B7">
            <w:pPr>
              <w:spacing w:before="20" w:after="20"/>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 5,6 раза</w:t>
            </w:r>
          </w:p>
        </w:tc>
      </w:tr>
    </w:tbl>
    <w:p w:rsidR="00317696" w:rsidRPr="0066263B" w:rsidRDefault="00317696" w:rsidP="00317696">
      <w:pPr>
        <w:spacing w:before="0" w:after="0"/>
        <w:ind w:firstLine="709"/>
        <w:rPr>
          <w:rFonts w:ascii="Times New Roman" w:eastAsia="Times New Roman" w:hAnsi="Times New Roman" w:cs="Times New Roman"/>
          <w:sz w:val="24"/>
          <w:szCs w:val="24"/>
          <w:lang w:eastAsia="ru-RU"/>
        </w:rPr>
      </w:pPr>
    </w:p>
    <w:p w:rsidR="00317696" w:rsidRPr="0066263B" w:rsidRDefault="00317696" w:rsidP="0031769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состояние запылённости и загазованности воздуха рабочей зоны на подконтрольных объектах в целом по области резко ухудшилось по сравнению с 2018-2020 г.г.</w:t>
      </w:r>
    </w:p>
    <w:p w:rsidR="00C23EB0" w:rsidRPr="0066263B" w:rsidRDefault="00C23EB0" w:rsidP="00C23EB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ходе проведённого анализа результатов исследований по административным территориям Брянской области установлено, что на территории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Клинцы в 2021 году обнаружены превышающие ПДК на промышленных предприятиях пробы воздуха рабочей зоны на пары и газы; на пыль и аэрозоли – на территориях г. Клинцы и Дятьковского района.</w:t>
      </w:r>
    </w:p>
    <w:p w:rsidR="00586E43" w:rsidRPr="0066263B" w:rsidRDefault="00586E43" w:rsidP="00317696">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C23EB0" w:rsidRPr="0066263B" w:rsidRDefault="00C23EB0" w:rsidP="00317696">
      <w:pPr>
        <w:spacing w:before="0" w:after="0"/>
        <w:ind w:firstLine="709"/>
        <w:rPr>
          <w:rFonts w:ascii="Times New Roman" w:eastAsia="Times New Roman" w:hAnsi="Times New Roman" w:cs="Times New Roman"/>
          <w:sz w:val="24"/>
          <w:szCs w:val="24"/>
          <w:lang w:eastAsia="ru-RU"/>
        </w:rPr>
      </w:pPr>
    </w:p>
    <w:p w:rsidR="00317696" w:rsidRPr="0066263B" w:rsidRDefault="00317696" w:rsidP="00317696">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972908" cy="3593123"/>
            <wp:effectExtent l="0" t="0" r="0" b="0"/>
            <wp:docPr id="2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86E43" w:rsidRPr="0066263B" w:rsidRDefault="00586E43" w:rsidP="00586E43">
      <w:pPr>
        <w:spacing w:before="0" w:after="0"/>
        <w:jc w:val="center"/>
        <w:rPr>
          <w:rFonts w:ascii="Times New Roman" w:eastAsia="Times New Roman" w:hAnsi="Times New Roman" w:cs="Times New Roman"/>
          <w:bCs/>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46</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noProof/>
          <w:lang w:eastAsia="ru-RU"/>
        </w:rPr>
        <w:t>Характеристика воздуха рабочей зоны на промышленных предприятиях</w:t>
      </w:r>
    </w:p>
    <w:p w:rsidR="00297951" w:rsidRPr="0066263B" w:rsidRDefault="00297951" w:rsidP="00317696">
      <w:pPr>
        <w:spacing w:before="0" w:after="0"/>
        <w:ind w:firstLine="709"/>
        <w:rPr>
          <w:rFonts w:ascii="Times New Roman" w:eastAsia="Times New Roman" w:hAnsi="Times New Roman" w:cs="Times New Roman"/>
          <w:sz w:val="24"/>
          <w:szCs w:val="24"/>
          <w:lang w:eastAsia="ru-RU"/>
        </w:rPr>
      </w:pPr>
    </w:p>
    <w:p w:rsidR="00C23EB0" w:rsidRPr="0066263B" w:rsidRDefault="00C23EB0" w:rsidP="00B14598">
      <w:pPr>
        <w:spacing w:before="0" w:after="0"/>
        <w:ind w:firstLine="709"/>
        <w:rPr>
          <w:rFonts w:ascii="Times New Roman" w:eastAsia="Times New Roman" w:hAnsi="Times New Roman" w:cs="Times New Roman"/>
          <w:sz w:val="24"/>
          <w:szCs w:val="24"/>
          <w:lang w:eastAsia="ru-RU"/>
        </w:rPr>
      </w:pPr>
    </w:p>
    <w:p w:rsidR="00014FDE" w:rsidRPr="0066263B" w:rsidRDefault="00586E43" w:rsidP="00B1459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течение 2021 года на территории Брянской области выполнено</w:t>
      </w:r>
      <w:r w:rsidR="00317696" w:rsidRPr="0066263B">
        <w:rPr>
          <w:rFonts w:ascii="Times New Roman" w:eastAsia="Times New Roman" w:hAnsi="Times New Roman" w:cs="Times New Roman"/>
          <w:sz w:val="24"/>
          <w:szCs w:val="24"/>
          <w:lang w:eastAsia="ru-RU"/>
        </w:rPr>
        <w:t>:</w:t>
      </w:r>
    </w:p>
    <w:p w:rsidR="00DE5878" w:rsidRPr="0066263B" w:rsidRDefault="00DE5878"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освещённости – на </w:t>
      </w:r>
      <w:r w:rsidR="00AD6830" w:rsidRPr="0066263B">
        <w:rPr>
          <w:rFonts w:ascii="Times New Roman" w:eastAsia="Times New Roman" w:hAnsi="Times New Roman" w:cs="Times New Roman"/>
          <w:sz w:val="24"/>
          <w:szCs w:val="24"/>
          <w:lang w:eastAsia="ru-RU"/>
        </w:rPr>
        <w:t xml:space="preserve">1 185 </w:t>
      </w:r>
      <w:r w:rsidRPr="0066263B">
        <w:rPr>
          <w:rFonts w:ascii="Times New Roman" w:eastAsia="Times New Roman" w:hAnsi="Times New Roman" w:cs="Times New Roman"/>
          <w:sz w:val="24"/>
          <w:szCs w:val="24"/>
          <w:lang w:eastAsia="ru-RU"/>
        </w:rPr>
        <w:t xml:space="preserve">рабочих местах, из них </w:t>
      </w:r>
      <w:r w:rsidR="00AD6830" w:rsidRPr="0066263B">
        <w:rPr>
          <w:rFonts w:ascii="Times New Roman" w:eastAsia="Times New Roman" w:hAnsi="Times New Roman" w:cs="Times New Roman"/>
          <w:sz w:val="24"/>
          <w:szCs w:val="24"/>
          <w:lang w:eastAsia="ru-RU"/>
        </w:rPr>
        <w:t>121</w:t>
      </w:r>
      <w:r w:rsidRPr="0066263B">
        <w:rPr>
          <w:rFonts w:ascii="Times New Roman" w:eastAsia="Times New Roman" w:hAnsi="Times New Roman" w:cs="Times New Roman"/>
          <w:sz w:val="24"/>
          <w:szCs w:val="24"/>
          <w:lang w:eastAsia="ru-RU"/>
        </w:rPr>
        <w:t xml:space="preserve"> рабоч</w:t>
      </w:r>
      <w:r w:rsidR="00AD6830" w:rsidRPr="0066263B">
        <w:rPr>
          <w:rFonts w:ascii="Times New Roman" w:eastAsia="Times New Roman" w:hAnsi="Times New Roman" w:cs="Times New Roman"/>
          <w:sz w:val="24"/>
          <w:szCs w:val="24"/>
          <w:lang w:eastAsia="ru-RU"/>
        </w:rPr>
        <w:t>ее</w:t>
      </w:r>
      <w:r w:rsidRPr="0066263B">
        <w:rPr>
          <w:rFonts w:ascii="Times New Roman" w:eastAsia="Times New Roman" w:hAnsi="Times New Roman" w:cs="Times New Roman"/>
          <w:sz w:val="24"/>
          <w:szCs w:val="24"/>
          <w:lang w:eastAsia="ru-RU"/>
        </w:rPr>
        <w:t xml:space="preserve"> мест</w:t>
      </w:r>
      <w:r w:rsidR="00AD6830" w:rsidRPr="0066263B">
        <w:rPr>
          <w:rFonts w:ascii="Times New Roman" w:eastAsia="Times New Roman" w:hAnsi="Times New Roman" w:cs="Times New Roman"/>
          <w:sz w:val="24"/>
          <w:szCs w:val="24"/>
          <w:lang w:eastAsia="ru-RU"/>
        </w:rPr>
        <w:t>о</w:t>
      </w:r>
      <w:r w:rsidRPr="0066263B">
        <w:rPr>
          <w:rFonts w:ascii="Times New Roman" w:eastAsia="Times New Roman" w:hAnsi="Times New Roman" w:cs="Times New Roman"/>
          <w:sz w:val="24"/>
          <w:szCs w:val="24"/>
          <w:lang w:eastAsia="ru-RU"/>
        </w:rPr>
        <w:t xml:space="preserve"> не соответствовал</w:t>
      </w:r>
      <w:r w:rsidR="00AD6830" w:rsidRPr="0066263B">
        <w:rPr>
          <w:rFonts w:ascii="Times New Roman" w:eastAsia="Times New Roman" w:hAnsi="Times New Roman" w:cs="Times New Roman"/>
          <w:sz w:val="24"/>
          <w:szCs w:val="24"/>
          <w:lang w:eastAsia="ru-RU"/>
        </w:rPr>
        <w:t>о</w:t>
      </w:r>
      <w:r w:rsidRPr="0066263B">
        <w:rPr>
          <w:rFonts w:ascii="Times New Roman" w:eastAsia="Times New Roman" w:hAnsi="Times New Roman" w:cs="Times New Roman"/>
          <w:sz w:val="24"/>
          <w:szCs w:val="24"/>
          <w:lang w:eastAsia="ru-RU"/>
        </w:rPr>
        <w:t xml:space="preserve"> нормативным требованиям, что составляет 1</w:t>
      </w:r>
      <w:r w:rsidR="00AD6830" w:rsidRPr="0066263B">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,2% (</w:t>
      </w:r>
      <w:r w:rsidR="00335C27" w:rsidRPr="0066263B">
        <w:rPr>
          <w:rFonts w:ascii="Times New Roman" w:eastAsia="Times New Roman" w:hAnsi="Times New Roman" w:cs="Times New Roman"/>
          <w:sz w:val="24"/>
          <w:szCs w:val="24"/>
          <w:lang w:eastAsia="ru-RU"/>
        </w:rPr>
        <w:t xml:space="preserve">2020 – 11,2%; </w:t>
      </w:r>
      <w:r w:rsidRPr="0066263B">
        <w:rPr>
          <w:rFonts w:ascii="Times New Roman" w:eastAsia="Times New Roman" w:hAnsi="Times New Roman" w:cs="Times New Roman"/>
          <w:sz w:val="24"/>
          <w:szCs w:val="24"/>
          <w:lang w:eastAsia="ru-RU"/>
        </w:rPr>
        <w:t>2019 – 11,6%; 2018 – 13,4%);</w:t>
      </w:r>
    </w:p>
    <w:p w:rsidR="00DE5878" w:rsidRPr="0066263B" w:rsidRDefault="00DE5878"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параметров микроклимата – на 1</w:t>
      </w:r>
      <w:r w:rsidR="00632EFC"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3</w:t>
      </w:r>
      <w:r w:rsidR="00AD6830" w:rsidRPr="0066263B">
        <w:rPr>
          <w:rFonts w:ascii="Times New Roman" w:eastAsia="Times New Roman" w:hAnsi="Times New Roman" w:cs="Times New Roman"/>
          <w:sz w:val="24"/>
          <w:szCs w:val="24"/>
          <w:lang w:eastAsia="ru-RU"/>
        </w:rPr>
        <w:t>47</w:t>
      </w:r>
      <w:r w:rsidRPr="0066263B">
        <w:rPr>
          <w:rFonts w:ascii="Times New Roman" w:eastAsia="Times New Roman" w:hAnsi="Times New Roman" w:cs="Times New Roman"/>
          <w:sz w:val="24"/>
          <w:szCs w:val="24"/>
          <w:lang w:eastAsia="ru-RU"/>
        </w:rPr>
        <w:t xml:space="preserve"> рабочих местах, из них </w:t>
      </w:r>
      <w:r w:rsidR="00AD6830" w:rsidRPr="0066263B">
        <w:rPr>
          <w:rFonts w:ascii="Times New Roman" w:eastAsia="Times New Roman" w:hAnsi="Times New Roman" w:cs="Times New Roman"/>
          <w:sz w:val="24"/>
          <w:szCs w:val="24"/>
          <w:lang w:eastAsia="ru-RU"/>
        </w:rPr>
        <w:t>23</w:t>
      </w:r>
      <w:r w:rsidRPr="0066263B">
        <w:rPr>
          <w:rFonts w:ascii="Times New Roman" w:eastAsia="Times New Roman" w:hAnsi="Times New Roman" w:cs="Times New Roman"/>
          <w:sz w:val="24"/>
          <w:szCs w:val="24"/>
          <w:lang w:eastAsia="ru-RU"/>
        </w:rPr>
        <w:t xml:space="preserve"> рабочих места не соответствовали нормативным требованиям, что составляет </w:t>
      </w:r>
      <w:r w:rsidR="00AD6830" w:rsidRPr="0066263B">
        <w:rPr>
          <w:rFonts w:ascii="Times New Roman" w:eastAsia="Times New Roman" w:hAnsi="Times New Roman" w:cs="Times New Roman"/>
          <w:sz w:val="24"/>
          <w:szCs w:val="24"/>
          <w:lang w:eastAsia="ru-RU"/>
        </w:rPr>
        <w:t>1,7</w:t>
      </w:r>
      <w:r w:rsidRPr="0066263B">
        <w:rPr>
          <w:rFonts w:ascii="Times New Roman" w:eastAsia="Times New Roman" w:hAnsi="Times New Roman" w:cs="Times New Roman"/>
          <w:sz w:val="24"/>
          <w:szCs w:val="24"/>
          <w:lang w:eastAsia="ru-RU"/>
        </w:rPr>
        <w:t>% (</w:t>
      </w:r>
      <w:r w:rsidR="00335C27" w:rsidRPr="0066263B">
        <w:rPr>
          <w:rFonts w:ascii="Times New Roman" w:eastAsia="Times New Roman" w:hAnsi="Times New Roman" w:cs="Times New Roman"/>
          <w:sz w:val="24"/>
          <w:szCs w:val="24"/>
          <w:lang w:eastAsia="ru-RU"/>
        </w:rPr>
        <w:t xml:space="preserve">2020 – 2,6%; </w:t>
      </w:r>
      <w:r w:rsidRPr="0066263B">
        <w:rPr>
          <w:rFonts w:ascii="Times New Roman" w:eastAsia="Times New Roman" w:hAnsi="Times New Roman" w:cs="Times New Roman"/>
          <w:sz w:val="24"/>
          <w:szCs w:val="24"/>
          <w:lang w:eastAsia="ru-RU"/>
        </w:rPr>
        <w:t>2019 – 1,9%</w:t>
      </w:r>
      <w:r w:rsidR="00632EF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2018 – 2,4%);</w:t>
      </w:r>
    </w:p>
    <w:p w:rsidR="00DE5878" w:rsidRPr="0066263B" w:rsidRDefault="00DE5878"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уровня шума – на </w:t>
      </w:r>
      <w:r w:rsidR="00AD6830" w:rsidRPr="0066263B">
        <w:rPr>
          <w:rFonts w:ascii="Times New Roman" w:eastAsia="Times New Roman" w:hAnsi="Times New Roman" w:cs="Times New Roman"/>
          <w:sz w:val="24"/>
          <w:szCs w:val="24"/>
          <w:lang w:eastAsia="ru-RU"/>
        </w:rPr>
        <w:t>205</w:t>
      </w:r>
      <w:r w:rsidRPr="0066263B">
        <w:rPr>
          <w:rFonts w:ascii="Times New Roman" w:eastAsia="Times New Roman" w:hAnsi="Times New Roman" w:cs="Times New Roman"/>
          <w:sz w:val="24"/>
          <w:szCs w:val="24"/>
          <w:lang w:eastAsia="ru-RU"/>
        </w:rPr>
        <w:t xml:space="preserve"> рабочих местах, из них </w:t>
      </w:r>
      <w:r w:rsidR="00AD6830" w:rsidRPr="0066263B">
        <w:rPr>
          <w:rFonts w:ascii="Times New Roman" w:eastAsia="Times New Roman" w:hAnsi="Times New Roman" w:cs="Times New Roman"/>
          <w:sz w:val="24"/>
          <w:szCs w:val="24"/>
          <w:lang w:eastAsia="ru-RU"/>
        </w:rPr>
        <w:t>105</w:t>
      </w:r>
      <w:r w:rsidRPr="0066263B">
        <w:rPr>
          <w:rFonts w:ascii="Times New Roman" w:eastAsia="Times New Roman" w:hAnsi="Times New Roman" w:cs="Times New Roman"/>
          <w:sz w:val="24"/>
          <w:szCs w:val="24"/>
          <w:lang w:eastAsia="ru-RU"/>
        </w:rPr>
        <w:t xml:space="preserve"> рабочих места не соответствовал</w:t>
      </w:r>
      <w:r w:rsidR="006C7506" w:rsidRPr="0066263B">
        <w:rPr>
          <w:rFonts w:ascii="Times New Roman" w:eastAsia="Times New Roman" w:hAnsi="Times New Roman" w:cs="Times New Roman"/>
          <w:sz w:val="24"/>
          <w:szCs w:val="24"/>
          <w:lang w:eastAsia="ru-RU"/>
        </w:rPr>
        <w:t>и</w:t>
      </w:r>
      <w:r w:rsidRPr="0066263B">
        <w:rPr>
          <w:rFonts w:ascii="Times New Roman" w:eastAsia="Times New Roman" w:hAnsi="Times New Roman" w:cs="Times New Roman"/>
          <w:sz w:val="24"/>
          <w:szCs w:val="24"/>
          <w:lang w:eastAsia="ru-RU"/>
        </w:rPr>
        <w:t xml:space="preserve"> нормативным требованиям, что составляет </w:t>
      </w:r>
      <w:r w:rsidR="00AD6830" w:rsidRPr="0066263B">
        <w:rPr>
          <w:rFonts w:ascii="Times New Roman" w:eastAsia="Times New Roman" w:hAnsi="Times New Roman" w:cs="Times New Roman"/>
          <w:sz w:val="24"/>
          <w:szCs w:val="24"/>
          <w:lang w:eastAsia="ru-RU"/>
        </w:rPr>
        <w:t>51,2</w:t>
      </w:r>
      <w:r w:rsidRPr="0066263B">
        <w:rPr>
          <w:rFonts w:ascii="Times New Roman" w:eastAsia="Times New Roman" w:hAnsi="Times New Roman" w:cs="Times New Roman"/>
          <w:sz w:val="24"/>
          <w:szCs w:val="24"/>
          <w:lang w:eastAsia="ru-RU"/>
        </w:rPr>
        <w:t>% (</w:t>
      </w:r>
      <w:r w:rsidR="00335C27" w:rsidRPr="0066263B">
        <w:rPr>
          <w:rFonts w:ascii="Times New Roman" w:eastAsia="Times New Roman" w:hAnsi="Times New Roman" w:cs="Times New Roman"/>
          <w:sz w:val="24"/>
          <w:szCs w:val="24"/>
          <w:lang w:eastAsia="ru-RU"/>
        </w:rPr>
        <w:t xml:space="preserve">2020 – 47,7%; </w:t>
      </w:r>
      <w:r w:rsidRPr="0066263B">
        <w:rPr>
          <w:rFonts w:ascii="Times New Roman" w:eastAsia="Times New Roman" w:hAnsi="Times New Roman" w:cs="Times New Roman"/>
          <w:sz w:val="24"/>
          <w:szCs w:val="24"/>
          <w:lang w:eastAsia="ru-RU"/>
        </w:rPr>
        <w:t>2019 – 32,5%</w:t>
      </w:r>
      <w:r w:rsidR="00632EF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2018 – 43,7%);</w:t>
      </w:r>
    </w:p>
    <w:p w:rsidR="00DE5878" w:rsidRPr="0066263B" w:rsidRDefault="00DE5878"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ЭМ</w:t>
      </w:r>
      <w:r w:rsidR="006C7506" w:rsidRPr="0066263B">
        <w:rPr>
          <w:rFonts w:ascii="Times New Roman" w:eastAsia="Times New Roman" w:hAnsi="Times New Roman" w:cs="Times New Roman"/>
          <w:sz w:val="24"/>
          <w:szCs w:val="24"/>
          <w:lang w:eastAsia="ru-RU"/>
        </w:rPr>
        <w:t>И</w:t>
      </w:r>
      <w:r w:rsidRPr="0066263B">
        <w:rPr>
          <w:rFonts w:ascii="Times New Roman" w:eastAsia="Times New Roman" w:hAnsi="Times New Roman" w:cs="Times New Roman"/>
          <w:sz w:val="24"/>
          <w:szCs w:val="24"/>
          <w:lang w:eastAsia="ru-RU"/>
        </w:rPr>
        <w:t xml:space="preserve"> – на </w:t>
      </w:r>
      <w:r w:rsidR="00AD6830" w:rsidRPr="0066263B">
        <w:rPr>
          <w:rFonts w:ascii="Times New Roman" w:eastAsia="Times New Roman" w:hAnsi="Times New Roman" w:cs="Times New Roman"/>
          <w:sz w:val="24"/>
          <w:szCs w:val="24"/>
          <w:lang w:eastAsia="ru-RU"/>
        </w:rPr>
        <w:t>62</w:t>
      </w:r>
      <w:r w:rsidRPr="0066263B">
        <w:rPr>
          <w:rFonts w:ascii="Times New Roman" w:eastAsia="Times New Roman" w:hAnsi="Times New Roman" w:cs="Times New Roman"/>
          <w:sz w:val="24"/>
          <w:szCs w:val="24"/>
          <w:lang w:eastAsia="ru-RU"/>
        </w:rPr>
        <w:t xml:space="preserve"> рабоч</w:t>
      </w:r>
      <w:r w:rsidR="00AD6830" w:rsidRPr="0066263B">
        <w:rPr>
          <w:rFonts w:ascii="Times New Roman" w:eastAsia="Times New Roman" w:hAnsi="Times New Roman" w:cs="Times New Roman"/>
          <w:sz w:val="24"/>
          <w:szCs w:val="24"/>
          <w:lang w:eastAsia="ru-RU"/>
        </w:rPr>
        <w:t>их</w:t>
      </w:r>
      <w:r w:rsidRPr="0066263B">
        <w:rPr>
          <w:rFonts w:ascii="Times New Roman" w:eastAsia="Times New Roman" w:hAnsi="Times New Roman" w:cs="Times New Roman"/>
          <w:sz w:val="24"/>
          <w:szCs w:val="24"/>
          <w:lang w:eastAsia="ru-RU"/>
        </w:rPr>
        <w:t xml:space="preserve"> мест</w:t>
      </w:r>
      <w:r w:rsidR="00AD6830" w:rsidRPr="0066263B">
        <w:rPr>
          <w:rFonts w:ascii="Times New Roman" w:eastAsia="Times New Roman" w:hAnsi="Times New Roman" w:cs="Times New Roman"/>
          <w:sz w:val="24"/>
          <w:szCs w:val="24"/>
          <w:lang w:eastAsia="ru-RU"/>
        </w:rPr>
        <w:t xml:space="preserve">ах, все исследованные рабочие места соответствовали требованиям санитарных норм </w:t>
      </w:r>
      <w:r w:rsidRPr="0066263B">
        <w:rPr>
          <w:rFonts w:ascii="Times New Roman" w:eastAsia="Times New Roman" w:hAnsi="Times New Roman" w:cs="Times New Roman"/>
          <w:sz w:val="24"/>
          <w:szCs w:val="24"/>
          <w:lang w:eastAsia="ru-RU"/>
        </w:rPr>
        <w:t>(</w:t>
      </w:r>
      <w:r w:rsidR="00335C27" w:rsidRPr="0066263B">
        <w:rPr>
          <w:rFonts w:ascii="Times New Roman" w:eastAsia="Times New Roman" w:hAnsi="Times New Roman" w:cs="Times New Roman"/>
          <w:sz w:val="24"/>
          <w:szCs w:val="24"/>
          <w:lang w:eastAsia="ru-RU"/>
        </w:rPr>
        <w:t xml:space="preserve">2020 – 16,1%; </w:t>
      </w:r>
      <w:r w:rsidRPr="0066263B">
        <w:rPr>
          <w:rFonts w:ascii="Times New Roman" w:eastAsia="Times New Roman" w:hAnsi="Times New Roman" w:cs="Times New Roman"/>
          <w:sz w:val="24"/>
          <w:szCs w:val="24"/>
          <w:lang w:eastAsia="ru-RU"/>
        </w:rPr>
        <w:t>2019 – 21,8%</w:t>
      </w:r>
      <w:r w:rsidR="00632EF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2018 – 25,0%);</w:t>
      </w:r>
    </w:p>
    <w:p w:rsidR="00DE5878" w:rsidRPr="0066263B" w:rsidRDefault="00DE5878"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вибрации – на 1</w:t>
      </w:r>
      <w:r w:rsidR="00AD6830"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 xml:space="preserve"> рабочих местах, все исследованные рабочие места соответствовали требованиям санитарных норм (</w:t>
      </w:r>
      <w:r w:rsidR="00335C27" w:rsidRPr="0066263B">
        <w:rPr>
          <w:rFonts w:ascii="Times New Roman" w:eastAsia="Times New Roman" w:hAnsi="Times New Roman" w:cs="Times New Roman"/>
          <w:sz w:val="24"/>
          <w:szCs w:val="24"/>
          <w:lang w:eastAsia="ru-RU"/>
        </w:rPr>
        <w:t xml:space="preserve">2020 – рабочие места соответствовали требованиям санитарных норм; </w:t>
      </w:r>
      <w:r w:rsidRPr="0066263B">
        <w:rPr>
          <w:rFonts w:ascii="Times New Roman" w:eastAsia="Times New Roman" w:hAnsi="Times New Roman" w:cs="Times New Roman"/>
          <w:sz w:val="24"/>
          <w:szCs w:val="24"/>
          <w:lang w:eastAsia="ru-RU"/>
        </w:rPr>
        <w:t>201</w:t>
      </w:r>
      <w:r w:rsidR="006C7506"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 xml:space="preserve"> – 66,6%</w:t>
      </w:r>
      <w:r w:rsidR="00632EFC"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2018 – 11,1%);</w:t>
      </w:r>
    </w:p>
    <w:p w:rsidR="00DE5878" w:rsidRPr="0066263B" w:rsidRDefault="00DE5878" w:rsidP="00BE7104">
      <w:pPr>
        <w:numPr>
          <w:ilvl w:val="0"/>
          <w:numId w:val="64"/>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ионизирующего излучения – на </w:t>
      </w:r>
      <w:r w:rsidR="00AD6830" w:rsidRPr="0066263B">
        <w:rPr>
          <w:rFonts w:ascii="Times New Roman" w:eastAsia="Times New Roman" w:hAnsi="Times New Roman" w:cs="Times New Roman"/>
          <w:sz w:val="24"/>
          <w:szCs w:val="24"/>
          <w:lang w:eastAsia="ru-RU"/>
        </w:rPr>
        <w:t>188</w:t>
      </w:r>
      <w:r w:rsidRPr="0066263B">
        <w:rPr>
          <w:rFonts w:ascii="Times New Roman" w:eastAsia="Times New Roman" w:hAnsi="Times New Roman" w:cs="Times New Roman"/>
          <w:sz w:val="24"/>
          <w:szCs w:val="24"/>
          <w:lang w:eastAsia="ru-RU"/>
        </w:rPr>
        <w:t xml:space="preserve"> рабочих местах, все исследованные рабочие места соответствовали требованиям санитарных норм (</w:t>
      </w:r>
      <w:r w:rsidR="00632EFC" w:rsidRPr="0066263B">
        <w:rPr>
          <w:rFonts w:ascii="Times New Roman" w:eastAsia="Times New Roman" w:hAnsi="Times New Roman" w:cs="Times New Roman"/>
          <w:sz w:val="24"/>
          <w:szCs w:val="24"/>
          <w:lang w:eastAsia="ru-RU"/>
        </w:rPr>
        <w:t>2018-</w:t>
      </w:r>
      <w:r w:rsidRPr="0066263B">
        <w:rPr>
          <w:rFonts w:ascii="Times New Roman" w:eastAsia="Times New Roman" w:hAnsi="Times New Roman" w:cs="Times New Roman"/>
          <w:sz w:val="24"/>
          <w:szCs w:val="24"/>
          <w:lang w:eastAsia="ru-RU"/>
        </w:rPr>
        <w:t>20</w:t>
      </w:r>
      <w:r w:rsidR="00014FDE" w:rsidRPr="0066263B">
        <w:rPr>
          <w:rFonts w:ascii="Times New Roman" w:eastAsia="Times New Roman" w:hAnsi="Times New Roman" w:cs="Times New Roman"/>
          <w:sz w:val="24"/>
          <w:szCs w:val="24"/>
          <w:lang w:eastAsia="ru-RU"/>
        </w:rPr>
        <w:t>20</w:t>
      </w:r>
      <w:r w:rsidR="00632EFC" w:rsidRPr="0066263B">
        <w:rPr>
          <w:rFonts w:ascii="Times New Roman" w:eastAsia="Times New Roman" w:hAnsi="Times New Roman" w:cs="Times New Roman"/>
          <w:sz w:val="24"/>
          <w:szCs w:val="24"/>
          <w:lang w:eastAsia="ru-RU"/>
        </w:rPr>
        <w:t> г.г.</w:t>
      </w:r>
      <w:r w:rsidRPr="0066263B">
        <w:rPr>
          <w:rFonts w:ascii="Times New Roman" w:eastAsia="Times New Roman" w:hAnsi="Times New Roman" w:cs="Times New Roman"/>
          <w:sz w:val="24"/>
          <w:szCs w:val="24"/>
          <w:lang w:eastAsia="ru-RU"/>
        </w:rPr>
        <w:t xml:space="preserve"> </w:t>
      </w:r>
      <w:r w:rsidR="00632EFC"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все исследованные рабочие места соответствовали требованиям санитарных норм)</w:t>
      </w:r>
      <w:r w:rsidR="00632EFC" w:rsidRPr="0066263B">
        <w:rPr>
          <w:rFonts w:ascii="Times New Roman" w:eastAsia="Times New Roman" w:hAnsi="Times New Roman" w:cs="Times New Roman"/>
          <w:sz w:val="24"/>
          <w:szCs w:val="24"/>
          <w:lang w:eastAsia="ru-RU"/>
        </w:rPr>
        <w:t>.</w:t>
      </w:r>
    </w:p>
    <w:p w:rsidR="00B14598" w:rsidRPr="0066263B" w:rsidRDefault="00B14598" w:rsidP="00B14598">
      <w:pPr>
        <w:spacing w:before="0" w:after="0"/>
        <w:ind w:firstLine="709"/>
        <w:rPr>
          <w:rFonts w:ascii="Times New Roman" w:eastAsia="Times New Roman" w:hAnsi="Times New Roman" w:cs="Times New Roman"/>
          <w:sz w:val="24"/>
          <w:szCs w:val="24"/>
          <w:lang w:eastAsia="ru-RU"/>
        </w:rPr>
      </w:pPr>
    </w:p>
    <w:p w:rsidR="00B14598" w:rsidRPr="0066263B" w:rsidRDefault="00B14598" w:rsidP="00B1459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w:t>
      </w:r>
      <w:r w:rsidR="00AD6830"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w:t>
      </w:r>
      <w:r w:rsidR="00AD6830" w:rsidRPr="0066263B">
        <w:rPr>
          <w:rFonts w:ascii="Times New Roman" w:eastAsia="Times New Roman" w:hAnsi="Times New Roman" w:cs="Times New Roman"/>
          <w:sz w:val="24"/>
          <w:szCs w:val="24"/>
          <w:lang w:eastAsia="ru-RU"/>
        </w:rPr>
        <w:t xml:space="preserve">, как и в предыдущий год, </w:t>
      </w:r>
      <w:r w:rsidRPr="0066263B">
        <w:rPr>
          <w:rFonts w:ascii="Times New Roman" w:eastAsia="Times New Roman" w:hAnsi="Times New Roman" w:cs="Times New Roman"/>
          <w:sz w:val="24"/>
          <w:szCs w:val="24"/>
          <w:lang w:eastAsia="ru-RU"/>
        </w:rPr>
        <w:t>приоритетным фактором оста</w:t>
      </w:r>
      <w:r w:rsidR="00AD6830"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тся шум на рабочих местах.</w:t>
      </w:r>
    </w:p>
    <w:p w:rsidR="00C23EB0" w:rsidRPr="0066263B" w:rsidRDefault="00C23EB0" w:rsidP="00B14598">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C23EB0" w:rsidRPr="0066263B" w:rsidRDefault="00C23EB0" w:rsidP="00B14598">
      <w:pPr>
        <w:spacing w:before="0" w:after="0"/>
        <w:ind w:firstLine="709"/>
        <w:rPr>
          <w:rFonts w:ascii="Times New Roman" w:eastAsia="Times New Roman" w:hAnsi="Times New Roman" w:cs="Times New Roman"/>
          <w:sz w:val="24"/>
          <w:szCs w:val="24"/>
          <w:lang w:eastAsia="ru-RU"/>
        </w:rPr>
      </w:pPr>
    </w:p>
    <w:p w:rsidR="00632EFC" w:rsidRPr="0066263B" w:rsidRDefault="00632EFC" w:rsidP="00632EFC">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915770" cy="2703444"/>
            <wp:effectExtent l="0" t="0" r="0" b="0"/>
            <wp:docPr id="1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32EFC" w:rsidRPr="0066263B" w:rsidRDefault="00632EFC" w:rsidP="00632EFC">
      <w:pPr>
        <w:spacing w:before="0" w:after="0"/>
        <w:jc w:val="center"/>
        <w:rPr>
          <w:rFonts w:ascii="Times New Roman" w:eastAsia="Times New Roman" w:hAnsi="Times New Roman" w:cs="Times New Roman"/>
          <w:b/>
          <w:bCs/>
          <w:lang w:eastAsia="ru-RU"/>
        </w:rPr>
      </w:pPr>
    </w:p>
    <w:p w:rsidR="00632EFC" w:rsidRPr="0066263B" w:rsidRDefault="00632EFC" w:rsidP="00632EFC">
      <w:pPr>
        <w:spacing w:before="0" w:after="0"/>
        <w:jc w:val="center"/>
        <w:rPr>
          <w:rFonts w:ascii="Times New Roman" w:eastAsia="Times New Roman" w:hAnsi="Times New Roman" w:cs="Times New Roman"/>
          <w:bCs/>
          <w:noProof/>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47</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noProof/>
          <w:lang w:eastAsia="ru-RU"/>
        </w:rPr>
        <w:t>Доля рабочих мест, не соответствующих санитарным нормам</w:t>
      </w:r>
      <w:r w:rsidRPr="0066263B">
        <w:rPr>
          <w:rFonts w:ascii="Times New Roman" w:eastAsia="Times New Roman" w:hAnsi="Times New Roman" w:cs="Times New Roman"/>
          <w:bCs/>
          <w:noProof/>
          <w:lang w:eastAsia="ru-RU"/>
        </w:rPr>
        <w:br/>
        <w:t>по физическим факторам, %</w:t>
      </w:r>
    </w:p>
    <w:p w:rsidR="00632EFC" w:rsidRPr="0066263B" w:rsidRDefault="00632EFC" w:rsidP="00B14598">
      <w:pPr>
        <w:spacing w:before="0" w:after="0"/>
        <w:ind w:firstLine="709"/>
        <w:rPr>
          <w:rFonts w:ascii="Times New Roman" w:eastAsia="Times New Roman" w:hAnsi="Times New Roman" w:cs="Times New Roman"/>
          <w:sz w:val="24"/>
          <w:szCs w:val="24"/>
          <w:lang w:eastAsia="ru-RU"/>
        </w:rPr>
      </w:pPr>
    </w:p>
    <w:p w:rsidR="007652D4" w:rsidRPr="0066263B" w:rsidRDefault="007652D4" w:rsidP="00D7335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Таким образом, в 2021 году доля рабочих мест, не соответствующих гигиеническим нормативам по уровню освещённости, параметрам микроклимата, ЭМП снизилась в сравнении с результатами 2020 года. Вместе с тем необходимо отметить рост доли рабочих мест не соответствующих нормативным требованиям по шуму (табл. 3</w:t>
      </w:r>
      <w:r w:rsidR="00222578"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w:t>
      </w:r>
    </w:p>
    <w:p w:rsidR="007652D4" w:rsidRPr="0066263B" w:rsidRDefault="007652D4" w:rsidP="00D7335D">
      <w:pPr>
        <w:spacing w:before="0" w:after="0"/>
        <w:ind w:firstLine="709"/>
        <w:rPr>
          <w:rFonts w:ascii="Times New Roman" w:eastAsia="Times New Roman" w:hAnsi="Times New Roman" w:cs="Times New Roman"/>
          <w:sz w:val="24"/>
          <w:szCs w:val="24"/>
          <w:lang w:eastAsia="ru-RU"/>
        </w:rPr>
      </w:pPr>
    </w:p>
    <w:p w:rsidR="00B14598" w:rsidRPr="0066263B" w:rsidRDefault="00B14598" w:rsidP="00B14598">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38</w:t>
      </w:r>
      <w:r w:rsidR="006C34E2" w:rsidRPr="0066263B">
        <w:rPr>
          <w:rFonts w:ascii="Times New Roman" w:eastAsia="Calibri" w:hAnsi="Times New Roman" w:cs="Times New Roman"/>
        </w:rPr>
        <w:fldChar w:fldCharType="end"/>
      </w:r>
    </w:p>
    <w:p w:rsidR="00B14598" w:rsidRPr="0066263B" w:rsidRDefault="00B14598" w:rsidP="00B14598">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Доля рабочих мест, не соответствующих санитарным нормам</w:t>
      </w:r>
      <w:r w:rsidRPr="0066263B">
        <w:rPr>
          <w:rFonts w:ascii="Times New Roman" w:eastAsia="Times New Roman" w:hAnsi="Times New Roman" w:cs="Times New Roman"/>
          <w:b/>
          <w:lang w:eastAsia="ru-RU"/>
        </w:rPr>
        <w:br/>
        <w:t>по физическим факторам, %</w:t>
      </w:r>
    </w:p>
    <w:p w:rsidR="00B14598" w:rsidRPr="0066263B" w:rsidRDefault="00B14598" w:rsidP="00B14598">
      <w:pPr>
        <w:spacing w:before="0" w:after="0"/>
        <w:jc w:val="center"/>
        <w:rPr>
          <w:rFonts w:ascii="Times New Roman" w:eastAsia="Times New Roman" w:hAnsi="Times New Roman" w:cs="Times New Roman"/>
          <w:b/>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134"/>
        <w:gridCol w:w="1134"/>
        <w:gridCol w:w="1134"/>
        <w:gridCol w:w="2693"/>
      </w:tblGrid>
      <w:tr w:rsidR="007652D4" w:rsidRPr="0066263B" w:rsidTr="005972B7">
        <w:tc>
          <w:tcPr>
            <w:tcW w:w="2977" w:type="dxa"/>
            <w:vAlign w:val="center"/>
          </w:tcPr>
          <w:p w:rsidR="007652D4" w:rsidRPr="0066263B" w:rsidRDefault="007652D4" w:rsidP="00C40EE2">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Показатель</w:t>
            </w:r>
          </w:p>
        </w:tc>
        <w:tc>
          <w:tcPr>
            <w:tcW w:w="1134" w:type="dxa"/>
            <w:vAlign w:val="center"/>
          </w:tcPr>
          <w:p w:rsidR="007652D4" w:rsidRPr="0066263B" w:rsidRDefault="007652D4" w:rsidP="005972B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134" w:type="dxa"/>
            <w:vAlign w:val="center"/>
          </w:tcPr>
          <w:p w:rsidR="007652D4" w:rsidRPr="0066263B" w:rsidRDefault="007652D4" w:rsidP="005972B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134" w:type="dxa"/>
            <w:vAlign w:val="center"/>
          </w:tcPr>
          <w:p w:rsidR="007652D4" w:rsidRPr="0066263B" w:rsidRDefault="007652D4"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c>
          <w:tcPr>
            <w:tcW w:w="2693" w:type="dxa"/>
          </w:tcPr>
          <w:p w:rsidR="007652D4" w:rsidRPr="0066263B" w:rsidRDefault="007652D4" w:rsidP="007652D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Темп прироста к 2019, %</w:t>
            </w:r>
          </w:p>
        </w:tc>
      </w:tr>
      <w:tr w:rsidR="00BE3DAD" w:rsidRPr="0066263B" w:rsidTr="005972B7">
        <w:tc>
          <w:tcPr>
            <w:tcW w:w="2977" w:type="dxa"/>
            <w:vAlign w:val="center"/>
          </w:tcPr>
          <w:p w:rsidR="00BE3DAD" w:rsidRPr="0066263B" w:rsidRDefault="00BE3DAD" w:rsidP="00C40EE2">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Микроклимат</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w:t>
            </w:r>
          </w:p>
        </w:tc>
        <w:tc>
          <w:tcPr>
            <w:tcW w:w="1134" w:type="dxa"/>
            <w:vAlign w:val="center"/>
          </w:tcPr>
          <w:p w:rsidR="00BE3DAD" w:rsidRPr="0066263B" w:rsidRDefault="00BE3DAD"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w:t>
            </w:r>
          </w:p>
        </w:tc>
        <w:tc>
          <w:tcPr>
            <w:tcW w:w="2693" w:type="dxa"/>
            <w:shd w:val="clear" w:color="auto" w:fill="auto"/>
            <w:vAlign w:val="center"/>
          </w:tcPr>
          <w:p w:rsidR="00BE3DAD" w:rsidRPr="0066263B" w:rsidRDefault="00BE3DAD"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-10,52</w:t>
            </w:r>
          </w:p>
        </w:tc>
      </w:tr>
      <w:tr w:rsidR="00BE3DAD" w:rsidRPr="0066263B" w:rsidTr="005972B7">
        <w:tc>
          <w:tcPr>
            <w:tcW w:w="2977" w:type="dxa"/>
            <w:vAlign w:val="center"/>
          </w:tcPr>
          <w:p w:rsidR="00BE3DAD" w:rsidRPr="0066263B" w:rsidRDefault="00BE3DAD" w:rsidP="00C40EE2">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Освещённость</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11,6</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11,2</w:t>
            </w:r>
          </w:p>
        </w:tc>
        <w:tc>
          <w:tcPr>
            <w:tcW w:w="1134" w:type="dxa"/>
            <w:vAlign w:val="center"/>
          </w:tcPr>
          <w:p w:rsidR="00BE3DAD" w:rsidRPr="0066263B" w:rsidRDefault="00BE3DAD"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10,2</w:t>
            </w:r>
          </w:p>
        </w:tc>
        <w:tc>
          <w:tcPr>
            <w:tcW w:w="2693" w:type="dxa"/>
            <w:shd w:val="clear" w:color="auto" w:fill="auto"/>
            <w:vAlign w:val="center"/>
          </w:tcPr>
          <w:p w:rsidR="00BE3DAD" w:rsidRPr="0066263B" w:rsidRDefault="00BE3DAD"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-12,07</w:t>
            </w:r>
          </w:p>
        </w:tc>
      </w:tr>
      <w:tr w:rsidR="00BE3DAD" w:rsidRPr="0066263B" w:rsidTr="005972B7">
        <w:tc>
          <w:tcPr>
            <w:tcW w:w="2977" w:type="dxa"/>
            <w:vAlign w:val="center"/>
          </w:tcPr>
          <w:p w:rsidR="00BE3DAD" w:rsidRPr="0066263B" w:rsidRDefault="00BE3DAD" w:rsidP="00C40EE2">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ЭМИ</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21,8</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16,1</w:t>
            </w:r>
          </w:p>
        </w:tc>
        <w:tc>
          <w:tcPr>
            <w:tcW w:w="1134" w:type="dxa"/>
            <w:vAlign w:val="center"/>
          </w:tcPr>
          <w:p w:rsidR="00BE3DAD" w:rsidRPr="0066263B" w:rsidRDefault="00BE3DAD" w:rsidP="00632EF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2693" w:type="dxa"/>
            <w:shd w:val="clear" w:color="auto" w:fill="auto"/>
            <w:vAlign w:val="center"/>
          </w:tcPr>
          <w:p w:rsidR="00BE3DAD" w:rsidRPr="0066263B" w:rsidRDefault="00BE3DAD"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r>
      <w:tr w:rsidR="00BE3DAD" w:rsidRPr="0066263B" w:rsidTr="005972B7">
        <w:tc>
          <w:tcPr>
            <w:tcW w:w="2977" w:type="dxa"/>
            <w:vAlign w:val="center"/>
          </w:tcPr>
          <w:p w:rsidR="00BE3DAD" w:rsidRPr="0066263B" w:rsidRDefault="00BE3DAD" w:rsidP="00C40EE2">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Шум</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35,2</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47,7</w:t>
            </w:r>
          </w:p>
        </w:tc>
        <w:tc>
          <w:tcPr>
            <w:tcW w:w="1134" w:type="dxa"/>
            <w:vAlign w:val="center"/>
          </w:tcPr>
          <w:p w:rsidR="00BE3DAD" w:rsidRPr="0066263B" w:rsidRDefault="00BE3DAD"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51,2</w:t>
            </w:r>
          </w:p>
        </w:tc>
        <w:tc>
          <w:tcPr>
            <w:tcW w:w="2693" w:type="dxa"/>
            <w:shd w:val="clear" w:color="auto" w:fill="auto"/>
            <w:vAlign w:val="center"/>
          </w:tcPr>
          <w:p w:rsidR="00BE3DAD" w:rsidRPr="0066263B" w:rsidRDefault="00BE3DAD"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45,45</w:t>
            </w:r>
          </w:p>
        </w:tc>
      </w:tr>
      <w:tr w:rsidR="00BE3DAD" w:rsidRPr="0066263B" w:rsidTr="005972B7">
        <w:tc>
          <w:tcPr>
            <w:tcW w:w="2977" w:type="dxa"/>
            <w:vAlign w:val="center"/>
          </w:tcPr>
          <w:p w:rsidR="00BE3DAD" w:rsidRPr="0066263B" w:rsidRDefault="00BE3DAD" w:rsidP="00C40EE2">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Вибрация</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66,6</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134" w:type="dxa"/>
            <w:vAlign w:val="center"/>
          </w:tcPr>
          <w:p w:rsidR="00BE3DAD" w:rsidRPr="0066263B" w:rsidRDefault="00BE3DAD"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2693" w:type="dxa"/>
            <w:shd w:val="clear" w:color="auto" w:fill="auto"/>
            <w:vAlign w:val="center"/>
          </w:tcPr>
          <w:p w:rsidR="00BE3DAD" w:rsidRPr="0066263B" w:rsidRDefault="00BE3DAD"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r>
      <w:tr w:rsidR="00BE3DAD" w:rsidRPr="0066263B" w:rsidTr="005972B7">
        <w:tc>
          <w:tcPr>
            <w:tcW w:w="2977" w:type="dxa"/>
            <w:vAlign w:val="center"/>
          </w:tcPr>
          <w:p w:rsidR="00BE3DAD" w:rsidRPr="0066263B" w:rsidRDefault="00BE3DAD" w:rsidP="00C40EE2">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Ионизирующие излучения</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134" w:type="dxa"/>
            <w:vAlign w:val="center"/>
          </w:tcPr>
          <w:p w:rsidR="00BE3DAD" w:rsidRPr="0066263B" w:rsidRDefault="00BE3DAD"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134" w:type="dxa"/>
            <w:vAlign w:val="center"/>
          </w:tcPr>
          <w:p w:rsidR="00BE3DAD" w:rsidRPr="0066263B" w:rsidRDefault="00BE3DAD"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2693" w:type="dxa"/>
            <w:shd w:val="clear" w:color="auto" w:fill="auto"/>
            <w:vAlign w:val="center"/>
          </w:tcPr>
          <w:p w:rsidR="00BE3DAD" w:rsidRPr="0066263B" w:rsidRDefault="00BE3DAD"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632EFC" w:rsidRPr="0066263B" w:rsidRDefault="00632EFC" w:rsidP="00B14598">
      <w:pPr>
        <w:spacing w:before="0" w:after="0"/>
        <w:ind w:firstLine="709"/>
        <w:rPr>
          <w:rFonts w:ascii="Times New Roman" w:eastAsia="Times New Roman" w:hAnsi="Times New Roman" w:cs="Times New Roman"/>
          <w:sz w:val="24"/>
          <w:szCs w:val="24"/>
          <w:lang w:eastAsia="ru-RU"/>
        </w:rPr>
      </w:pPr>
    </w:p>
    <w:p w:rsidR="009E36EB" w:rsidRPr="0066263B" w:rsidRDefault="009E36EB" w:rsidP="009E36EB">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ходе проведённого анализа результатов измерений по административным территориям Брянской области установлено, что на территориях Дятьковского, Выгоничского и Почепского районов в 2021 году отмечается наибольшая доля рабочих мест и превышающая среднеобластной показатель (1,7%), не соответствующих санитарным нормам на промышленных предприятиях по микроклимату; по освещённости – на территориях Дятьковского, Карачевского, Трубчевского и Севского районов (превышающая среднеобластной показатель – 10,2%);</w:t>
      </w:r>
      <w:proofErr w:type="gramEnd"/>
      <w:r w:rsidRPr="0066263B">
        <w:rPr>
          <w:rFonts w:ascii="Times New Roman" w:eastAsia="Times New Roman" w:hAnsi="Times New Roman" w:cs="Times New Roman"/>
          <w:sz w:val="24"/>
          <w:szCs w:val="24"/>
          <w:lang w:eastAsia="ru-RU"/>
        </w:rPr>
        <w:t xml:space="preserve"> по шуму – на территориях Дятьковского, Навлинского и Карачевского районов (</w:t>
      </w:r>
      <w:proofErr w:type="gramStart"/>
      <w:r w:rsidRPr="0066263B">
        <w:rPr>
          <w:rFonts w:ascii="Times New Roman" w:eastAsia="Times New Roman" w:hAnsi="Times New Roman" w:cs="Times New Roman"/>
          <w:sz w:val="24"/>
          <w:szCs w:val="24"/>
          <w:lang w:eastAsia="ru-RU"/>
        </w:rPr>
        <w:t>превышающая</w:t>
      </w:r>
      <w:proofErr w:type="gramEnd"/>
      <w:r w:rsidRPr="0066263B">
        <w:rPr>
          <w:rFonts w:ascii="Times New Roman" w:eastAsia="Times New Roman" w:hAnsi="Times New Roman" w:cs="Times New Roman"/>
          <w:sz w:val="24"/>
          <w:szCs w:val="24"/>
          <w:lang w:eastAsia="ru-RU"/>
        </w:rPr>
        <w:t xml:space="preserve"> среднеобластной показатель – 51,2%).</w:t>
      </w:r>
    </w:p>
    <w:p w:rsidR="00586E43" w:rsidRPr="0066263B" w:rsidRDefault="00586E43" w:rsidP="009E36EB">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br w:type="page"/>
      </w:r>
    </w:p>
    <w:p w:rsidR="00324483" w:rsidRPr="0066263B" w:rsidRDefault="00324483" w:rsidP="00324483">
      <w:pPr>
        <w:spacing w:before="0" w:after="0"/>
        <w:jc w:val="center"/>
        <w:rPr>
          <w:rFonts w:ascii="Times New Roman" w:eastAsia="TimesNewRomanPS-BoldMT" w:hAnsi="Times New Roman" w:cs="Times New Roman"/>
          <w:bCs/>
          <w:i/>
          <w:sz w:val="24"/>
          <w:szCs w:val="24"/>
        </w:rPr>
      </w:pPr>
      <w:r w:rsidRPr="0066263B">
        <w:rPr>
          <w:rFonts w:ascii="Times New Roman" w:eastAsia="TimesNewRomanPS-BoldMT" w:hAnsi="Times New Roman" w:cs="Times New Roman"/>
          <w:bCs/>
          <w:i/>
          <w:sz w:val="24"/>
          <w:szCs w:val="24"/>
        </w:rPr>
        <w:lastRenderedPageBreak/>
        <w:t>Радиационная обстановка</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Радиационная обстановка на территории Брянской области обусловлена используемыми в народном хозяйстве, в том числе и в медицине, техногенных источников ионизирующего излучения (далее – ИИИ), радионуклидами Чернобыльского происхождения и природными источниками ионизирующего излучения, которые создают суммарную эффективную дозу на население.</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Деятельность Управления Роспотребнадзора по Брянской области по надзору в области обеспечения радиационной безопасности населения в 20</w:t>
      </w:r>
      <w:r w:rsidR="00C40EE2" w:rsidRPr="0066263B">
        <w:rPr>
          <w:rFonts w:ascii="Times New Roman" w:eastAsia="Times New Roman" w:hAnsi="Times New Roman" w:cs="Times New Roman"/>
          <w:sz w:val="24"/>
          <w:szCs w:val="24"/>
          <w:lang w:eastAsia="ru-RU"/>
        </w:rPr>
        <w:t>2</w:t>
      </w:r>
      <w:r w:rsidR="005972B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как и в прежние годы, осуществлялась по следующим основным направлениям:</w:t>
      </w:r>
    </w:p>
    <w:p w:rsidR="00324483" w:rsidRPr="0066263B" w:rsidRDefault="00324483" w:rsidP="00160BD2">
      <w:pPr>
        <w:numPr>
          <w:ilvl w:val="0"/>
          <w:numId w:val="38"/>
        </w:numPr>
        <w:tabs>
          <w:tab w:val="num" w:pos="993"/>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Проведение мероприятий по защите населения, проживающего на радиоактивно загрязнённых вследствие аварии на ЧАЭС территориях.</w:t>
      </w:r>
    </w:p>
    <w:p w:rsidR="00324483" w:rsidRPr="0066263B" w:rsidRDefault="00324483" w:rsidP="00160BD2">
      <w:pPr>
        <w:numPr>
          <w:ilvl w:val="0"/>
          <w:numId w:val="38"/>
        </w:numPr>
        <w:tabs>
          <w:tab w:val="num" w:pos="993"/>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Оценка доз облучения населения от всех видов источников ионизирующего излучения.</w:t>
      </w:r>
    </w:p>
    <w:p w:rsidR="00324483" w:rsidRPr="0066263B" w:rsidRDefault="00324483" w:rsidP="00160BD2">
      <w:pPr>
        <w:numPr>
          <w:ilvl w:val="0"/>
          <w:numId w:val="38"/>
        </w:numPr>
        <w:tabs>
          <w:tab w:val="num" w:pos="993"/>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Надзор за состоянием радиационной безопасности в учреждениях и организациях, использующих источники ионизирующего излучения</w:t>
      </w:r>
      <w:r w:rsidR="00C11B9B"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в том числе лечебно-профилактических учреждениях.</w:t>
      </w:r>
    </w:p>
    <w:p w:rsidR="00324483" w:rsidRPr="0066263B" w:rsidRDefault="00324483" w:rsidP="00324483">
      <w:pPr>
        <w:spacing w:before="120" w:after="0"/>
        <w:ind w:left="708" w:firstLine="1"/>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Радиационно-гигиеническая паспортизация на территории Брянской области</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При оценке радиационной обстановки на территории Брянской области использовались данные радиационно-гигиенической паспортизации за </w:t>
      </w:r>
      <w:r w:rsidR="005972B7" w:rsidRPr="0066263B">
        <w:rPr>
          <w:rFonts w:ascii="Times New Roman" w:eastAsia="Times New Roman" w:hAnsi="Times New Roman" w:cs="Times New Roman"/>
          <w:sz w:val="24"/>
          <w:szCs w:val="24"/>
          <w:lang w:eastAsia="ru-RU"/>
        </w:rPr>
        <w:t>2018-</w:t>
      </w:r>
      <w:r w:rsidRPr="0066263B">
        <w:rPr>
          <w:rFonts w:ascii="Times New Roman" w:eastAsia="Times New Roman" w:hAnsi="Times New Roman" w:cs="Times New Roman"/>
          <w:sz w:val="24"/>
          <w:szCs w:val="24"/>
          <w:lang w:eastAsia="ru-RU"/>
        </w:rPr>
        <w:t>20</w:t>
      </w:r>
      <w:r w:rsidR="005972B7" w:rsidRPr="0066263B">
        <w:rPr>
          <w:rFonts w:ascii="Times New Roman" w:eastAsia="Times New Roman" w:hAnsi="Times New Roman" w:cs="Times New Roman"/>
          <w:sz w:val="24"/>
          <w:szCs w:val="24"/>
          <w:lang w:eastAsia="ru-RU"/>
        </w:rPr>
        <w:t>20 г.г.</w:t>
      </w:r>
      <w:r w:rsidRPr="0066263B">
        <w:rPr>
          <w:rFonts w:ascii="Times New Roman" w:eastAsia="Times New Roman" w:hAnsi="Times New Roman" w:cs="Times New Roman"/>
          <w:sz w:val="24"/>
          <w:szCs w:val="24"/>
          <w:lang w:eastAsia="ru-RU"/>
        </w:rPr>
        <w:t>, где учитывалось, что коллективная доза облучения населения Брянской области за счёт всех источников ионизирующего облучения обусловлена:</w:t>
      </w:r>
    </w:p>
    <w:p w:rsidR="00C40EE2" w:rsidRPr="0066263B" w:rsidRDefault="00C40EE2" w:rsidP="00160BD2">
      <w:pPr>
        <w:numPr>
          <w:ilvl w:val="0"/>
          <w:numId w:val="39"/>
        </w:numPr>
        <w:spacing w:before="0" w:after="0"/>
        <w:ind w:left="99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медицинскими техногенными источниками ионизирующего излучения</w:t>
      </w:r>
      <w:r w:rsidR="005972B7" w:rsidRPr="0066263B">
        <w:rPr>
          <w:rFonts w:ascii="Times New Roman" w:eastAsia="Times New Roman" w:hAnsi="Times New Roman" w:cs="Times New Roman"/>
          <w:sz w:val="24"/>
          <w:szCs w:val="24"/>
          <w:lang w:eastAsia="ru-RU"/>
        </w:rPr>
        <w:t xml:space="preserve"> (далее – ИИИ)</w:t>
      </w:r>
      <w:r w:rsidRPr="0066263B">
        <w:rPr>
          <w:rFonts w:ascii="Times New Roman" w:eastAsia="Times New Roman" w:hAnsi="Times New Roman" w:cs="Times New Roman"/>
          <w:sz w:val="24"/>
          <w:szCs w:val="24"/>
          <w:lang w:eastAsia="ru-RU"/>
        </w:rPr>
        <w:t>;</w:t>
      </w:r>
    </w:p>
    <w:p w:rsidR="00C40EE2" w:rsidRPr="0066263B" w:rsidRDefault="00C40EE2" w:rsidP="00160BD2">
      <w:pPr>
        <w:numPr>
          <w:ilvl w:val="0"/>
          <w:numId w:val="39"/>
        </w:numPr>
        <w:spacing w:before="0" w:after="0"/>
        <w:ind w:left="993"/>
        <w:rPr>
          <w:rFonts w:ascii="Times New Roman" w:eastAsia="Times New Roman" w:hAnsi="Times New Roman" w:cs="Times New Roman"/>
          <w:sz w:val="24"/>
          <w:szCs w:val="24"/>
          <w:lang w:eastAsia="ru-RU"/>
        </w:rPr>
      </w:pPr>
      <w:proofErr w:type="spellStart"/>
      <w:r w:rsidRPr="0066263B">
        <w:rPr>
          <w:rFonts w:ascii="Times New Roman" w:eastAsia="Times New Roman" w:hAnsi="Times New Roman" w:cs="Times New Roman"/>
          <w:sz w:val="24"/>
          <w:szCs w:val="24"/>
          <w:lang w:eastAsia="ru-RU"/>
        </w:rPr>
        <w:t>техногенно</w:t>
      </w:r>
      <w:proofErr w:type="spellEnd"/>
      <w:r w:rsidR="00306846"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измен</w:t>
      </w:r>
      <w:r w:rsidR="00306846"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нным радиационным фоном, в том числе за счёт глобальных выпадений и радиационной аварии на Чернобыльской АЭС;</w:t>
      </w:r>
    </w:p>
    <w:p w:rsidR="00C40EE2" w:rsidRPr="0066263B" w:rsidRDefault="00C40EE2" w:rsidP="00160BD2">
      <w:pPr>
        <w:numPr>
          <w:ilvl w:val="0"/>
          <w:numId w:val="39"/>
        </w:numPr>
        <w:spacing w:before="0" w:after="0"/>
        <w:ind w:left="993"/>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природными</w:t>
      </w:r>
      <w:proofErr w:type="gramEnd"/>
      <w:r w:rsidRPr="0066263B">
        <w:rPr>
          <w:rFonts w:ascii="Times New Roman" w:eastAsia="Times New Roman" w:hAnsi="Times New Roman" w:cs="Times New Roman"/>
          <w:sz w:val="24"/>
          <w:szCs w:val="24"/>
          <w:lang w:eastAsia="ru-RU"/>
        </w:rPr>
        <w:t xml:space="preserve"> ИИИ; за счёт деятельности предприятий с ИИИ.</w:t>
      </w:r>
    </w:p>
    <w:p w:rsidR="005972B7" w:rsidRPr="0066263B" w:rsidRDefault="005972B7" w:rsidP="00C40EE2">
      <w:pPr>
        <w:spacing w:before="0" w:after="0"/>
        <w:ind w:firstLine="709"/>
        <w:rPr>
          <w:rFonts w:ascii="Times New Roman" w:eastAsia="Times New Roman" w:hAnsi="Times New Roman" w:cs="Times New Roman"/>
          <w:sz w:val="24"/>
          <w:szCs w:val="24"/>
          <w:lang w:eastAsia="ru-RU"/>
        </w:rPr>
      </w:pP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Полученные в 202</w:t>
      </w:r>
      <w:r w:rsidR="005972B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результаты радиационно-гигиенической паспортизации территории Брянской области за 20</w:t>
      </w:r>
      <w:r w:rsidR="005972B7"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 в целом дают право утверждать, что радиационная обстановка на территории Брянской области в 201</w:t>
      </w:r>
      <w:r w:rsidR="005972B7"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5972B7"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годах по сравнению с предыдущими годами существенно не изменилась и остаётся в целом стабильной и удовлетворительной.</w:t>
      </w:r>
    </w:p>
    <w:p w:rsidR="005972B7" w:rsidRPr="0066263B" w:rsidRDefault="005972B7" w:rsidP="005972B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Однако</w:t>
      </w:r>
      <w:proofErr w:type="gramStart"/>
      <w:r w:rsidRPr="0066263B">
        <w:rPr>
          <w:rFonts w:ascii="Times New Roman" w:eastAsia="Times New Roman" w:hAnsi="Times New Roman" w:cs="Times New Roman"/>
          <w:sz w:val="24"/>
          <w:szCs w:val="24"/>
          <w:lang w:eastAsia="ru-RU"/>
        </w:rPr>
        <w:t>,</w:t>
      </w:r>
      <w:proofErr w:type="gramEnd"/>
      <w:r w:rsidRPr="0066263B">
        <w:rPr>
          <w:rFonts w:ascii="Times New Roman" w:eastAsia="Times New Roman" w:hAnsi="Times New Roman" w:cs="Times New Roman"/>
          <w:sz w:val="24"/>
          <w:szCs w:val="24"/>
          <w:lang w:eastAsia="ru-RU"/>
        </w:rPr>
        <w:t xml:space="preserve"> следует констатировать, что в 2021 году произошло увеличение дозовой нагрузки на жителей Брянской области на 10% за счёт возросшего числа медицинских </w:t>
      </w:r>
      <w:proofErr w:type="spellStart"/>
      <w:r w:rsidRPr="0066263B">
        <w:rPr>
          <w:rFonts w:ascii="Times New Roman" w:eastAsia="Times New Roman" w:hAnsi="Times New Roman" w:cs="Times New Roman"/>
          <w:sz w:val="24"/>
          <w:szCs w:val="24"/>
          <w:lang w:eastAsia="ru-RU"/>
        </w:rPr>
        <w:t>ренгендиагностических</w:t>
      </w:r>
      <w:proofErr w:type="spellEnd"/>
      <w:r w:rsidRPr="0066263B">
        <w:rPr>
          <w:rFonts w:ascii="Times New Roman" w:eastAsia="Times New Roman" w:hAnsi="Times New Roman" w:cs="Times New Roman"/>
          <w:sz w:val="24"/>
          <w:szCs w:val="24"/>
          <w:lang w:eastAsia="ru-RU"/>
        </w:rPr>
        <w:t xml:space="preserve"> процедур компьютерной томографии в связи с COVID-19, данная тенденция сохранится и на 2021 год.</w:t>
      </w:r>
    </w:p>
    <w:p w:rsidR="00745E5D" w:rsidRPr="0066263B" w:rsidRDefault="00745E5D" w:rsidP="00C40EE2">
      <w:pPr>
        <w:spacing w:before="0" w:after="0"/>
        <w:ind w:firstLine="709"/>
        <w:rPr>
          <w:rFonts w:ascii="Times New Roman" w:eastAsia="Times New Roman" w:hAnsi="Times New Roman" w:cs="Times New Roman"/>
          <w:sz w:val="24"/>
          <w:szCs w:val="24"/>
          <w:lang w:eastAsia="ru-RU"/>
        </w:rPr>
      </w:pP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202</w:t>
      </w:r>
      <w:r w:rsidR="005972B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Управление Роспотребнадзора по Брянской области в своей деятельности по вопросам радиационной безопасности населения руководствовалось Федеральными законами: от 30.03.1999 № 52-ФЗ «О санитарно-эпидемиологическом благополучии населения», от 09.01.1996 № 3-ФЗ «О радиационной безопасности населения»; Постановлением Правительства Российской Федерации от 08.10.2015 № 1074 «Об утверждении перечня населённых пунктов, находящихся в границах зон радиоактивного загрязнения вследствие катастрофы на Чернобыльской АЭС».</w:t>
      </w:r>
      <w:proofErr w:type="gramEnd"/>
      <w:r w:rsidRPr="0066263B">
        <w:rPr>
          <w:rFonts w:ascii="Times New Roman" w:eastAsia="Times New Roman" w:hAnsi="Times New Roman" w:cs="Times New Roman"/>
          <w:sz w:val="24"/>
          <w:szCs w:val="24"/>
          <w:lang w:eastAsia="ru-RU"/>
        </w:rPr>
        <w:t xml:space="preserve"> Внедряя в практику статьи этих законов и постановления, основными направлениями работы являлись:</w:t>
      </w:r>
    </w:p>
    <w:p w:rsidR="00C40EE2" w:rsidRPr="0066263B" w:rsidRDefault="00C40EE2" w:rsidP="00BE7104">
      <w:pPr>
        <w:numPr>
          <w:ilvl w:val="0"/>
          <w:numId w:val="48"/>
        </w:numPr>
        <w:shd w:val="clear" w:color="auto" w:fill="FFFFFF"/>
        <w:tabs>
          <w:tab w:val="num" w:pos="720"/>
          <w:tab w:val="num" w:pos="1070"/>
        </w:tabs>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проведение радиационно-гигиенического мониторинга на территории районов Брянской области, загрязнённых вследствие аварии на ЧАЭС территориях;</w:t>
      </w:r>
    </w:p>
    <w:p w:rsidR="00C40EE2" w:rsidRPr="0066263B" w:rsidRDefault="00C40EE2" w:rsidP="00BE7104">
      <w:pPr>
        <w:numPr>
          <w:ilvl w:val="0"/>
          <w:numId w:val="48"/>
        </w:numPr>
        <w:shd w:val="clear" w:color="auto" w:fill="FFFFFF"/>
        <w:tabs>
          <w:tab w:val="num" w:pos="720"/>
          <w:tab w:val="num" w:pos="1070"/>
        </w:tabs>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оценка доз облучения населения от всех видов источников ионизирующего излучения в системе ЕСКИД;</w:t>
      </w:r>
    </w:p>
    <w:p w:rsidR="00C40EE2" w:rsidRPr="0066263B" w:rsidRDefault="00C40EE2" w:rsidP="00BE7104">
      <w:pPr>
        <w:numPr>
          <w:ilvl w:val="0"/>
          <w:numId w:val="48"/>
        </w:numPr>
        <w:shd w:val="clear" w:color="auto" w:fill="FFFFFF"/>
        <w:tabs>
          <w:tab w:val="num" w:pos="720"/>
          <w:tab w:val="num" w:pos="1070"/>
        </w:tabs>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регистрация лиц, пострадавших от радиационного воздействия;</w:t>
      </w:r>
    </w:p>
    <w:p w:rsidR="00C40EE2" w:rsidRPr="0066263B" w:rsidRDefault="00C40EE2" w:rsidP="00BE7104">
      <w:pPr>
        <w:numPr>
          <w:ilvl w:val="0"/>
          <w:numId w:val="48"/>
        </w:numPr>
        <w:shd w:val="clear" w:color="auto" w:fill="FFFFFF"/>
        <w:tabs>
          <w:tab w:val="num" w:pos="720"/>
          <w:tab w:val="num" w:pos="1070"/>
        </w:tabs>
        <w:spacing w:before="0" w:after="0"/>
        <w:ind w:left="851" w:hanging="142"/>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радиационной</w:t>
      </w:r>
      <w:proofErr w:type="gramEnd"/>
      <w:r w:rsidRPr="0066263B">
        <w:rPr>
          <w:rFonts w:ascii="Times New Roman" w:eastAsia="Times New Roman" w:hAnsi="Times New Roman" w:cs="Times New Roman"/>
          <w:sz w:val="24"/>
          <w:szCs w:val="24"/>
          <w:lang w:eastAsia="ru-RU"/>
        </w:rPr>
        <w:t xml:space="preserve"> контроль в учреждениях и организациях, использующих источники ионизирующего излучения, в том числе лечебно-профилактических учреждениях.</w:t>
      </w:r>
    </w:p>
    <w:p w:rsidR="005972B7" w:rsidRPr="0066263B" w:rsidRDefault="005972B7" w:rsidP="00C40EE2">
      <w:pPr>
        <w:spacing w:before="0" w:after="0"/>
        <w:ind w:firstLine="709"/>
        <w:rPr>
          <w:rFonts w:ascii="Times New Roman" w:eastAsia="Times New Roman" w:hAnsi="Times New Roman" w:cs="Times New Roman"/>
          <w:sz w:val="24"/>
          <w:szCs w:val="24"/>
          <w:lang w:eastAsia="ru-RU"/>
        </w:rPr>
      </w:pP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w:t>
      </w:r>
      <w:r w:rsidR="005972B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проведена оценка состояния радиационной безопасности населения Брянской области по состоянию на 20</w:t>
      </w:r>
      <w:r w:rsidR="005972B7"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 При оценке использованы данные радиационно-гигиенической паспортизации, единой системы контроля индивидуальных доз (далее – ЕСКИД), радиационно-гигиенического мониторинга (далее – РГМ).</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По данным, полученным в рамках радиационно-гигиенической паспортизации и ЕСКИД, эффективная коллективная доза облучения населения Брянской области от всех источников облучения за 20</w:t>
      </w:r>
      <w:r w:rsidR="005972B7"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 составила </w:t>
      </w:r>
      <w:r w:rsidR="005972B7" w:rsidRPr="0066263B">
        <w:rPr>
          <w:rFonts w:ascii="Times New Roman" w:hAnsi="Times New Roman"/>
          <w:sz w:val="24"/>
          <w:szCs w:val="24"/>
        </w:rPr>
        <w:t xml:space="preserve">3 852,93 </w:t>
      </w:r>
      <w:r w:rsidRPr="0066263B">
        <w:rPr>
          <w:rFonts w:ascii="Times New Roman" w:eastAsia="Times New Roman" w:hAnsi="Times New Roman" w:cs="Times New Roman"/>
          <w:sz w:val="24"/>
          <w:szCs w:val="24"/>
          <w:lang w:eastAsia="ru-RU"/>
        </w:rPr>
        <w:t>чел-Зв/год</w:t>
      </w:r>
      <w:r w:rsidR="005972B7" w:rsidRPr="0066263B">
        <w:rPr>
          <w:rFonts w:ascii="Times New Roman" w:eastAsia="Times New Roman" w:hAnsi="Times New Roman" w:cs="Times New Roman"/>
          <w:sz w:val="24"/>
          <w:szCs w:val="24"/>
          <w:lang w:eastAsia="ru-RU"/>
        </w:rPr>
        <w:t xml:space="preserve"> (2019 – 3 520,80 чел-Зв/год)</w:t>
      </w:r>
      <w:r w:rsidRPr="0066263B">
        <w:rPr>
          <w:rFonts w:ascii="Times New Roman" w:eastAsia="Times New Roman" w:hAnsi="Times New Roman" w:cs="Times New Roman"/>
          <w:sz w:val="24"/>
          <w:szCs w:val="24"/>
          <w:lang w:eastAsia="ru-RU"/>
        </w:rPr>
        <w:t xml:space="preserve">, что соответствует коллективному риску появления стохастических эффектов в течение всей оставшейся жизни – </w:t>
      </w:r>
      <w:r w:rsidR="005972B7" w:rsidRPr="0066263B">
        <w:rPr>
          <w:rFonts w:ascii="Times New Roman" w:eastAsia="Times New Roman" w:hAnsi="Times New Roman" w:cs="Times New Roman"/>
          <w:sz w:val="24"/>
          <w:szCs w:val="24"/>
          <w:lang w:eastAsia="ru-RU"/>
        </w:rPr>
        <w:t>219,6</w:t>
      </w:r>
      <w:r w:rsidRPr="0066263B">
        <w:rPr>
          <w:rFonts w:ascii="Times New Roman" w:eastAsia="Times New Roman" w:hAnsi="Times New Roman" w:cs="Times New Roman"/>
          <w:sz w:val="24"/>
          <w:szCs w:val="24"/>
          <w:lang w:eastAsia="ru-RU"/>
        </w:rPr>
        <w:t xml:space="preserve"> случаев в год</w:t>
      </w:r>
      <w:r w:rsidR="005972B7" w:rsidRPr="0066263B">
        <w:rPr>
          <w:rFonts w:ascii="Times New Roman" w:eastAsia="Times New Roman" w:hAnsi="Times New Roman" w:cs="Times New Roman"/>
          <w:sz w:val="24"/>
          <w:szCs w:val="24"/>
          <w:lang w:eastAsia="ru-RU"/>
        </w:rPr>
        <w:t xml:space="preserve"> (2019 – 200,7 сл.)</w:t>
      </w:r>
      <w:r w:rsidRPr="0066263B">
        <w:rPr>
          <w:rFonts w:ascii="Times New Roman" w:eastAsia="Times New Roman" w:hAnsi="Times New Roman" w:cs="Times New Roman"/>
          <w:sz w:val="24"/>
          <w:szCs w:val="24"/>
          <w:lang w:eastAsia="ru-RU"/>
        </w:rPr>
        <w:t>.</w:t>
      </w:r>
      <w:proofErr w:type="gramEnd"/>
      <w:r w:rsidRPr="0066263B">
        <w:rPr>
          <w:rFonts w:ascii="Times New Roman" w:eastAsia="Times New Roman" w:hAnsi="Times New Roman" w:cs="Times New Roman"/>
          <w:sz w:val="24"/>
          <w:szCs w:val="24"/>
          <w:lang w:eastAsia="ru-RU"/>
        </w:rPr>
        <w:t xml:space="preserve"> Для отдельных источников ионизирующего излучения риски появления стохастических эффектов следующие:</w:t>
      </w:r>
    </w:p>
    <w:p w:rsidR="00C40EE2" w:rsidRPr="0066263B" w:rsidRDefault="00C40EE2" w:rsidP="00BE7104">
      <w:pPr>
        <w:numPr>
          <w:ilvl w:val="0"/>
          <w:numId w:val="48"/>
        </w:numPr>
        <w:shd w:val="clear" w:color="auto" w:fill="FFFFFF"/>
        <w:tabs>
          <w:tab w:val="num" w:pos="720"/>
          <w:tab w:val="num" w:pos="1070"/>
        </w:tabs>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счёт деятельности предприятий – 0,02</w:t>
      </w:r>
      <w:r w:rsidR="0064700E" w:rsidRPr="0066263B">
        <w:rPr>
          <w:rFonts w:ascii="Times New Roman" w:eastAsia="Times New Roman" w:hAnsi="Times New Roman" w:cs="Times New Roman"/>
          <w:sz w:val="24"/>
          <w:szCs w:val="24"/>
          <w:lang w:eastAsia="ru-RU"/>
        </w:rPr>
        <w:t>7</w:t>
      </w:r>
      <w:r w:rsidR="005972B7" w:rsidRPr="0066263B">
        <w:rPr>
          <w:rFonts w:ascii="Times New Roman" w:eastAsia="Times New Roman" w:hAnsi="Times New Roman" w:cs="Times New Roman"/>
          <w:sz w:val="24"/>
          <w:szCs w:val="24"/>
          <w:lang w:eastAsia="ru-RU"/>
        </w:rPr>
        <w:t xml:space="preserve"> (2020 – 0,024)</w:t>
      </w:r>
      <w:r w:rsidRPr="0066263B">
        <w:rPr>
          <w:rFonts w:ascii="Times New Roman" w:eastAsia="Times New Roman" w:hAnsi="Times New Roman" w:cs="Times New Roman"/>
          <w:sz w:val="24"/>
          <w:szCs w:val="24"/>
          <w:lang w:eastAsia="ru-RU"/>
        </w:rPr>
        <w:t>;</w:t>
      </w:r>
    </w:p>
    <w:p w:rsidR="00C40EE2" w:rsidRPr="0066263B" w:rsidRDefault="00C40EE2" w:rsidP="00BE7104">
      <w:pPr>
        <w:numPr>
          <w:ilvl w:val="0"/>
          <w:numId w:val="48"/>
        </w:numPr>
        <w:shd w:val="clear" w:color="auto" w:fill="FFFFFF"/>
        <w:tabs>
          <w:tab w:val="num" w:pos="720"/>
          <w:tab w:val="num" w:pos="1070"/>
        </w:tabs>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счёт радиоактивного загрязнения – 8,</w:t>
      </w:r>
      <w:r w:rsidR="0064700E" w:rsidRPr="0066263B">
        <w:rPr>
          <w:rFonts w:ascii="Times New Roman" w:eastAsia="Times New Roman" w:hAnsi="Times New Roman" w:cs="Times New Roman"/>
          <w:sz w:val="24"/>
          <w:szCs w:val="24"/>
          <w:lang w:eastAsia="ru-RU"/>
        </w:rPr>
        <w:t>367</w:t>
      </w:r>
      <w:r w:rsidR="005972B7" w:rsidRPr="0066263B">
        <w:rPr>
          <w:rFonts w:ascii="Times New Roman" w:eastAsia="Times New Roman" w:hAnsi="Times New Roman" w:cs="Times New Roman"/>
          <w:sz w:val="24"/>
          <w:szCs w:val="24"/>
          <w:lang w:eastAsia="ru-RU"/>
        </w:rPr>
        <w:t xml:space="preserve"> (2020 – 8,515)</w:t>
      </w:r>
      <w:r w:rsidRPr="0066263B">
        <w:rPr>
          <w:rFonts w:ascii="Times New Roman" w:eastAsia="Times New Roman" w:hAnsi="Times New Roman" w:cs="Times New Roman"/>
          <w:sz w:val="24"/>
          <w:szCs w:val="24"/>
          <w:lang w:eastAsia="ru-RU"/>
        </w:rPr>
        <w:t>;</w:t>
      </w:r>
    </w:p>
    <w:p w:rsidR="00C40EE2" w:rsidRPr="0066263B" w:rsidRDefault="00C40EE2" w:rsidP="00BE7104">
      <w:pPr>
        <w:numPr>
          <w:ilvl w:val="0"/>
          <w:numId w:val="48"/>
        </w:numPr>
        <w:shd w:val="clear" w:color="auto" w:fill="FFFFFF"/>
        <w:tabs>
          <w:tab w:val="num" w:pos="720"/>
          <w:tab w:val="num" w:pos="1070"/>
        </w:tabs>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за счёт природных источников – </w:t>
      </w:r>
      <w:r w:rsidR="0064700E" w:rsidRPr="0066263B">
        <w:rPr>
          <w:rFonts w:ascii="Times New Roman" w:eastAsia="Times New Roman" w:hAnsi="Times New Roman" w:cs="Times New Roman"/>
          <w:sz w:val="24"/>
          <w:szCs w:val="24"/>
          <w:lang w:eastAsia="ru-RU"/>
        </w:rPr>
        <w:t>159</w:t>
      </w:r>
      <w:r w:rsidRPr="0066263B">
        <w:rPr>
          <w:rFonts w:ascii="Times New Roman" w:eastAsia="Times New Roman" w:hAnsi="Times New Roman" w:cs="Times New Roman"/>
          <w:sz w:val="24"/>
          <w:szCs w:val="24"/>
          <w:lang w:eastAsia="ru-RU"/>
        </w:rPr>
        <w:t>,</w:t>
      </w:r>
      <w:r w:rsidR="0064700E"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0</w:t>
      </w:r>
      <w:r w:rsidR="005972B7" w:rsidRPr="0066263B">
        <w:rPr>
          <w:rFonts w:ascii="Times New Roman" w:eastAsia="Times New Roman" w:hAnsi="Times New Roman" w:cs="Times New Roman"/>
          <w:sz w:val="24"/>
          <w:szCs w:val="24"/>
          <w:lang w:eastAsia="ru-RU"/>
        </w:rPr>
        <w:t xml:space="preserve"> </w:t>
      </w:r>
      <w:r w:rsidR="0064700E" w:rsidRPr="0066263B">
        <w:rPr>
          <w:rFonts w:ascii="Times New Roman" w:eastAsia="Times New Roman" w:hAnsi="Times New Roman" w:cs="Times New Roman"/>
          <w:sz w:val="24"/>
          <w:szCs w:val="24"/>
          <w:lang w:eastAsia="ru-RU"/>
        </w:rPr>
        <w:t>(2020 – 162,10)</w:t>
      </w:r>
      <w:r w:rsidRPr="0066263B">
        <w:rPr>
          <w:rFonts w:ascii="Times New Roman" w:eastAsia="Times New Roman" w:hAnsi="Times New Roman" w:cs="Times New Roman"/>
          <w:sz w:val="24"/>
          <w:szCs w:val="24"/>
          <w:lang w:eastAsia="ru-RU"/>
        </w:rPr>
        <w:t>;</w:t>
      </w:r>
    </w:p>
    <w:p w:rsidR="00C40EE2" w:rsidRPr="0066263B" w:rsidRDefault="00C40EE2" w:rsidP="00BE7104">
      <w:pPr>
        <w:numPr>
          <w:ilvl w:val="0"/>
          <w:numId w:val="48"/>
        </w:numPr>
        <w:shd w:val="clear" w:color="auto" w:fill="FFFFFF"/>
        <w:tabs>
          <w:tab w:val="num" w:pos="720"/>
          <w:tab w:val="num" w:pos="1070"/>
        </w:tabs>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за счёт медицинских исследований – </w:t>
      </w:r>
      <w:r w:rsidR="0064700E" w:rsidRPr="0066263B">
        <w:rPr>
          <w:rFonts w:ascii="Times New Roman" w:eastAsia="Times New Roman" w:hAnsi="Times New Roman" w:cs="Times New Roman"/>
          <w:sz w:val="24"/>
          <w:szCs w:val="24"/>
          <w:lang w:eastAsia="ru-RU"/>
        </w:rPr>
        <w:t>51,32 (2020 – 30,02)</w:t>
      </w:r>
      <w:r w:rsidRPr="0066263B">
        <w:rPr>
          <w:rFonts w:ascii="Times New Roman" w:eastAsia="Times New Roman" w:hAnsi="Times New Roman" w:cs="Times New Roman"/>
          <w:sz w:val="24"/>
          <w:szCs w:val="24"/>
          <w:lang w:eastAsia="ru-RU"/>
        </w:rPr>
        <w:t>.</w:t>
      </w:r>
    </w:p>
    <w:p w:rsidR="00745E5D" w:rsidRPr="0066263B" w:rsidRDefault="00745E5D"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C40EE2">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Структура доз облучения жителей в Брянской области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Структура дозовой нагрузки (коллективной дозы) населения Брянской области и юго-западных районов Брянской области, пострадавших от аварии на Чернобыльской АЭС, за период 201</w:t>
      </w:r>
      <w:r w:rsidR="0064700E"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64700E"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г.г. представлена в таблице </w:t>
      </w:r>
      <w:r w:rsidR="000D45BB" w:rsidRPr="0066263B">
        <w:rPr>
          <w:rFonts w:ascii="Times New Roman" w:eastAsia="Times New Roman" w:hAnsi="Times New Roman" w:cs="Times New Roman"/>
          <w:sz w:val="24"/>
          <w:szCs w:val="24"/>
          <w:lang w:eastAsia="ru-RU"/>
        </w:rPr>
        <w:t>3</w:t>
      </w:r>
      <w:r w:rsidR="00222578"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w:t>
      </w:r>
    </w:p>
    <w:p w:rsidR="00745E5D" w:rsidRPr="0066263B" w:rsidRDefault="00745E5D"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39</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Структура годовой эффективной коллективной дозы облучения населения, чел-Зв/год</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1259"/>
        <w:gridCol w:w="1101"/>
        <w:gridCol w:w="1122"/>
        <w:gridCol w:w="1131"/>
        <w:gridCol w:w="1125"/>
        <w:gridCol w:w="1118"/>
      </w:tblGrid>
      <w:tr w:rsidR="00C40EE2" w:rsidRPr="0066263B" w:rsidTr="00C40EE2">
        <w:trPr>
          <w:trHeight w:val="135"/>
          <w:jc w:val="center"/>
        </w:trPr>
        <w:tc>
          <w:tcPr>
            <w:tcW w:w="1308" w:type="pct"/>
            <w:vMerge w:val="restart"/>
            <w:tcBorders>
              <w:top w:val="single" w:sz="4" w:space="0" w:color="auto"/>
              <w:left w:val="single" w:sz="4" w:space="0" w:color="auto"/>
              <w:bottom w:val="single" w:sz="4" w:space="0" w:color="auto"/>
              <w:right w:val="single" w:sz="4" w:space="0" w:color="auto"/>
            </w:tcBorders>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Территория</w:t>
            </w:r>
          </w:p>
        </w:tc>
        <w:tc>
          <w:tcPr>
            <w:tcW w:w="1875" w:type="pct"/>
            <w:gridSpan w:val="3"/>
            <w:tcBorders>
              <w:top w:val="single" w:sz="4" w:space="0" w:color="auto"/>
              <w:left w:val="single" w:sz="4" w:space="0" w:color="auto"/>
              <w:bottom w:val="single" w:sz="4" w:space="0" w:color="auto"/>
              <w:right w:val="single" w:sz="4" w:space="0" w:color="auto"/>
            </w:tcBorders>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Природные источники</w:t>
            </w:r>
          </w:p>
        </w:tc>
        <w:tc>
          <w:tcPr>
            <w:tcW w:w="1817" w:type="pct"/>
            <w:gridSpan w:val="3"/>
            <w:tcBorders>
              <w:top w:val="single" w:sz="4" w:space="0" w:color="auto"/>
              <w:left w:val="single" w:sz="4" w:space="0" w:color="auto"/>
              <w:bottom w:val="single" w:sz="4" w:space="0" w:color="auto"/>
              <w:right w:val="single" w:sz="4" w:space="0" w:color="auto"/>
            </w:tcBorders>
            <w:vAlign w:val="center"/>
          </w:tcPr>
          <w:p w:rsidR="00C40EE2" w:rsidRPr="0066263B" w:rsidRDefault="00C40EE2" w:rsidP="00C40EE2">
            <w:pPr>
              <w:spacing w:before="20" w:after="20"/>
              <w:jc w:val="center"/>
              <w:rPr>
                <w:rFonts w:ascii="Times New Roman" w:eastAsia="Arial Unicode MS" w:hAnsi="Times New Roman" w:cs="Times New Roman"/>
                <w:b/>
                <w:i/>
                <w:lang w:eastAsia="ru-RU"/>
              </w:rPr>
            </w:pPr>
            <w:r w:rsidRPr="0066263B">
              <w:rPr>
                <w:rFonts w:ascii="Times New Roman" w:eastAsia="Arial Unicode MS" w:hAnsi="Times New Roman" w:cs="Times New Roman"/>
                <w:b/>
                <w:i/>
                <w:lang w:eastAsia="ru-RU"/>
              </w:rPr>
              <w:t>Техногенный фон</w:t>
            </w:r>
          </w:p>
        </w:tc>
      </w:tr>
      <w:tr w:rsidR="0064700E" w:rsidRPr="0066263B" w:rsidTr="009F1B1B">
        <w:trPr>
          <w:trHeight w:val="135"/>
          <w:jc w:val="center"/>
        </w:trPr>
        <w:tc>
          <w:tcPr>
            <w:tcW w:w="1308" w:type="pct"/>
            <w:vMerge/>
            <w:tcBorders>
              <w:top w:val="single" w:sz="4" w:space="0" w:color="auto"/>
              <w:left w:val="single" w:sz="4" w:space="0" w:color="auto"/>
              <w:bottom w:val="single" w:sz="4" w:space="0" w:color="auto"/>
              <w:right w:val="single" w:sz="4" w:space="0" w:color="auto"/>
            </w:tcBorders>
          </w:tcPr>
          <w:p w:rsidR="0064700E" w:rsidRPr="0066263B" w:rsidRDefault="0064700E" w:rsidP="00C40EE2">
            <w:pPr>
              <w:spacing w:before="20" w:after="20"/>
              <w:jc w:val="center"/>
              <w:rPr>
                <w:rFonts w:ascii="Times New Roman" w:eastAsia="Times New Roman" w:hAnsi="Times New Roman" w:cs="Times New Roman"/>
                <w:b/>
                <w:i/>
                <w:sz w:val="20"/>
                <w:szCs w:val="20"/>
                <w:lang w:eastAsia="ru-RU"/>
              </w:rPr>
            </w:pPr>
          </w:p>
        </w:tc>
        <w:tc>
          <w:tcPr>
            <w:tcW w:w="678"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9F1B1B">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593"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9F1B1B">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604"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9F1B1B">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c>
          <w:tcPr>
            <w:tcW w:w="609"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9F1B1B">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9F1B1B">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602"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9F1B1B">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r>
      <w:tr w:rsidR="0064700E" w:rsidRPr="0066263B" w:rsidTr="00C40EE2">
        <w:trPr>
          <w:jc w:val="center"/>
        </w:trPr>
        <w:tc>
          <w:tcPr>
            <w:tcW w:w="1308" w:type="pct"/>
            <w:tcBorders>
              <w:top w:val="single" w:sz="4" w:space="0" w:color="auto"/>
              <w:left w:val="single" w:sz="4" w:space="0" w:color="auto"/>
              <w:bottom w:val="single" w:sz="4" w:space="0" w:color="auto"/>
              <w:right w:val="single" w:sz="4" w:space="0" w:color="auto"/>
            </w:tcBorders>
          </w:tcPr>
          <w:p w:rsidR="0064700E" w:rsidRPr="0066263B" w:rsidRDefault="0064700E"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Брянская область</w:t>
            </w:r>
          </w:p>
        </w:tc>
        <w:tc>
          <w:tcPr>
            <w:tcW w:w="678"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2838,80</w:t>
            </w:r>
          </w:p>
        </w:tc>
        <w:tc>
          <w:tcPr>
            <w:tcW w:w="593"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2844,17</w:t>
            </w:r>
          </w:p>
        </w:tc>
        <w:tc>
          <w:tcPr>
            <w:tcW w:w="604"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2805,2</w:t>
            </w:r>
          </w:p>
        </w:tc>
        <w:tc>
          <w:tcPr>
            <w:tcW w:w="609"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159,70</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149,39</w:t>
            </w:r>
          </w:p>
        </w:tc>
        <w:tc>
          <w:tcPr>
            <w:tcW w:w="602"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146,8</w:t>
            </w:r>
          </w:p>
        </w:tc>
      </w:tr>
      <w:tr w:rsidR="0064700E" w:rsidRPr="0066263B" w:rsidTr="00C40EE2">
        <w:trPr>
          <w:jc w:val="center"/>
        </w:trPr>
        <w:tc>
          <w:tcPr>
            <w:tcW w:w="1308" w:type="pct"/>
            <w:tcBorders>
              <w:top w:val="single" w:sz="4" w:space="0" w:color="auto"/>
              <w:left w:val="single" w:sz="4" w:space="0" w:color="auto"/>
              <w:bottom w:val="single" w:sz="4" w:space="0" w:color="auto"/>
              <w:right w:val="single" w:sz="4" w:space="0" w:color="auto"/>
            </w:tcBorders>
          </w:tcPr>
          <w:p w:rsidR="0064700E" w:rsidRPr="0066263B" w:rsidRDefault="0064700E"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Юго-западные районы</w:t>
            </w:r>
          </w:p>
        </w:tc>
        <w:tc>
          <w:tcPr>
            <w:tcW w:w="678"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471,20</w:t>
            </w:r>
          </w:p>
        </w:tc>
        <w:tc>
          <w:tcPr>
            <w:tcW w:w="593"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482,85</w:t>
            </w:r>
          </w:p>
        </w:tc>
        <w:tc>
          <w:tcPr>
            <w:tcW w:w="604"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473,61</w:t>
            </w:r>
          </w:p>
        </w:tc>
        <w:tc>
          <w:tcPr>
            <w:tcW w:w="609"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143,70</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134,34</w:t>
            </w:r>
          </w:p>
        </w:tc>
        <w:tc>
          <w:tcPr>
            <w:tcW w:w="602"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131,94</w:t>
            </w:r>
          </w:p>
        </w:tc>
      </w:tr>
      <w:tr w:rsidR="0064700E" w:rsidRPr="0066263B" w:rsidTr="00C40EE2">
        <w:trPr>
          <w:jc w:val="center"/>
        </w:trPr>
        <w:tc>
          <w:tcPr>
            <w:tcW w:w="1308" w:type="pct"/>
            <w:tcBorders>
              <w:top w:val="single" w:sz="4" w:space="0" w:color="auto"/>
              <w:left w:val="single" w:sz="4" w:space="0" w:color="auto"/>
              <w:bottom w:val="single" w:sz="4" w:space="0" w:color="auto"/>
              <w:right w:val="single" w:sz="4" w:space="0" w:color="auto"/>
            </w:tcBorders>
          </w:tcPr>
          <w:p w:rsidR="0064700E" w:rsidRPr="0066263B" w:rsidRDefault="0064700E"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РФ</w:t>
            </w:r>
          </w:p>
        </w:tc>
        <w:tc>
          <w:tcPr>
            <w:tcW w:w="678"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479107</w:t>
            </w:r>
          </w:p>
        </w:tc>
        <w:tc>
          <w:tcPr>
            <w:tcW w:w="593"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479107</w:t>
            </w:r>
          </w:p>
        </w:tc>
        <w:tc>
          <w:tcPr>
            <w:tcW w:w="604"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469514</w:t>
            </w:r>
          </w:p>
        </w:tc>
        <w:tc>
          <w:tcPr>
            <w:tcW w:w="609"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982</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982</w:t>
            </w:r>
          </w:p>
        </w:tc>
        <w:tc>
          <w:tcPr>
            <w:tcW w:w="602"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960</w:t>
            </w:r>
          </w:p>
        </w:tc>
      </w:tr>
    </w:tbl>
    <w:p w:rsidR="00C40EE2" w:rsidRPr="0066263B" w:rsidRDefault="00C40EE2" w:rsidP="00324483">
      <w:pPr>
        <w:spacing w:before="0" w:after="0"/>
        <w:jc w:val="center"/>
        <w:rPr>
          <w:rFonts w:ascii="Times New Roman" w:eastAsia="Times New Roman" w:hAnsi="Times New Roman" w:cs="Times New Roman"/>
          <w:b/>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1241"/>
        <w:gridCol w:w="1101"/>
        <w:gridCol w:w="1122"/>
        <w:gridCol w:w="1131"/>
        <w:gridCol w:w="1125"/>
        <w:gridCol w:w="1125"/>
      </w:tblGrid>
      <w:tr w:rsidR="00C40EE2" w:rsidRPr="0066263B" w:rsidTr="0064700E">
        <w:trPr>
          <w:trHeight w:val="135"/>
          <w:jc w:val="center"/>
        </w:trPr>
        <w:tc>
          <w:tcPr>
            <w:tcW w:w="1314" w:type="pct"/>
            <w:vMerge w:val="restart"/>
            <w:tcBorders>
              <w:top w:val="single" w:sz="4" w:space="0" w:color="auto"/>
              <w:left w:val="single" w:sz="4" w:space="0" w:color="auto"/>
              <w:bottom w:val="single" w:sz="4" w:space="0" w:color="auto"/>
              <w:right w:val="single" w:sz="4" w:space="0" w:color="auto"/>
            </w:tcBorders>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Территория</w:t>
            </w:r>
          </w:p>
        </w:tc>
        <w:tc>
          <w:tcPr>
            <w:tcW w:w="1865" w:type="pct"/>
            <w:gridSpan w:val="3"/>
            <w:tcBorders>
              <w:top w:val="single" w:sz="4" w:space="0" w:color="auto"/>
              <w:left w:val="single" w:sz="4" w:space="0" w:color="auto"/>
              <w:bottom w:val="single" w:sz="4" w:space="0" w:color="auto"/>
              <w:right w:val="single" w:sz="4" w:space="0" w:color="auto"/>
            </w:tcBorders>
            <w:vAlign w:val="center"/>
          </w:tcPr>
          <w:p w:rsidR="00C40EE2" w:rsidRPr="0066263B" w:rsidRDefault="00C40EE2" w:rsidP="00C40EE2">
            <w:pPr>
              <w:spacing w:before="20" w:after="20"/>
              <w:jc w:val="center"/>
              <w:rPr>
                <w:rFonts w:ascii="Times New Roman" w:eastAsia="Arial Unicode MS" w:hAnsi="Times New Roman" w:cs="Times New Roman"/>
                <w:b/>
                <w:i/>
                <w:lang w:eastAsia="ru-RU"/>
              </w:rPr>
            </w:pPr>
            <w:r w:rsidRPr="0066263B">
              <w:rPr>
                <w:rFonts w:ascii="Times New Roman" w:eastAsia="Arial Unicode MS" w:hAnsi="Times New Roman" w:cs="Times New Roman"/>
                <w:b/>
                <w:i/>
                <w:lang w:eastAsia="ru-RU"/>
              </w:rPr>
              <w:t>Медицинские источники</w:t>
            </w:r>
          </w:p>
        </w:tc>
        <w:tc>
          <w:tcPr>
            <w:tcW w:w="1820" w:type="pct"/>
            <w:gridSpan w:val="3"/>
            <w:tcBorders>
              <w:top w:val="single" w:sz="4" w:space="0" w:color="auto"/>
              <w:left w:val="single" w:sz="4" w:space="0" w:color="auto"/>
              <w:bottom w:val="single" w:sz="4" w:space="0" w:color="auto"/>
              <w:right w:val="single" w:sz="4" w:space="0" w:color="auto"/>
            </w:tcBorders>
            <w:vAlign w:val="center"/>
          </w:tcPr>
          <w:p w:rsidR="00C40EE2" w:rsidRPr="0066263B" w:rsidRDefault="00C40EE2" w:rsidP="00C40EE2">
            <w:pPr>
              <w:spacing w:before="20" w:after="20"/>
              <w:jc w:val="center"/>
              <w:rPr>
                <w:rFonts w:ascii="Times New Roman" w:eastAsia="Arial Unicode MS" w:hAnsi="Times New Roman" w:cs="Times New Roman"/>
                <w:b/>
                <w:i/>
                <w:lang w:eastAsia="ru-RU"/>
              </w:rPr>
            </w:pPr>
            <w:r w:rsidRPr="0066263B">
              <w:rPr>
                <w:rFonts w:ascii="Times New Roman" w:eastAsia="Arial Unicode MS" w:hAnsi="Times New Roman" w:cs="Times New Roman"/>
                <w:b/>
                <w:i/>
                <w:lang w:eastAsia="ru-RU"/>
              </w:rPr>
              <w:t>Предприятия с ИИИ</w:t>
            </w:r>
          </w:p>
        </w:tc>
      </w:tr>
      <w:tr w:rsidR="0064700E" w:rsidRPr="0066263B" w:rsidTr="0064700E">
        <w:trPr>
          <w:trHeight w:val="135"/>
          <w:jc w:val="center"/>
        </w:trPr>
        <w:tc>
          <w:tcPr>
            <w:tcW w:w="1314" w:type="pct"/>
            <w:vMerge/>
            <w:tcBorders>
              <w:top w:val="single" w:sz="4" w:space="0" w:color="auto"/>
              <w:left w:val="single" w:sz="4" w:space="0" w:color="auto"/>
              <w:bottom w:val="single" w:sz="4" w:space="0" w:color="auto"/>
              <w:right w:val="single" w:sz="4" w:space="0" w:color="auto"/>
            </w:tcBorders>
          </w:tcPr>
          <w:p w:rsidR="0064700E" w:rsidRPr="0066263B" w:rsidRDefault="0064700E" w:rsidP="00C40EE2">
            <w:pPr>
              <w:spacing w:before="20" w:after="20"/>
              <w:jc w:val="left"/>
              <w:rPr>
                <w:rFonts w:ascii="Times New Roman" w:eastAsia="Times New Roman" w:hAnsi="Times New Roman" w:cs="Times New Roman"/>
                <w:b/>
                <w:i/>
                <w:sz w:val="20"/>
                <w:szCs w:val="20"/>
                <w:lang w:eastAsia="ru-RU"/>
              </w:rPr>
            </w:pPr>
          </w:p>
        </w:tc>
        <w:tc>
          <w:tcPr>
            <w:tcW w:w="668"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593"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604"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c>
          <w:tcPr>
            <w:tcW w:w="609"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r>
      <w:tr w:rsidR="0064700E" w:rsidRPr="0066263B" w:rsidTr="0064700E">
        <w:trPr>
          <w:jc w:val="center"/>
        </w:trPr>
        <w:tc>
          <w:tcPr>
            <w:tcW w:w="1314" w:type="pct"/>
            <w:tcBorders>
              <w:top w:val="single" w:sz="4" w:space="0" w:color="auto"/>
              <w:left w:val="single" w:sz="4" w:space="0" w:color="auto"/>
              <w:bottom w:val="single" w:sz="4" w:space="0" w:color="auto"/>
              <w:right w:val="single" w:sz="4" w:space="0" w:color="auto"/>
            </w:tcBorders>
          </w:tcPr>
          <w:p w:rsidR="0064700E" w:rsidRPr="0066263B" w:rsidRDefault="0064700E"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Брянская область</w:t>
            </w:r>
          </w:p>
        </w:tc>
        <w:tc>
          <w:tcPr>
            <w:tcW w:w="668"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496,30</w:t>
            </w:r>
          </w:p>
        </w:tc>
        <w:tc>
          <w:tcPr>
            <w:tcW w:w="593"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526,67</w:t>
            </w:r>
          </w:p>
        </w:tc>
        <w:tc>
          <w:tcPr>
            <w:tcW w:w="604"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900,32</w:t>
            </w:r>
          </w:p>
        </w:tc>
        <w:tc>
          <w:tcPr>
            <w:tcW w:w="609"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0,70</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0,56</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0,63</w:t>
            </w:r>
          </w:p>
        </w:tc>
      </w:tr>
      <w:tr w:rsidR="0064700E" w:rsidRPr="0066263B" w:rsidTr="0064700E">
        <w:trPr>
          <w:jc w:val="center"/>
        </w:trPr>
        <w:tc>
          <w:tcPr>
            <w:tcW w:w="1314" w:type="pct"/>
            <w:tcBorders>
              <w:top w:val="single" w:sz="4" w:space="0" w:color="auto"/>
              <w:left w:val="single" w:sz="4" w:space="0" w:color="auto"/>
              <w:bottom w:val="single" w:sz="4" w:space="0" w:color="auto"/>
              <w:right w:val="single" w:sz="4" w:space="0" w:color="auto"/>
            </w:tcBorders>
          </w:tcPr>
          <w:p w:rsidR="0064700E" w:rsidRPr="0066263B" w:rsidRDefault="0064700E"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Юго-западные районы</w:t>
            </w:r>
          </w:p>
        </w:tc>
        <w:tc>
          <w:tcPr>
            <w:tcW w:w="668"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37,60</w:t>
            </w:r>
          </w:p>
        </w:tc>
        <w:tc>
          <w:tcPr>
            <w:tcW w:w="593"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55,77</w:t>
            </w:r>
          </w:p>
        </w:tc>
        <w:tc>
          <w:tcPr>
            <w:tcW w:w="604"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89,09</w:t>
            </w:r>
          </w:p>
        </w:tc>
        <w:tc>
          <w:tcPr>
            <w:tcW w:w="609"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0,09</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0,04</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0,03</w:t>
            </w:r>
          </w:p>
        </w:tc>
      </w:tr>
      <w:tr w:rsidR="0064700E" w:rsidRPr="0066263B" w:rsidTr="0064700E">
        <w:trPr>
          <w:jc w:val="center"/>
        </w:trPr>
        <w:tc>
          <w:tcPr>
            <w:tcW w:w="1314" w:type="pct"/>
            <w:tcBorders>
              <w:top w:val="single" w:sz="4" w:space="0" w:color="auto"/>
              <w:left w:val="single" w:sz="4" w:space="0" w:color="auto"/>
              <w:bottom w:val="single" w:sz="4" w:space="0" w:color="auto"/>
              <w:right w:val="single" w:sz="4" w:space="0" w:color="auto"/>
            </w:tcBorders>
          </w:tcPr>
          <w:p w:rsidR="0064700E" w:rsidRPr="0066263B" w:rsidRDefault="0064700E"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РФ</w:t>
            </w:r>
          </w:p>
        </w:tc>
        <w:tc>
          <w:tcPr>
            <w:tcW w:w="668"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84134</w:t>
            </w:r>
          </w:p>
        </w:tc>
        <w:tc>
          <w:tcPr>
            <w:tcW w:w="593"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84134</w:t>
            </w:r>
          </w:p>
        </w:tc>
        <w:tc>
          <w:tcPr>
            <w:tcW w:w="604"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117264</w:t>
            </w:r>
          </w:p>
        </w:tc>
        <w:tc>
          <w:tcPr>
            <w:tcW w:w="609"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287,0</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287,0</w:t>
            </w:r>
          </w:p>
        </w:tc>
        <w:tc>
          <w:tcPr>
            <w:tcW w:w="606" w:type="pct"/>
            <w:tcBorders>
              <w:top w:val="single" w:sz="4" w:space="0" w:color="auto"/>
              <w:left w:val="single" w:sz="4" w:space="0" w:color="auto"/>
              <w:bottom w:val="single" w:sz="4" w:space="0" w:color="auto"/>
              <w:right w:val="single" w:sz="4" w:space="0" w:color="auto"/>
            </w:tcBorders>
            <w:vAlign w:val="center"/>
          </w:tcPr>
          <w:p w:rsidR="0064700E" w:rsidRPr="0066263B" w:rsidRDefault="0064700E" w:rsidP="00014C1C">
            <w:pPr>
              <w:spacing w:before="20" w:after="2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295,0</w:t>
            </w:r>
          </w:p>
        </w:tc>
      </w:tr>
    </w:tbl>
    <w:p w:rsidR="00745E5D" w:rsidRPr="0066263B" w:rsidRDefault="00745E5D" w:rsidP="00324483">
      <w:pPr>
        <w:spacing w:before="0" w:after="0"/>
        <w:ind w:firstLine="709"/>
        <w:rPr>
          <w:rFonts w:ascii="Times New Roman" w:eastAsia="Times New Roman" w:hAnsi="Times New Roman" w:cs="Times New Roman"/>
          <w:lang w:eastAsia="ru-RU"/>
        </w:rPr>
      </w:pP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Согласно радиационно-гигиенического паспорта Брянской области за 20</w:t>
      </w:r>
      <w:r w:rsidR="0064700E"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 вклад в эффективную коллективную дозу облучения населения Брянской области от всех видов источников ионизирующего излучения в 20</w:t>
      </w:r>
      <w:r w:rsidR="0064700E"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и составляет:</w:t>
      </w:r>
    </w:p>
    <w:p w:rsidR="00C40EE2" w:rsidRPr="0066263B" w:rsidRDefault="00C40EE2" w:rsidP="00160BD2">
      <w:pPr>
        <w:numPr>
          <w:ilvl w:val="0"/>
          <w:numId w:val="40"/>
        </w:numPr>
        <w:shd w:val="clear" w:color="auto" w:fill="FFFFFF"/>
        <w:spacing w:before="0" w:after="0"/>
        <w:ind w:hanging="21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от техногенных источников (персонал) – 0,02% (0,</w:t>
      </w:r>
      <w:r w:rsidR="00F80B97" w:rsidRPr="0066263B">
        <w:rPr>
          <w:rFonts w:ascii="Times New Roman" w:eastAsia="Times New Roman" w:hAnsi="Times New Roman" w:cs="Times New Roman"/>
          <w:sz w:val="24"/>
          <w:szCs w:val="24"/>
          <w:lang w:eastAsia="ru-RU"/>
        </w:rPr>
        <w:t>63</w:t>
      </w:r>
      <w:r w:rsidRPr="0066263B">
        <w:rPr>
          <w:rFonts w:ascii="Times New Roman" w:eastAsia="Times New Roman" w:hAnsi="Times New Roman" w:cs="Times New Roman"/>
          <w:sz w:val="24"/>
          <w:szCs w:val="24"/>
          <w:lang w:eastAsia="ru-RU"/>
        </w:rPr>
        <w:t xml:space="preserve"> чел-Зв/год);</w:t>
      </w:r>
    </w:p>
    <w:p w:rsidR="00C40EE2" w:rsidRPr="0066263B" w:rsidRDefault="00C40EE2" w:rsidP="00160BD2">
      <w:pPr>
        <w:numPr>
          <w:ilvl w:val="0"/>
          <w:numId w:val="40"/>
        </w:numPr>
        <w:shd w:val="clear" w:color="auto" w:fill="FFFFFF"/>
        <w:spacing w:before="0" w:after="0"/>
        <w:ind w:hanging="21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от </w:t>
      </w:r>
      <w:proofErr w:type="spellStart"/>
      <w:r w:rsidRPr="0066263B">
        <w:rPr>
          <w:rFonts w:ascii="Times New Roman" w:eastAsia="Times New Roman" w:hAnsi="Times New Roman" w:cs="Times New Roman"/>
          <w:sz w:val="24"/>
          <w:szCs w:val="24"/>
          <w:lang w:eastAsia="ru-RU"/>
        </w:rPr>
        <w:t>техногенно-изменённого</w:t>
      </w:r>
      <w:proofErr w:type="spellEnd"/>
      <w:r w:rsidRPr="0066263B">
        <w:rPr>
          <w:rFonts w:ascii="Times New Roman" w:eastAsia="Times New Roman" w:hAnsi="Times New Roman" w:cs="Times New Roman"/>
          <w:sz w:val="24"/>
          <w:szCs w:val="24"/>
          <w:lang w:eastAsia="ru-RU"/>
        </w:rPr>
        <w:t xml:space="preserve"> радиационного фона радиационных аварий (на ЧАЭС) – </w:t>
      </w:r>
      <w:r w:rsidR="00F80B97" w:rsidRPr="0066263B">
        <w:rPr>
          <w:rFonts w:ascii="Times New Roman" w:eastAsia="Times New Roman" w:hAnsi="Times New Roman" w:cs="Times New Roman"/>
          <w:sz w:val="24"/>
          <w:szCs w:val="24"/>
          <w:lang w:eastAsia="ru-RU"/>
        </w:rPr>
        <w:t>3,81</w:t>
      </w:r>
      <w:r w:rsidRPr="0066263B">
        <w:rPr>
          <w:rFonts w:ascii="Times New Roman" w:eastAsia="Times New Roman" w:hAnsi="Times New Roman" w:cs="Times New Roman"/>
          <w:sz w:val="24"/>
          <w:szCs w:val="24"/>
          <w:lang w:eastAsia="ru-RU"/>
        </w:rPr>
        <w:t>% (14</w:t>
      </w:r>
      <w:r w:rsidR="00F80B97" w:rsidRPr="0066263B">
        <w:rPr>
          <w:rFonts w:ascii="Times New Roman" w:eastAsia="Times New Roman" w:hAnsi="Times New Roman" w:cs="Times New Roman"/>
          <w:sz w:val="24"/>
          <w:szCs w:val="24"/>
          <w:lang w:eastAsia="ru-RU"/>
        </w:rPr>
        <w:t>6,8</w:t>
      </w:r>
      <w:r w:rsidRPr="0066263B">
        <w:rPr>
          <w:rFonts w:ascii="Times New Roman" w:eastAsia="Times New Roman" w:hAnsi="Times New Roman" w:cs="Times New Roman"/>
          <w:sz w:val="24"/>
          <w:szCs w:val="24"/>
          <w:lang w:eastAsia="ru-RU"/>
        </w:rPr>
        <w:t xml:space="preserve"> чел-Зв/год);</w:t>
      </w:r>
    </w:p>
    <w:p w:rsidR="00C40EE2" w:rsidRPr="0066263B" w:rsidRDefault="00C40EE2" w:rsidP="00160BD2">
      <w:pPr>
        <w:numPr>
          <w:ilvl w:val="0"/>
          <w:numId w:val="40"/>
        </w:numPr>
        <w:shd w:val="clear" w:color="auto" w:fill="FFFFFF"/>
        <w:spacing w:before="0" w:after="0"/>
        <w:ind w:hanging="21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от медицинских исследований – </w:t>
      </w:r>
      <w:r w:rsidR="00F80B97" w:rsidRPr="0066263B">
        <w:rPr>
          <w:rFonts w:ascii="Times New Roman" w:eastAsia="Times New Roman" w:hAnsi="Times New Roman" w:cs="Times New Roman"/>
          <w:sz w:val="24"/>
          <w:szCs w:val="24"/>
          <w:lang w:eastAsia="ru-RU"/>
        </w:rPr>
        <w:t>23,37</w:t>
      </w:r>
      <w:r w:rsidRPr="0066263B">
        <w:rPr>
          <w:rFonts w:ascii="Times New Roman" w:eastAsia="Times New Roman" w:hAnsi="Times New Roman" w:cs="Times New Roman"/>
          <w:sz w:val="24"/>
          <w:szCs w:val="24"/>
          <w:lang w:eastAsia="ru-RU"/>
        </w:rPr>
        <w:t>% (</w:t>
      </w:r>
      <w:r w:rsidR="00F80B97" w:rsidRPr="0066263B">
        <w:rPr>
          <w:rFonts w:ascii="Times New Roman" w:eastAsia="Times New Roman" w:hAnsi="Times New Roman" w:cs="Times New Roman"/>
          <w:sz w:val="24"/>
          <w:szCs w:val="24"/>
          <w:lang w:eastAsia="ru-RU"/>
        </w:rPr>
        <w:t xml:space="preserve">900,32 </w:t>
      </w:r>
      <w:r w:rsidRPr="0066263B">
        <w:rPr>
          <w:rFonts w:ascii="Times New Roman" w:eastAsia="Times New Roman" w:hAnsi="Times New Roman" w:cs="Times New Roman"/>
          <w:sz w:val="24"/>
          <w:szCs w:val="24"/>
          <w:lang w:eastAsia="ru-RU"/>
        </w:rPr>
        <w:t>чел-Зв/год);</w:t>
      </w:r>
    </w:p>
    <w:p w:rsidR="00C40EE2" w:rsidRPr="0066263B" w:rsidRDefault="00C40EE2" w:rsidP="00160BD2">
      <w:pPr>
        <w:numPr>
          <w:ilvl w:val="0"/>
          <w:numId w:val="40"/>
        </w:numPr>
        <w:shd w:val="clear" w:color="auto" w:fill="FFFFFF"/>
        <w:spacing w:before="0" w:after="0"/>
        <w:ind w:hanging="21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от природных источников излучения – </w:t>
      </w:r>
      <w:r w:rsidR="00F80B97" w:rsidRPr="0066263B">
        <w:rPr>
          <w:rFonts w:ascii="Times New Roman" w:eastAsia="Times New Roman" w:hAnsi="Times New Roman" w:cs="Times New Roman"/>
          <w:sz w:val="24"/>
          <w:szCs w:val="24"/>
          <w:lang w:eastAsia="ru-RU"/>
        </w:rPr>
        <w:t>72,81</w:t>
      </w:r>
      <w:r w:rsidRPr="0066263B">
        <w:rPr>
          <w:rFonts w:ascii="Times New Roman" w:eastAsia="Times New Roman" w:hAnsi="Times New Roman" w:cs="Times New Roman"/>
          <w:sz w:val="24"/>
          <w:szCs w:val="24"/>
          <w:lang w:eastAsia="ru-RU"/>
        </w:rPr>
        <w:t>% (2</w:t>
      </w:r>
      <w:r w:rsidR="00F80B97"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8</w:t>
      </w:r>
      <w:r w:rsidR="00F80B97" w:rsidRPr="0066263B">
        <w:rPr>
          <w:rFonts w:ascii="Times New Roman" w:eastAsia="Times New Roman" w:hAnsi="Times New Roman" w:cs="Times New Roman"/>
          <w:sz w:val="24"/>
          <w:szCs w:val="24"/>
          <w:lang w:eastAsia="ru-RU"/>
        </w:rPr>
        <w:t>05,2</w:t>
      </w:r>
      <w:r w:rsidRPr="0066263B">
        <w:rPr>
          <w:rFonts w:ascii="Times New Roman" w:eastAsia="Times New Roman" w:hAnsi="Times New Roman" w:cs="Times New Roman"/>
          <w:sz w:val="24"/>
          <w:szCs w:val="24"/>
          <w:lang w:eastAsia="ru-RU"/>
        </w:rPr>
        <w:t xml:space="preserve"> чел-Зв/год).</w:t>
      </w:r>
    </w:p>
    <w:p w:rsidR="0064700E" w:rsidRPr="0066263B" w:rsidRDefault="0064700E" w:rsidP="00324483">
      <w:pPr>
        <w:spacing w:before="0" w:after="0"/>
        <w:ind w:firstLine="709"/>
        <w:rPr>
          <w:rFonts w:ascii="Times New Roman" w:eastAsia="Times New Roman" w:hAnsi="Times New Roman" w:cs="Times New Roman"/>
          <w:sz w:val="24"/>
          <w:szCs w:val="24"/>
          <w:lang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3"/>
        <w:gridCol w:w="4643"/>
      </w:tblGrid>
      <w:tr w:rsidR="0064700E" w:rsidRPr="0066263B" w:rsidTr="0064700E">
        <w:tc>
          <w:tcPr>
            <w:tcW w:w="4643" w:type="dxa"/>
          </w:tcPr>
          <w:p w:rsidR="0064700E" w:rsidRPr="0066263B" w:rsidRDefault="00014C1C" w:rsidP="0064700E">
            <w:pPr>
              <w:jc w:val="center"/>
              <w:rPr>
                <w:sz w:val="24"/>
                <w:szCs w:val="24"/>
              </w:rPr>
            </w:pPr>
            <w:r w:rsidRPr="0066263B">
              <w:rPr>
                <w:noProof/>
                <w:sz w:val="24"/>
                <w:szCs w:val="24"/>
              </w:rPr>
              <w:drawing>
                <wp:inline distT="0" distB="0" distL="0" distR="0">
                  <wp:extent cx="2730011" cy="1863969"/>
                  <wp:effectExtent l="19050" t="0" r="0" b="0"/>
                  <wp:docPr id="2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643" w:type="dxa"/>
          </w:tcPr>
          <w:p w:rsidR="0064700E" w:rsidRPr="0066263B" w:rsidRDefault="00014C1C" w:rsidP="0064700E">
            <w:pPr>
              <w:jc w:val="center"/>
              <w:rPr>
                <w:sz w:val="24"/>
                <w:szCs w:val="24"/>
              </w:rPr>
            </w:pPr>
            <w:r w:rsidRPr="0066263B">
              <w:rPr>
                <w:noProof/>
                <w:sz w:val="24"/>
                <w:szCs w:val="24"/>
              </w:rPr>
              <w:drawing>
                <wp:inline distT="0" distB="0" distL="0" distR="0">
                  <wp:extent cx="2730011" cy="1863969"/>
                  <wp:effectExtent l="19050" t="0" r="0" b="0"/>
                  <wp:docPr id="24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64700E" w:rsidRPr="0066263B" w:rsidTr="0064700E">
        <w:tc>
          <w:tcPr>
            <w:tcW w:w="4643" w:type="dxa"/>
          </w:tcPr>
          <w:p w:rsidR="0064700E" w:rsidRPr="0066263B" w:rsidRDefault="00014C1C" w:rsidP="0064700E">
            <w:pPr>
              <w:jc w:val="center"/>
              <w:rPr>
                <w:rFonts w:ascii="Arial" w:hAnsi="Arial" w:cs="Arial"/>
                <w:b/>
              </w:rPr>
            </w:pPr>
            <w:r w:rsidRPr="0066263B">
              <w:rPr>
                <w:rFonts w:ascii="Arial" w:hAnsi="Arial" w:cs="Arial"/>
                <w:b/>
              </w:rPr>
              <w:t>2019</w:t>
            </w:r>
          </w:p>
        </w:tc>
        <w:tc>
          <w:tcPr>
            <w:tcW w:w="4643" w:type="dxa"/>
          </w:tcPr>
          <w:p w:rsidR="0064700E" w:rsidRPr="0066263B" w:rsidRDefault="00014C1C" w:rsidP="0064700E">
            <w:pPr>
              <w:jc w:val="center"/>
              <w:rPr>
                <w:rFonts w:ascii="Arial" w:hAnsi="Arial" w:cs="Arial"/>
                <w:b/>
              </w:rPr>
            </w:pPr>
            <w:r w:rsidRPr="0066263B">
              <w:rPr>
                <w:rFonts w:ascii="Arial" w:hAnsi="Arial" w:cs="Arial"/>
                <w:b/>
              </w:rPr>
              <w:t>2020</w:t>
            </w:r>
          </w:p>
        </w:tc>
      </w:tr>
    </w:tbl>
    <w:p w:rsidR="00B47DEA" w:rsidRPr="0066263B" w:rsidRDefault="00B47DEA"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48</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lang w:eastAsia="ru-RU"/>
        </w:rPr>
        <w:t>Структура коллективных доз облучения жителей Брянской области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40</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Вклад различных источников в дозы облучения населения, %</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5130" w:type="pct"/>
        <w:jc w:val="center"/>
        <w:tblInd w:w="223"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tblPr>
      <w:tblGrid>
        <w:gridCol w:w="1173"/>
        <w:gridCol w:w="704"/>
        <w:gridCol w:w="704"/>
        <w:gridCol w:w="748"/>
        <w:gridCol w:w="705"/>
        <w:gridCol w:w="705"/>
        <w:gridCol w:w="705"/>
        <w:gridCol w:w="705"/>
        <w:gridCol w:w="705"/>
        <w:gridCol w:w="705"/>
        <w:gridCol w:w="651"/>
        <w:gridCol w:w="651"/>
        <w:gridCol w:w="661"/>
      </w:tblGrid>
      <w:tr w:rsidR="00C40EE2" w:rsidRPr="0066263B" w:rsidTr="00C40EE2">
        <w:trPr>
          <w:trHeight w:val="135"/>
          <w:jc w:val="center"/>
        </w:trPr>
        <w:tc>
          <w:tcPr>
            <w:tcW w:w="1173" w:type="dxa"/>
            <w:vMerge w:val="restart"/>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sz w:val="20"/>
                <w:szCs w:val="20"/>
                <w:lang w:eastAsia="ru-RU"/>
              </w:rPr>
            </w:pPr>
            <w:proofErr w:type="spellStart"/>
            <w:proofErr w:type="gramStart"/>
            <w:r w:rsidRPr="0066263B">
              <w:rPr>
                <w:rFonts w:ascii="Times New Roman" w:eastAsia="Times New Roman" w:hAnsi="Times New Roman" w:cs="Times New Roman"/>
                <w:b/>
                <w:i/>
                <w:sz w:val="20"/>
                <w:szCs w:val="20"/>
                <w:lang w:eastAsia="ru-RU"/>
              </w:rPr>
              <w:t>Террито-рия</w:t>
            </w:r>
            <w:proofErr w:type="spellEnd"/>
            <w:proofErr w:type="gramEnd"/>
          </w:p>
        </w:tc>
        <w:tc>
          <w:tcPr>
            <w:tcW w:w="2156" w:type="dxa"/>
            <w:gridSpan w:val="3"/>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Природные</w:t>
            </w:r>
            <w:r w:rsidRPr="0066263B">
              <w:rPr>
                <w:rFonts w:ascii="Times New Roman" w:eastAsia="Times New Roman" w:hAnsi="Times New Roman" w:cs="Times New Roman"/>
                <w:b/>
                <w:i/>
                <w:sz w:val="20"/>
                <w:szCs w:val="20"/>
                <w:lang w:eastAsia="ru-RU"/>
              </w:rPr>
              <w:br/>
              <w:t>источники</w:t>
            </w:r>
          </w:p>
        </w:tc>
        <w:tc>
          <w:tcPr>
            <w:tcW w:w="2115" w:type="dxa"/>
            <w:gridSpan w:val="3"/>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Техногенный фон</w:t>
            </w:r>
          </w:p>
        </w:tc>
        <w:tc>
          <w:tcPr>
            <w:tcW w:w="2115" w:type="dxa"/>
            <w:gridSpan w:val="3"/>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Медицинские</w:t>
            </w:r>
            <w:r w:rsidRPr="0066263B">
              <w:rPr>
                <w:rFonts w:ascii="Times New Roman" w:eastAsia="Times New Roman" w:hAnsi="Times New Roman" w:cs="Times New Roman"/>
                <w:b/>
                <w:i/>
                <w:sz w:val="20"/>
                <w:szCs w:val="20"/>
                <w:lang w:eastAsia="ru-RU"/>
              </w:rPr>
              <w:br/>
              <w:t>источники</w:t>
            </w:r>
          </w:p>
        </w:tc>
        <w:tc>
          <w:tcPr>
            <w:tcW w:w="19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Предприятия с ИИИ</w:t>
            </w:r>
          </w:p>
        </w:tc>
      </w:tr>
      <w:tr w:rsidR="00014C1C" w:rsidRPr="0066263B" w:rsidTr="00C40EE2">
        <w:trPr>
          <w:trHeight w:val="135"/>
          <w:jc w:val="center"/>
        </w:trPr>
        <w:tc>
          <w:tcPr>
            <w:tcW w:w="1173" w:type="dxa"/>
            <w:vMerge/>
            <w:tcBorders>
              <w:top w:val="single" w:sz="4" w:space="0" w:color="000000"/>
              <w:left w:val="single" w:sz="4" w:space="0" w:color="000000"/>
              <w:bottom w:val="single" w:sz="4" w:space="0" w:color="000000"/>
            </w:tcBorders>
            <w:shd w:val="clear" w:color="auto" w:fill="auto"/>
            <w:vAlign w:val="center"/>
          </w:tcPr>
          <w:p w:rsidR="00014C1C" w:rsidRPr="0066263B" w:rsidRDefault="00014C1C" w:rsidP="00C40EE2">
            <w:pPr>
              <w:snapToGrid w:val="0"/>
              <w:spacing w:before="20" w:after="20"/>
              <w:jc w:val="center"/>
              <w:rPr>
                <w:rFonts w:ascii="Times New Roman" w:eastAsia="Arial Unicode MS" w:hAnsi="Times New Roman" w:cs="Times New Roman"/>
                <w:b/>
                <w:sz w:val="20"/>
                <w:szCs w:val="20"/>
                <w:lang w:eastAsia="ru-RU"/>
              </w:rPr>
            </w:pPr>
          </w:p>
        </w:tc>
        <w:tc>
          <w:tcPr>
            <w:tcW w:w="704"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704"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748"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c>
          <w:tcPr>
            <w:tcW w:w="651"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651"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C1C" w:rsidRPr="0066263B" w:rsidRDefault="00014C1C"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r>
      <w:tr w:rsidR="00014C1C" w:rsidRPr="0066263B" w:rsidTr="00C40EE2">
        <w:trPr>
          <w:jc w:val="center"/>
        </w:trPr>
        <w:tc>
          <w:tcPr>
            <w:tcW w:w="1173" w:type="dxa"/>
            <w:tcBorders>
              <w:top w:val="single" w:sz="4" w:space="0" w:color="000000"/>
              <w:left w:val="single" w:sz="4" w:space="0" w:color="000000"/>
              <w:bottom w:val="single" w:sz="4" w:space="0" w:color="000000"/>
            </w:tcBorders>
            <w:shd w:val="clear" w:color="auto" w:fill="auto"/>
          </w:tcPr>
          <w:p w:rsidR="00014C1C" w:rsidRPr="0066263B" w:rsidRDefault="00014C1C"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Брянская</w:t>
            </w:r>
            <w:r w:rsidRPr="0066263B">
              <w:rPr>
                <w:rFonts w:ascii="Times New Roman" w:eastAsia="Times New Roman" w:hAnsi="Times New Roman" w:cs="Times New Roman"/>
                <w:sz w:val="20"/>
                <w:szCs w:val="20"/>
                <w:lang w:eastAsia="ru-RU"/>
              </w:rPr>
              <w:br/>
              <w:t>область</w:t>
            </w:r>
          </w:p>
        </w:tc>
        <w:tc>
          <w:tcPr>
            <w:tcW w:w="704"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81,2</w:t>
            </w:r>
          </w:p>
        </w:tc>
        <w:tc>
          <w:tcPr>
            <w:tcW w:w="704"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80,72</w:t>
            </w:r>
          </w:p>
        </w:tc>
        <w:tc>
          <w:tcPr>
            <w:tcW w:w="748"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72,81</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4,6</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4,26</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3,81</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14,2</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15,00</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23,37</w:t>
            </w:r>
          </w:p>
        </w:tc>
        <w:tc>
          <w:tcPr>
            <w:tcW w:w="651"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0,02</w:t>
            </w:r>
          </w:p>
        </w:tc>
        <w:tc>
          <w:tcPr>
            <w:tcW w:w="651"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0,02</w:t>
            </w:r>
          </w:p>
        </w:tc>
      </w:tr>
      <w:tr w:rsidR="00014C1C" w:rsidRPr="0066263B" w:rsidTr="00C40EE2">
        <w:trPr>
          <w:jc w:val="center"/>
        </w:trPr>
        <w:tc>
          <w:tcPr>
            <w:tcW w:w="1173" w:type="dxa"/>
            <w:tcBorders>
              <w:top w:val="single" w:sz="4" w:space="0" w:color="000000"/>
              <w:left w:val="single" w:sz="4" w:space="0" w:color="000000"/>
              <w:bottom w:val="single" w:sz="4" w:space="0" w:color="000000"/>
            </w:tcBorders>
            <w:shd w:val="clear" w:color="auto" w:fill="auto"/>
          </w:tcPr>
          <w:p w:rsidR="00014C1C" w:rsidRPr="0066263B" w:rsidRDefault="00014C1C"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Юго-западные районы</w:t>
            </w:r>
          </w:p>
        </w:tc>
        <w:tc>
          <w:tcPr>
            <w:tcW w:w="704"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72,2</w:t>
            </w:r>
          </w:p>
        </w:tc>
        <w:tc>
          <w:tcPr>
            <w:tcW w:w="704"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71,7</w:t>
            </w:r>
          </w:p>
        </w:tc>
        <w:tc>
          <w:tcPr>
            <w:tcW w:w="748"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68,2</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22,0</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20,0</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19,0</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5,8</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8,3</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12,8</w:t>
            </w:r>
          </w:p>
        </w:tc>
        <w:tc>
          <w:tcPr>
            <w:tcW w:w="651"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19"/>
                <w:szCs w:val="19"/>
                <w:lang w:eastAsia="ru-RU"/>
              </w:rPr>
            </w:pPr>
            <w:r w:rsidRPr="0066263B">
              <w:rPr>
                <w:rFonts w:ascii="Times New Roman" w:eastAsia="Times New Roman" w:hAnsi="Times New Roman" w:cs="Times New Roman"/>
                <w:sz w:val="19"/>
                <w:szCs w:val="19"/>
                <w:lang w:eastAsia="ru-RU"/>
              </w:rPr>
              <w:t>0,001</w:t>
            </w:r>
          </w:p>
        </w:tc>
        <w:tc>
          <w:tcPr>
            <w:tcW w:w="651"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19"/>
                <w:szCs w:val="19"/>
                <w:lang w:eastAsia="ru-RU"/>
              </w:rPr>
            </w:pPr>
            <w:r w:rsidRPr="0066263B">
              <w:rPr>
                <w:rFonts w:ascii="Times New Roman" w:eastAsia="Times New Roman" w:hAnsi="Times New Roman" w:cs="Times New Roman"/>
                <w:sz w:val="19"/>
                <w:szCs w:val="19"/>
                <w:lang w:eastAsia="ru-RU"/>
              </w:rPr>
              <w:t>0,001</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19"/>
                <w:szCs w:val="19"/>
                <w:lang w:eastAsia="ru-RU"/>
              </w:rPr>
            </w:pPr>
            <w:r w:rsidRPr="0066263B">
              <w:rPr>
                <w:rFonts w:ascii="Times New Roman" w:eastAsia="Times New Roman" w:hAnsi="Times New Roman" w:cs="Times New Roman"/>
                <w:sz w:val="19"/>
                <w:szCs w:val="19"/>
                <w:lang w:eastAsia="ru-RU"/>
              </w:rPr>
              <w:t>0,001</w:t>
            </w:r>
          </w:p>
        </w:tc>
      </w:tr>
      <w:tr w:rsidR="00014C1C" w:rsidRPr="0066263B" w:rsidTr="00C40EE2">
        <w:trPr>
          <w:jc w:val="center"/>
        </w:trPr>
        <w:tc>
          <w:tcPr>
            <w:tcW w:w="1173" w:type="dxa"/>
            <w:tcBorders>
              <w:top w:val="single" w:sz="4" w:space="0" w:color="000000"/>
              <w:left w:val="single" w:sz="4" w:space="0" w:color="000000"/>
              <w:bottom w:val="single" w:sz="4" w:space="0" w:color="000000"/>
            </w:tcBorders>
            <w:shd w:val="clear" w:color="auto" w:fill="auto"/>
          </w:tcPr>
          <w:p w:rsidR="00014C1C" w:rsidRPr="0066263B" w:rsidRDefault="00014C1C"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РФ</w:t>
            </w:r>
          </w:p>
        </w:tc>
        <w:tc>
          <w:tcPr>
            <w:tcW w:w="704"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84,87</w:t>
            </w:r>
          </w:p>
        </w:tc>
        <w:tc>
          <w:tcPr>
            <w:tcW w:w="704"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84,34</w:t>
            </w:r>
          </w:p>
        </w:tc>
        <w:tc>
          <w:tcPr>
            <w:tcW w:w="748"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79,84</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0,18</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0,17</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0,17</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14,90</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15,44</w:t>
            </w:r>
          </w:p>
        </w:tc>
        <w:tc>
          <w:tcPr>
            <w:tcW w:w="705"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19,94</w:t>
            </w:r>
          </w:p>
        </w:tc>
        <w:tc>
          <w:tcPr>
            <w:tcW w:w="651"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0,05</w:t>
            </w:r>
          </w:p>
        </w:tc>
        <w:tc>
          <w:tcPr>
            <w:tcW w:w="651" w:type="dxa"/>
            <w:tcBorders>
              <w:top w:val="single" w:sz="4" w:space="0" w:color="000000"/>
              <w:left w:val="single" w:sz="4" w:space="0" w:color="000000"/>
              <w:bottom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0,05</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4C1C" w:rsidRPr="0066263B" w:rsidRDefault="00014C1C" w:rsidP="00014C1C">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0,05</w:t>
            </w:r>
          </w:p>
        </w:tc>
      </w:tr>
    </w:tbl>
    <w:p w:rsidR="00C40EE2" w:rsidRPr="0066263B" w:rsidRDefault="00C40EE2" w:rsidP="00324483">
      <w:pPr>
        <w:spacing w:before="0" w:after="0"/>
        <w:ind w:firstLine="709"/>
        <w:rPr>
          <w:rFonts w:ascii="Times New Roman" w:eastAsia="Times New Roman" w:hAnsi="Times New Roman" w:cs="Times New Roman"/>
          <w:sz w:val="24"/>
          <w:szCs w:val="24"/>
          <w:lang w:eastAsia="ru-RU"/>
        </w:rPr>
      </w:pP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радиационно-гигиеническом паспорте (далее – РГП) территории Брянской области по состоянию на 20</w:t>
      </w:r>
      <w:r w:rsidR="00014C1C"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 средняя дозовая нагрузка на 1 жителя области от различных источников ионизирующего излучения составила </w:t>
      </w:r>
      <w:r w:rsidR="00014C1C" w:rsidRPr="0066263B">
        <w:rPr>
          <w:rFonts w:ascii="Times New Roman" w:eastAsia="Times New Roman" w:hAnsi="Times New Roman" w:cs="Times New Roman"/>
          <w:sz w:val="24"/>
          <w:szCs w:val="24"/>
          <w:lang w:eastAsia="ru-RU"/>
        </w:rPr>
        <w:t>3,26</w:t>
      </w:r>
      <w:r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w:t>
      </w:r>
      <w:r w:rsidR="00014C1C" w:rsidRPr="0066263B">
        <w:rPr>
          <w:rFonts w:ascii="Times New Roman" w:eastAsia="Times New Roman" w:hAnsi="Times New Roman" w:cs="Times New Roman"/>
          <w:sz w:val="24"/>
          <w:szCs w:val="24"/>
          <w:lang w:eastAsia="ru-RU"/>
        </w:rPr>
        <w:t>2019 – 2,95 </w:t>
      </w:r>
      <w:proofErr w:type="spellStart"/>
      <w:r w:rsidR="00014C1C" w:rsidRPr="0066263B">
        <w:rPr>
          <w:rFonts w:ascii="Times New Roman" w:eastAsia="Times New Roman" w:hAnsi="Times New Roman" w:cs="Times New Roman"/>
          <w:sz w:val="24"/>
          <w:szCs w:val="24"/>
          <w:lang w:eastAsia="ru-RU"/>
        </w:rPr>
        <w:t>мЗв</w:t>
      </w:r>
      <w:proofErr w:type="spellEnd"/>
      <w:r w:rsidR="00014C1C" w:rsidRPr="0066263B">
        <w:rPr>
          <w:rFonts w:ascii="Times New Roman" w:eastAsia="Times New Roman" w:hAnsi="Times New Roman" w:cs="Times New Roman"/>
          <w:sz w:val="24"/>
          <w:szCs w:val="24"/>
          <w:lang w:eastAsia="ru-RU"/>
        </w:rPr>
        <w:t xml:space="preserve">/год; </w:t>
      </w:r>
      <w:r w:rsidRPr="0066263B">
        <w:rPr>
          <w:rFonts w:ascii="Times New Roman" w:eastAsia="Times New Roman" w:hAnsi="Times New Roman" w:cs="Times New Roman"/>
          <w:sz w:val="24"/>
          <w:szCs w:val="24"/>
          <w:lang w:eastAsia="ru-RU"/>
        </w:rPr>
        <w:t>РФ – 3,88</w:t>
      </w:r>
      <w:r w:rsidR="00C11B9B"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 xml:space="preserve">/год). </w:t>
      </w:r>
      <w:proofErr w:type="gramStart"/>
      <w:r w:rsidRPr="0066263B">
        <w:rPr>
          <w:rFonts w:ascii="Times New Roman" w:eastAsia="Times New Roman" w:hAnsi="Times New Roman" w:cs="Times New Roman"/>
          <w:sz w:val="24"/>
          <w:szCs w:val="24"/>
          <w:lang w:eastAsia="ru-RU"/>
        </w:rPr>
        <w:t>В том числе: за счёт природных источников излучения – 2,3</w:t>
      </w:r>
      <w:r w:rsidR="00014C1C" w:rsidRPr="0066263B">
        <w:rPr>
          <w:rFonts w:ascii="Times New Roman" w:eastAsia="Times New Roman" w:hAnsi="Times New Roman" w:cs="Times New Roman"/>
          <w:sz w:val="24"/>
          <w:szCs w:val="24"/>
          <w:lang w:eastAsia="ru-RU"/>
        </w:rPr>
        <w:t>7</w:t>
      </w:r>
      <w:r w:rsidR="00745E5D"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w:t>
      </w:r>
      <w:r w:rsidR="00014C1C" w:rsidRPr="0066263B">
        <w:rPr>
          <w:rFonts w:ascii="Times New Roman" w:eastAsia="Times New Roman" w:hAnsi="Times New Roman" w:cs="Times New Roman"/>
          <w:sz w:val="24"/>
          <w:szCs w:val="24"/>
          <w:lang w:eastAsia="ru-RU"/>
        </w:rPr>
        <w:t xml:space="preserve"> (2019 – 2,38 </w:t>
      </w:r>
      <w:proofErr w:type="spellStart"/>
      <w:r w:rsidR="00014C1C" w:rsidRPr="0066263B">
        <w:rPr>
          <w:rFonts w:ascii="Times New Roman" w:eastAsia="Times New Roman" w:hAnsi="Times New Roman" w:cs="Times New Roman"/>
          <w:sz w:val="24"/>
          <w:szCs w:val="24"/>
          <w:lang w:eastAsia="ru-RU"/>
        </w:rPr>
        <w:t>мЗв</w:t>
      </w:r>
      <w:proofErr w:type="spellEnd"/>
      <w:r w:rsidR="00014C1C" w:rsidRPr="0066263B">
        <w:rPr>
          <w:rFonts w:ascii="Times New Roman" w:eastAsia="Times New Roman" w:hAnsi="Times New Roman" w:cs="Times New Roman"/>
          <w:sz w:val="24"/>
          <w:szCs w:val="24"/>
          <w:lang w:eastAsia="ru-RU"/>
        </w:rPr>
        <w:t>/год)</w:t>
      </w:r>
      <w:r w:rsidRPr="0066263B">
        <w:rPr>
          <w:rFonts w:ascii="Times New Roman" w:eastAsia="Times New Roman" w:hAnsi="Times New Roman" w:cs="Times New Roman"/>
          <w:sz w:val="24"/>
          <w:szCs w:val="24"/>
          <w:lang w:eastAsia="ru-RU"/>
        </w:rPr>
        <w:t>, за счёт медицинских рентгенорадиологических исследований – 0,</w:t>
      </w:r>
      <w:r w:rsidR="00014C1C" w:rsidRPr="0066263B">
        <w:rPr>
          <w:rFonts w:ascii="Times New Roman" w:eastAsia="Times New Roman" w:hAnsi="Times New Roman" w:cs="Times New Roman"/>
          <w:sz w:val="24"/>
          <w:szCs w:val="24"/>
          <w:lang w:eastAsia="ru-RU"/>
        </w:rPr>
        <w:t>76</w:t>
      </w:r>
      <w:r w:rsidR="00745E5D"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w:t>
      </w:r>
      <w:r w:rsidR="00014C1C" w:rsidRPr="0066263B">
        <w:rPr>
          <w:rFonts w:ascii="Times New Roman" w:eastAsia="Times New Roman" w:hAnsi="Times New Roman" w:cs="Times New Roman"/>
          <w:sz w:val="24"/>
          <w:szCs w:val="24"/>
          <w:lang w:eastAsia="ru-RU"/>
        </w:rPr>
        <w:t xml:space="preserve"> (2019 – 0,44 </w:t>
      </w:r>
      <w:proofErr w:type="spellStart"/>
      <w:r w:rsidR="00014C1C" w:rsidRPr="0066263B">
        <w:rPr>
          <w:rFonts w:ascii="Times New Roman" w:eastAsia="Times New Roman" w:hAnsi="Times New Roman" w:cs="Times New Roman"/>
          <w:sz w:val="24"/>
          <w:szCs w:val="24"/>
          <w:lang w:eastAsia="ru-RU"/>
        </w:rPr>
        <w:t>мЗв</w:t>
      </w:r>
      <w:proofErr w:type="spellEnd"/>
      <w:r w:rsidR="00014C1C" w:rsidRPr="0066263B">
        <w:rPr>
          <w:rFonts w:ascii="Times New Roman" w:eastAsia="Times New Roman" w:hAnsi="Times New Roman" w:cs="Times New Roman"/>
          <w:sz w:val="24"/>
          <w:szCs w:val="24"/>
          <w:lang w:eastAsia="ru-RU"/>
        </w:rPr>
        <w:t>/год)</w:t>
      </w:r>
      <w:r w:rsidRPr="0066263B">
        <w:rPr>
          <w:rFonts w:ascii="Times New Roman" w:eastAsia="Times New Roman" w:hAnsi="Times New Roman" w:cs="Times New Roman"/>
          <w:sz w:val="24"/>
          <w:szCs w:val="24"/>
          <w:lang w:eastAsia="ru-RU"/>
        </w:rPr>
        <w:t>, за счёт аварии на ЧАЭС – 0,13</w:t>
      </w:r>
      <w:r w:rsidR="00C11B9B"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w:t>
      </w:r>
      <w:r w:rsidR="00050DD4" w:rsidRPr="0066263B">
        <w:rPr>
          <w:rFonts w:ascii="Times New Roman" w:eastAsia="Times New Roman" w:hAnsi="Times New Roman" w:cs="Times New Roman"/>
          <w:sz w:val="24"/>
          <w:szCs w:val="24"/>
          <w:lang w:eastAsia="ru-RU"/>
        </w:rPr>
        <w:t xml:space="preserve"> (2019 – 0,13 </w:t>
      </w:r>
      <w:proofErr w:type="spellStart"/>
      <w:r w:rsidR="00050DD4" w:rsidRPr="0066263B">
        <w:rPr>
          <w:rFonts w:ascii="Times New Roman" w:eastAsia="Times New Roman" w:hAnsi="Times New Roman" w:cs="Times New Roman"/>
          <w:sz w:val="24"/>
          <w:szCs w:val="24"/>
          <w:lang w:eastAsia="ru-RU"/>
        </w:rPr>
        <w:t>мЗв</w:t>
      </w:r>
      <w:proofErr w:type="spellEnd"/>
      <w:r w:rsidR="00050DD4" w:rsidRPr="0066263B">
        <w:rPr>
          <w:rFonts w:ascii="Times New Roman" w:eastAsia="Times New Roman" w:hAnsi="Times New Roman" w:cs="Times New Roman"/>
          <w:sz w:val="24"/>
          <w:szCs w:val="24"/>
          <w:lang w:eastAsia="ru-RU"/>
        </w:rPr>
        <w:t>/год)</w:t>
      </w:r>
      <w:r w:rsidRPr="0066263B">
        <w:rPr>
          <w:rFonts w:ascii="Times New Roman" w:eastAsia="Times New Roman" w:hAnsi="Times New Roman" w:cs="Times New Roman"/>
          <w:sz w:val="24"/>
          <w:szCs w:val="24"/>
          <w:lang w:eastAsia="ru-RU"/>
        </w:rPr>
        <w:t>, за счёт деятельности предприятий, использующих ИИИ – 0,001</w:t>
      </w:r>
      <w:r w:rsidR="00C11B9B"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w:t>
      </w:r>
      <w:r w:rsidR="00050DD4" w:rsidRPr="0066263B">
        <w:rPr>
          <w:rFonts w:ascii="Times New Roman" w:eastAsia="Times New Roman" w:hAnsi="Times New Roman" w:cs="Times New Roman"/>
          <w:sz w:val="24"/>
          <w:szCs w:val="24"/>
          <w:lang w:eastAsia="ru-RU"/>
        </w:rPr>
        <w:t xml:space="preserve"> (2019 – 0,001 </w:t>
      </w:r>
      <w:proofErr w:type="spellStart"/>
      <w:r w:rsidR="00050DD4" w:rsidRPr="0066263B">
        <w:rPr>
          <w:rFonts w:ascii="Times New Roman" w:eastAsia="Times New Roman" w:hAnsi="Times New Roman" w:cs="Times New Roman"/>
          <w:sz w:val="24"/>
          <w:szCs w:val="24"/>
          <w:lang w:eastAsia="ru-RU"/>
        </w:rPr>
        <w:t>мЗв</w:t>
      </w:r>
      <w:proofErr w:type="spellEnd"/>
      <w:r w:rsidR="00050DD4" w:rsidRPr="0066263B">
        <w:rPr>
          <w:rFonts w:ascii="Times New Roman" w:eastAsia="Times New Roman" w:hAnsi="Times New Roman" w:cs="Times New Roman"/>
          <w:sz w:val="24"/>
          <w:szCs w:val="24"/>
          <w:lang w:eastAsia="ru-RU"/>
        </w:rPr>
        <w:t>/год).</w:t>
      </w:r>
      <w:proofErr w:type="gramEnd"/>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Средние индивидуальные дозы облучения населения Брянской области от источников ионизирующего излучения за период 201</w:t>
      </w:r>
      <w:r w:rsidR="00014C1C"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014C1C"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г.г. в расчёте на одного жителя представлены в таблице </w:t>
      </w:r>
      <w:r w:rsidR="00222578" w:rsidRPr="0066263B">
        <w:rPr>
          <w:rFonts w:ascii="Times New Roman" w:eastAsia="Times New Roman" w:hAnsi="Times New Roman" w:cs="Times New Roman"/>
          <w:sz w:val="24"/>
          <w:szCs w:val="24"/>
          <w:lang w:eastAsia="ru-RU"/>
        </w:rPr>
        <w:t>41</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41</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Средние индивидуальные дозы облучения населения от источников ионизирующего</w:t>
      </w:r>
      <w:r w:rsidRPr="0066263B">
        <w:rPr>
          <w:rFonts w:ascii="Times New Roman" w:eastAsia="Times New Roman" w:hAnsi="Times New Roman" w:cs="Times New Roman"/>
          <w:b/>
          <w:lang w:eastAsia="ru-RU"/>
        </w:rPr>
        <w:br/>
        <w:t xml:space="preserve">излучения в расчёте на одного жителя, </w:t>
      </w:r>
      <w:proofErr w:type="spellStart"/>
      <w:r w:rsidRPr="0066263B">
        <w:rPr>
          <w:rFonts w:ascii="Times New Roman" w:eastAsia="Times New Roman" w:hAnsi="Times New Roman" w:cs="Times New Roman"/>
          <w:b/>
          <w:lang w:eastAsia="ru-RU"/>
        </w:rPr>
        <w:t>мЗв</w:t>
      </w:r>
      <w:proofErr w:type="spellEnd"/>
      <w:r w:rsidRPr="0066263B">
        <w:rPr>
          <w:rFonts w:ascii="Times New Roman" w:eastAsia="Times New Roman" w:hAnsi="Times New Roman" w:cs="Times New Roman"/>
          <w:b/>
          <w:lang w:eastAsia="ru-RU"/>
        </w:rPr>
        <w:t>/год</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5219" w:type="pct"/>
        <w:jc w:val="center"/>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tblPr>
      <w:tblGrid>
        <w:gridCol w:w="1261"/>
        <w:gridCol w:w="687"/>
        <w:gridCol w:w="688"/>
        <w:gridCol w:w="689"/>
        <w:gridCol w:w="689"/>
        <w:gridCol w:w="688"/>
        <w:gridCol w:w="689"/>
        <w:gridCol w:w="689"/>
        <w:gridCol w:w="689"/>
        <w:gridCol w:w="688"/>
        <w:gridCol w:w="825"/>
        <w:gridCol w:w="689"/>
        <w:gridCol w:w="717"/>
      </w:tblGrid>
      <w:tr w:rsidR="00C40EE2" w:rsidRPr="0066263B" w:rsidTr="00050DD4">
        <w:trPr>
          <w:trHeight w:val="135"/>
          <w:jc w:val="center"/>
        </w:trPr>
        <w:tc>
          <w:tcPr>
            <w:tcW w:w="1261" w:type="dxa"/>
            <w:vMerge w:val="restart"/>
            <w:tcBorders>
              <w:top w:val="single" w:sz="4" w:space="0" w:color="000000"/>
              <w:left w:val="single" w:sz="4" w:space="0" w:color="000000"/>
              <w:bottom w:val="single" w:sz="4" w:space="0" w:color="000000"/>
            </w:tcBorders>
            <w:shd w:val="clear" w:color="auto" w:fill="auto"/>
            <w:vAlign w:val="center"/>
          </w:tcPr>
          <w:p w:rsidR="00C40EE2" w:rsidRPr="0066263B" w:rsidRDefault="00C40EE2" w:rsidP="00050DD4">
            <w:pPr>
              <w:spacing w:before="20" w:after="20"/>
              <w:jc w:val="center"/>
              <w:rPr>
                <w:rFonts w:ascii="Times New Roman" w:eastAsia="Times New Roman" w:hAnsi="Times New Roman" w:cs="Times New Roman"/>
                <w:b/>
                <w:i/>
                <w:sz w:val="20"/>
                <w:szCs w:val="20"/>
                <w:lang w:eastAsia="ru-RU"/>
              </w:rPr>
            </w:pPr>
            <w:proofErr w:type="spellStart"/>
            <w:proofErr w:type="gramStart"/>
            <w:r w:rsidRPr="0066263B">
              <w:rPr>
                <w:rFonts w:ascii="Times New Roman" w:eastAsia="Times New Roman" w:hAnsi="Times New Roman" w:cs="Times New Roman"/>
                <w:b/>
                <w:i/>
                <w:sz w:val="20"/>
                <w:szCs w:val="20"/>
                <w:lang w:eastAsia="ru-RU"/>
              </w:rPr>
              <w:t>Террито</w:t>
            </w:r>
            <w:r w:rsidR="00050DD4" w:rsidRPr="0066263B">
              <w:rPr>
                <w:rFonts w:ascii="Times New Roman" w:eastAsia="Times New Roman" w:hAnsi="Times New Roman" w:cs="Times New Roman"/>
                <w:b/>
                <w:i/>
                <w:sz w:val="20"/>
                <w:szCs w:val="20"/>
                <w:lang w:eastAsia="ru-RU"/>
              </w:rPr>
              <w:t>-</w:t>
            </w:r>
            <w:r w:rsidRPr="0066263B">
              <w:rPr>
                <w:rFonts w:ascii="Times New Roman" w:eastAsia="Times New Roman" w:hAnsi="Times New Roman" w:cs="Times New Roman"/>
                <w:b/>
                <w:i/>
                <w:sz w:val="20"/>
                <w:szCs w:val="20"/>
                <w:lang w:eastAsia="ru-RU"/>
              </w:rPr>
              <w:t>рия</w:t>
            </w:r>
            <w:proofErr w:type="spellEnd"/>
            <w:proofErr w:type="gramEnd"/>
          </w:p>
        </w:tc>
        <w:tc>
          <w:tcPr>
            <w:tcW w:w="2064" w:type="dxa"/>
            <w:gridSpan w:val="3"/>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Природные</w:t>
            </w:r>
            <w:r w:rsidRPr="0066263B">
              <w:rPr>
                <w:rFonts w:ascii="Times New Roman" w:eastAsia="Times New Roman" w:hAnsi="Times New Roman" w:cs="Times New Roman"/>
                <w:b/>
                <w:i/>
                <w:sz w:val="20"/>
                <w:szCs w:val="20"/>
                <w:lang w:eastAsia="ru-RU"/>
              </w:rPr>
              <w:br/>
              <w:t>источники</w:t>
            </w:r>
          </w:p>
        </w:tc>
        <w:tc>
          <w:tcPr>
            <w:tcW w:w="2066" w:type="dxa"/>
            <w:gridSpan w:val="3"/>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Техногенный фон</w:t>
            </w:r>
          </w:p>
        </w:tc>
        <w:tc>
          <w:tcPr>
            <w:tcW w:w="2066" w:type="dxa"/>
            <w:gridSpan w:val="3"/>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Медицинские</w:t>
            </w:r>
            <w:r w:rsidRPr="0066263B">
              <w:rPr>
                <w:rFonts w:ascii="Times New Roman" w:eastAsia="Times New Roman" w:hAnsi="Times New Roman" w:cs="Times New Roman"/>
                <w:b/>
                <w:i/>
                <w:sz w:val="20"/>
                <w:szCs w:val="20"/>
                <w:lang w:eastAsia="ru-RU"/>
              </w:rPr>
              <w:br/>
              <w:t>источники</w:t>
            </w:r>
          </w:p>
        </w:tc>
        <w:tc>
          <w:tcPr>
            <w:tcW w:w="22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Предприятия с ИИИ</w:t>
            </w:r>
          </w:p>
        </w:tc>
      </w:tr>
      <w:tr w:rsidR="00050DD4" w:rsidRPr="0066263B" w:rsidTr="00050DD4">
        <w:trPr>
          <w:trHeight w:val="135"/>
          <w:jc w:val="center"/>
        </w:trPr>
        <w:tc>
          <w:tcPr>
            <w:tcW w:w="1261" w:type="dxa"/>
            <w:vMerge/>
            <w:tcBorders>
              <w:top w:val="single" w:sz="4" w:space="0" w:color="000000"/>
              <w:left w:val="single" w:sz="4" w:space="0" w:color="000000"/>
              <w:bottom w:val="single" w:sz="4" w:space="0" w:color="000000"/>
            </w:tcBorders>
            <w:shd w:val="clear" w:color="auto" w:fill="auto"/>
            <w:vAlign w:val="center"/>
          </w:tcPr>
          <w:p w:rsidR="00050DD4" w:rsidRPr="0066263B" w:rsidRDefault="00050DD4" w:rsidP="00C40EE2">
            <w:pPr>
              <w:snapToGrid w:val="0"/>
              <w:spacing w:before="20" w:after="20"/>
              <w:jc w:val="center"/>
              <w:rPr>
                <w:rFonts w:ascii="Times New Roman" w:eastAsia="Arial Unicode MS" w:hAnsi="Times New Roman" w:cs="Times New Roman"/>
                <w:b/>
                <w:sz w:val="20"/>
                <w:szCs w:val="20"/>
                <w:lang w:eastAsia="ru-RU"/>
              </w:rPr>
            </w:pPr>
          </w:p>
        </w:tc>
        <w:tc>
          <w:tcPr>
            <w:tcW w:w="687"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c>
          <w:tcPr>
            <w:tcW w:w="825"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2018</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2019</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DD4" w:rsidRPr="0066263B" w:rsidRDefault="00050DD4" w:rsidP="00C40EE2">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2020</w:t>
            </w:r>
          </w:p>
        </w:tc>
      </w:tr>
      <w:tr w:rsidR="00050DD4" w:rsidRPr="0066263B" w:rsidTr="00050DD4">
        <w:trPr>
          <w:jc w:val="center"/>
        </w:trPr>
        <w:tc>
          <w:tcPr>
            <w:tcW w:w="1261"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Брянская</w:t>
            </w:r>
            <w:r w:rsidRPr="0066263B">
              <w:rPr>
                <w:rFonts w:ascii="Times New Roman" w:eastAsia="Times New Roman" w:hAnsi="Times New Roman" w:cs="Times New Roman"/>
                <w:sz w:val="20"/>
                <w:szCs w:val="20"/>
                <w:lang w:eastAsia="ru-RU"/>
              </w:rPr>
              <w:br/>
              <w:t>область</w:t>
            </w:r>
          </w:p>
        </w:tc>
        <w:tc>
          <w:tcPr>
            <w:tcW w:w="687"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2,36</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2,38</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2,37</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0,13</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0,13</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0,13</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0,41</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0,44</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0,76</w:t>
            </w:r>
          </w:p>
        </w:tc>
        <w:tc>
          <w:tcPr>
            <w:tcW w:w="825"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0,001</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0,001</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0,001</w:t>
            </w:r>
          </w:p>
        </w:tc>
      </w:tr>
      <w:tr w:rsidR="00050DD4" w:rsidRPr="0066263B" w:rsidTr="00050DD4">
        <w:trPr>
          <w:jc w:val="center"/>
        </w:trPr>
        <w:tc>
          <w:tcPr>
            <w:tcW w:w="1261"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Юго-западные районы</w:t>
            </w:r>
          </w:p>
        </w:tc>
        <w:tc>
          <w:tcPr>
            <w:tcW w:w="687"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2,37</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2,43</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2,43</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0,72</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0,69</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0,68</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0,19</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0,28</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0,43</w:t>
            </w:r>
          </w:p>
        </w:tc>
        <w:tc>
          <w:tcPr>
            <w:tcW w:w="825"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w:t>
            </w:r>
          </w:p>
        </w:tc>
      </w:tr>
      <w:tr w:rsidR="00050DD4" w:rsidRPr="0066263B" w:rsidTr="00050DD4">
        <w:trPr>
          <w:jc w:val="center"/>
        </w:trPr>
        <w:tc>
          <w:tcPr>
            <w:tcW w:w="1261"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C40EE2">
            <w:pPr>
              <w:spacing w:before="20" w:after="20"/>
              <w:ind w:left="57"/>
              <w:jc w:val="left"/>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РФ</w:t>
            </w:r>
          </w:p>
        </w:tc>
        <w:tc>
          <w:tcPr>
            <w:tcW w:w="687"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504B69">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3,26</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3,276</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3,204</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0,007</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0,007</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0,007</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0,572</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0,600</w:t>
            </w:r>
          </w:p>
        </w:tc>
        <w:tc>
          <w:tcPr>
            <w:tcW w:w="688"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0,800</w:t>
            </w:r>
          </w:p>
        </w:tc>
        <w:tc>
          <w:tcPr>
            <w:tcW w:w="825"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0,002</w:t>
            </w:r>
          </w:p>
        </w:tc>
        <w:tc>
          <w:tcPr>
            <w:tcW w:w="689" w:type="dxa"/>
            <w:tcBorders>
              <w:top w:val="single" w:sz="4" w:space="0" w:color="000000"/>
              <w:left w:val="single" w:sz="4" w:space="0" w:color="000000"/>
              <w:bottom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0,002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DD4" w:rsidRPr="0066263B" w:rsidRDefault="00050DD4" w:rsidP="00050DD4">
            <w:pPr>
              <w:spacing w:before="0" w:after="0"/>
              <w:jc w:val="center"/>
              <w:rPr>
                <w:rFonts w:ascii="Times New Roman" w:eastAsia="Times New Roman" w:hAnsi="Times New Roman" w:cs="Times New Roman"/>
                <w:sz w:val="20"/>
                <w:szCs w:val="20"/>
                <w:lang w:eastAsia="ru-RU"/>
              </w:rPr>
            </w:pPr>
            <w:r w:rsidRPr="0066263B">
              <w:rPr>
                <w:rFonts w:ascii="Times New Roman" w:eastAsia="Times New Roman" w:hAnsi="Times New Roman" w:cs="Times New Roman"/>
                <w:sz w:val="20"/>
                <w:szCs w:val="20"/>
                <w:lang w:eastAsia="ru-RU"/>
              </w:rPr>
              <w:t>0,002</w:t>
            </w:r>
          </w:p>
        </w:tc>
      </w:tr>
    </w:tbl>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Из анализа трёхлетнего наблюдения (201</w:t>
      </w:r>
      <w:r w:rsidR="00050DD4"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050DD4"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г.г.) за индивидуальными дозами облучения жителей Брянской области, представленного в таблице </w:t>
      </w:r>
      <w:r w:rsidR="009F1B1B" w:rsidRPr="0066263B">
        <w:rPr>
          <w:rFonts w:ascii="Times New Roman" w:eastAsia="Times New Roman" w:hAnsi="Times New Roman" w:cs="Times New Roman"/>
          <w:sz w:val="24"/>
          <w:szCs w:val="24"/>
          <w:lang w:eastAsia="ru-RU"/>
        </w:rPr>
        <w:t>41</w:t>
      </w:r>
      <w:r w:rsidRPr="0066263B">
        <w:rPr>
          <w:rFonts w:ascii="Times New Roman" w:eastAsia="Times New Roman" w:hAnsi="Times New Roman" w:cs="Times New Roman"/>
          <w:sz w:val="24"/>
          <w:szCs w:val="24"/>
          <w:lang w:eastAsia="ru-RU"/>
        </w:rPr>
        <w:t>,</w:t>
      </w:r>
      <w:r w:rsidR="00B93C7E"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можно сделать вывод, что радиационная обстановка на территории Брянской области остаётся стабильной. </w:t>
      </w:r>
      <w:proofErr w:type="gramStart"/>
      <w:r w:rsidRPr="0066263B">
        <w:rPr>
          <w:rFonts w:ascii="Times New Roman" w:eastAsia="Times New Roman" w:hAnsi="Times New Roman" w:cs="Times New Roman"/>
          <w:sz w:val="24"/>
          <w:szCs w:val="24"/>
          <w:lang w:eastAsia="ru-RU"/>
        </w:rPr>
        <w:t>Доза облучения жителя Брянской области в 20</w:t>
      </w:r>
      <w:r w:rsidR="00050DD4"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за счёт техногенного фона 0,13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существенно превышает данный общероссийский показатель 0,007</w:t>
      </w:r>
      <w:r w:rsidR="00C11B9B"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за счёт природных источников 2,3</w:t>
      </w:r>
      <w:r w:rsidR="00050DD4" w:rsidRPr="0066263B">
        <w:rPr>
          <w:rFonts w:ascii="Times New Roman" w:eastAsia="Times New Roman" w:hAnsi="Times New Roman" w:cs="Times New Roman"/>
          <w:sz w:val="24"/>
          <w:szCs w:val="24"/>
          <w:lang w:eastAsia="ru-RU"/>
        </w:rPr>
        <w:t>7</w:t>
      </w:r>
      <w:r w:rsidR="00C11B9B"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в 1,3</w:t>
      </w:r>
      <w:r w:rsidR="00050DD4"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 xml:space="preserve"> раза меньше общероссийского показателя 3,2</w:t>
      </w:r>
      <w:r w:rsidR="00050DD4" w:rsidRPr="0066263B">
        <w:rPr>
          <w:rFonts w:ascii="Times New Roman" w:eastAsia="Times New Roman" w:hAnsi="Times New Roman" w:cs="Times New Roman"/>
          <w:sz w:val="24"/>
          <w:szCs w:val="24"/>
          <w:lang w:eastAsia="ru-RU"/>
        </w:rPr>
        <w:t>0</w:t>
      </w:r>
      <w:r w:rsidR="00C11B9B"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что позволило средней индивидуальной дозе облучения жителя Брянской области от всех видов излучения не превысить общероссийский показатель за 201</w:t>
      </w:r>
      <w:r w:rsidR="00050DD4"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050DD4"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w:t>
      </w:r>
      <w:proofErr w:type="gramEnd"/>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Брянской области в 20</w:t>
      </w:r>
      <w:r w:rsidR="00050DD4"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на 11</w:t>
      </w:r>
      <w:r w:rsidR="00050DD4"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 xml:space="preserve"> радиационных объектах (I и II категории – нет, III – </w:t>
      </w:r>
      <w:r w:rsidR="00050DD4"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 IV – 10</w:t>
      </w:r>
      <w:r w:rsidR="00050DD4"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 которые используют ИИИ, работа</w:t>
      </w:r>
      <w:r w:rsidR="00C11B9B" w:rsidRPr="0066263B">
        <w:rPr>
          <w:rFonts w:ascii="Times New Roman" w:eastAsia="Times New Roman" w:hAnsi="Times New Roman" w:cs="Times New Roman"/>
          <w:sz w:val="24"/>
          <w:szCs w:val="24"/>
          <w:lang w:eastAsia="ru-RU"/>
        </w:rPr>
        <w:t>ло</w:t>
      </w:r>
      <w:r w:rsidRPr="0066263B">
        <w:rPr>
          <w:rFonts w:ascii="Times New Roman" w:eastAsia="Times New Roman" w:hAnsi="Times New Roman" w:cs="Times New Roman"/>
          <w:sz w:val="24"/>
          <w:szCs w:val="24"/>
          <w:lang w:eastAsia="ru-RU"/>
        </w:rPr>
        <w:t xml:space="preserve"> </w:t>
      </w:r>
      <w:r w:rsidR="00050DD4" w:rsidRPr="0066263B">
        <w:rPr>
          <w:rFonts w:ascii="Times New Roman" w:eastAsia="Times New Roman" w:hAnsi="Times New Roman" w:cs="Times New Roman"/>
          <w:sz w:val="24"/>
          <w:szCs w:val="24"/>
          <w:lang w:eastAsia="ru-RU"/>
        </w:rPr>
        <w:t>1 013</w:t>
      </w:r>
      <w:r w:rsidRPr="0066263B">
        <w:rPr>
          <w:rFonts w:ascii="Times New Roman" w:eastAsia="Times New Roman" w:hAnsi="Times New Roman" w:cs="Times New Roman"/>
          <w:sz w:val="24"/>
          <w:szCs w:val="24"/>
          <w:lang w:eastAsia="ru-RU"/>
        </w:rPr>
        <w:t xml:space="preserve"> человек персонала группы</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 xml:space="preserve"> и </w:t>
      </w:r>
      <w:r w:rsidR="00050DD4"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 xml:space="preserve"> человек персонала группы Б.</w:t>
      </w:r>
    </w:p>
    <w:p w:rsidR="00050DD4" w:rsidRPr="0066263B" w:rsidRDefault="00050DD4" w:rsidP="00C40EE2">
      <w:pPr>
        <w:spacing w:before="0" w:after="0"/>
        <w:ind w:firstLine="709"/>
        <w:rPr>
          <w:rFonts w:ascii="Times New Roman" w:eastAsia="Times New Roman" w:hAnsi="Times New Roman" w:cs="Times New Roman"/>
          <w:sz w:val="24"/>
          <w:szCs w:val="24"/>
          <w:lang w:eastAsia="ru-RU"/>
        </w:rPr>
      </w:pP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Созданная система контроля и оценка индивидуальных доз облучения персонала позволяет своевременно принимать меры по их снижению и предотвращать случаи превышения гигиенических нормативов. С целью недопущения </w:t>
      </w:r>
      <w:proofErr w:type="spellStart"/>
      <w:r w:rsidRPr="0066263B">
        <w:rPr>
          <w:rFonts w:ascii="Times New Roman" w:eastAsia="Times New Roman" w:hAnsi="Times New Roman" w:cs="Times New Roman"/>
          <w:sz w:val="24"/>
          <w:szCs w:val="24"/>
          <w:lang w:eastAsia="ru-RU"/>
        </w:rPr>
        <w:t>переоблучения</w:t>
      </w:r>
      <w:proofErr w:type="spellEnd"/>
      <w:r w:rsidRPr="0066263B">
        <w:rPr>
          <w:rFonts w:ascii="Times New Roman" w:eastAsia="Times New Roman" w:hAnsi="Times New Roman" w:cs="Times New Roman"/>
          <w:sz w:val="24"/>
          <w:szCs w:val="24"/>
          <w:lang w:eastAsia="ru-RU"/>
        </w:rPr>
        <w:t xml:space="preserve"> персонала, работающего с ИИИ, возникновения радиационных аварий, связанных с потерей контроля над ИИИ, на территории Брянской области налажен 100% радиационный </w:t>
      </w:r>
      <w:proofErr w:type="gramStart"/>
      <w:r w:rsidRPr="0066263B">
        <w:rPr>
          <w:rFonts w:ascii="Times New Roman" w:eastAsia="Times New Roman" w:hAnsi="Times New Roman" w:cs="Times New Roman"/>
          <w:sz w:val="24"/>
          <w:szCs w:val="24"/>
          <w:lang w:eastAsia="ru-RU"/>
        </w:rPr>
        <w:t>контроль за</w:t>
      </w:r>
      <w:proofErr w:type="gramEnd"/>
      <w:r w:rsidRPr="0066263B">
        <w:rPr>
          <w:rFonts w:ascii="Times New Roman" w:eastAsia="Times New Roman" w:hAnsi="Times New Roman" w:cs="Times New Roman"/>
          <w:sz w:val="24"/>
          <w:szCs w:val="24"/>
          <w:lang w:eastAsia="ru-RU"/>
        </w:rPr>
        <w:t xml:space="preserve"> источниками техногенного облучения согласно действующих санитарных правил и нормативов, в части производственного и планового контроля на предприятиях и ЛПУ, использующих ИИИ.</w:t>
      </w:r>
    </w:p>
    <w:p w:rsidR="00C40EE2" w:rsidRPr="0066263B" w:rsidRDefault="00C40EE2"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C40EE2">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Особенности радиационной обстановки Брянской области</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Особенности радиационной обстановки Брянской области обусловлены последствием аварии на Чернобыльской АЭС в 1986 году. Радиоактивному загрязнению подверглись 21 из 28 районов Брянской области. На территории Брянской области, в соответствии с Постановлением Правительства Российской Федерации от 08.10.2015 № 1074 «Об утверждении перечня населённых пунктов, находящихся в границах зон радиоактивного загрязнения вследствие катастрофы на Чернобыльской АЭС» в границах радиоактивного загрязнения находилось 749 населённых пунктов, расположенных в 21 районе Брянской области. Территории этих населённых пунктов (далее – НП) попадали под разный социальный статус:</w:t>
      </w:r>
    </w:p>
    <w:p w:rsidR="00C40EE2" w:rsidRPr="0066263B" w:rsidRDefault="00C40EE2" w:rsidP="00160BD2">
      <w:pPr>
        <w:numPr>
          <w:ilvl w:val="0"/>
          <w:numId w:val="41"/>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зона отчуждения – 4 </w:t>
      </w:r>
      <w:proofErr w:type="gramStart"/>
      <w:r w:rsidRPr="0066263B">
        <w:rPr>
          <w:rFonts w:ascii="Times New Roman" w:eastAsia="Times New Roman" w:hAnsi="Times New Roman" w:cs="Times New Roman"/>
          <w:sz w:val="24"/>
          <w:szCs w:val="24"/>
          <w:lang w:eastAsia="ru-RU"/>
        </w:rPr>
        <w:t>населённых</w:t>
      </w:r>
      <w:proofErr w:type="gramEnd"/>
      <w:r w:rsidRPr="0066263B">
        <w:rPr>
          <w:rFonts w:ascii="Times New Roman" w:eastAsia="Times New Roman" w:hAnsi="Times New Roman" w:cs="Times New Roman"/>
          <w:sz w:val="24"/>
          <w:szCs w:val="24"/>
          <w:lang w:eastAsia="ru-RU"/>
        </w:rPr>
        <w:t xml:space="preserve"> пункта;</w:t>
      </w:r>
    </w:p>
    <w:p w:rsidR="00C40EE2" w:rsidRPr="0066263B" w:rsidRDefault="00C40EE2" w:rsidP="00160BD2">
      <w:pPr>
        <w:numPr>
          <w:ilvl w:val="0"/>
          <w:numId w:val="41"/>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зона отселения – 26 населённых пунктов;</w:t>
      </w:r>
    </w:p>
    <w:p w:rsidR="00C40EE2" w:rsidRPr="0066263B" w:rsidRDefault="00C40EE2" w:rsidP="00160BD2">
      <w:pPr>
        <w:numPr>
          <w:ilvl w:val="0"/>
          <w:numId w:val="41"/>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зона с правом на отселение – 191 населённый пункт;</w:t>
      </w:r>
    </w:p>
    <w:p w:rsidR="00C40EE2" w:rsidRPr="0066263B" w:rsidRDefault="00C40EE2" w:rsidP="00160BD2">
      <w:pPr>
        <w:numPr>
          <w:ilvl w:val="0"/>
          <w:numId w:val="41"/>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зона с льготным социально-экономическим статусом – 528 населённых пунктов.</w:t>
      </w:r>
    </w:p>
    <w:p w:rsidR="00050DD4" w:rsidRPr="0066263B" w:rsidRDefault="00050DD4" w:rsidP="00C40EE2">
      <w:pPr>
        <w:spacing w:before="0" w:after="0"/>
        <w:ind w:firstLine="709"/>
        <w:rPr>
          <w:rFonts w:ascii="Times New Roman" w:eastAsia="Times New Roman" w:hAnsi="Times New Roman" w:cs="Times New Roman"/>
          <w:sz w:val="24"/>
          <w:szCs w:val="24"/>
          <w:lang w:eastAsia="ru-RU"/>
        </w:rPr>
      </w:pP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данным НПО «Тайфун» Росгидромета уровни радиоактивного загрязнения на этих территориях Брянской области на 01.01.202</w:t>
      </w:r>
      <w:r w:rsidR="00050DD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находятся в пределах от 0,1 до </w:t>
      </w:r>
      <w:r w:rsidR="00050DD4" w:rsidRPr="0066263B">
        <w:rPr>
          <w:rFonts w:ascii="Times New Roman" w:eastAsia="Times New Roman" w:hAnsi="Times New Roman" w:cs="Times New Roman"/>
          <w:sz w:val="24"/>
          <w:szCs w:val="24"/>
          <w:lang w:eastAsia="ru-RU"/>
        </w:rPr>
        <w:t>149,5</w:t>
      </w:r>
      <w:r w:rsidRPr="0066263B">
        <w:rPr>
          <w:rFonts w:ascii="Times New Roman" w:eastAsia="Times New Roman" w:hAnsi="Times New Roman" w:cs="Times New Roman"/>
          <w:sz w:val="24"/>
          <w:szCs w:val="24"/>
          <w:lang w:eastAsia="ru-RU"/>
        </w:rPr>
        <w:t> Ки/км</w:t>
      </w:r>
      <w:proofErr w:type="gramStart"/>
      <w:r w:rsidRPr="0066263B">
        <w:rPr>
          <w:rFonts w:ascii="Times New Roman" w:eastAsia="Times New Roman" w:hAnsi="Times New Roman" w:cs="Times New Roman"/>
          <w:sz w:val="24"/>
          <w:szCs w:val="24"/>
          <w:vertAlign w:val="superscript"/>
          <w:lang w:eastAsia="ru-RU"/>
        </w:rPr>
        <w:t>2</w:t>
      </w:r>
      <w:proofErr w:type="gramEnd"/>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таблице 4</w:t>
      </w:r>
      <w:r w:rsidR="00222578"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 xml:space="preserve"> представлено распределение населённых пунктов Брянской области, находящихся в границах зон радиоактивного загрязнения вследствие аварии на Чернобыльской АЭС по величине среднегодовой эффективной дозы облучения жителей на 01.01.20</w:t>
      </w:r>
      <w:r w:rsidR="00050DD4" w:rsidRPr="0066263B">
        <w:rPr>
          <w:rFonts w:ascii="Times New Roman" w:eastAsia="Times New Roman" w:hAnsi="Times New Roman" w:cs="Times New Roman"/>
          <w:sz w:val="24"/>
          <w:szCs w:val="24"/>
          <w:lang w:eastAsia="ru-RU"/>
        </w:rPr>
        <w:t>21</w:t>
      </w:r>
      <w:r w:rsidRPr="0066263B">
        <w:rPr>
          <w:rFonts w:ascii="Times New Roman" w:eastAsia="Times New Roman" w:hAnsi="Times New Roman" w:cs="Times New Roman"/>
          <w:sz w:val="24"/>
          <w:szCs w:val="24"/>
          <w:lang w:eastAsia="ru-RU"/>
        </w:rPr>
        <w:t xml:space="preserve"> согласно Постановлению Правительства РФ от 08.10.2015 № 1074.</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C23EB0" w:rsidRPr="0066263B" w:rsidRDefault="00C23EB0"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Распределение населённых пунктов Брянской области, находящихся в границах</w:t>
      </w:r>
      <w:r w:rsidRPr="0066263B">
        <w:rPr>
          <w:rFonts w:ascii="Times New Roman" w:eastAsia="Times New Roman" w:hAnsi="Times New Roman" w:cs="Times New Roman"/>
          <w:b/>
          <w:lang w:eastAsia="ru-RU"/>
        </w:rPr>
        <w:br/>
        <w:t>зон радиоактивного загрязнения по величине средней годовой эффективной дозы</w:t>
      </w:r>
      <w:r w:rsidRPr="0066263B">
        <w:rPr>
          <w:rFonts w:ascii="Times New Roman" w:eastAsia="Times New Roman" w:hAnsi="Times New Roman" w:cs="Times New Roman"/>
          <w:b/>
          <w:lang w:eastAsia="ru-RU"/>
        </w:rPr>
        <w:br/>
        <w:t>облучения жителей</w:t>
      </w:r>
    </w:p>
    <w:p w:rsidR="00324483" w:rsidRPr="0066263B" w:rsidRDefault="00324483" w:rsidP="00324483">
      <w:pPr>
        <w:spacing w:before="0" w:after="0"/>
        <w:jc w:val="center"/>
        <w:rPr>
          <w:rFonts w:ascii="Times New Roman" w:eastAsia="Times New Roman" w:hAnsi="Times New Roman" w:cs="Times New Roman"/>
          <w:caps/>
          <w:lang w:eastAsia="ru-RU"/>
        </w:rPr>
      </w:pPr>
    </w:p>
    <w:tbl>
      <w:tblPr>
        <w:tblW w:w="4891" w:type="pct"/>
        <w:tblInd w:w="103"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4A0"/>
      </w:tblPr>
      <w:tblGrid>
        <w:gridCol w:w="2470"/>
        <w:gridCol w:w="1321"/>
        <w:gridCol w:w="1322"/>
        <w:gridCol w:w="1322"/>
        <w:gridCol w:w="1322"/>
        <w:gridCol w:w="1322"/>
      </w:tblGrid>
      <w:tr w:rsidR="00C40EE2" w:rsidRPr="0066263B" w:rsidTr="00C40EE2">
        <w:tc>
          <w:tcPr>
            <w:tcW w:w="2552" w:type="dxa"/>
            <w:vMerge w:val="restart"/>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Количество НП</w:t>
            </w:r>
          </w:p>
        </w:tc>
        <w:tc>
          <w:tcPr>
            <w:tcW w:w="6804" w:type="dxa"/>
            <w:gridSpan w:val="5"/>
            <w:tcBorders>
              <w:top w:val="single" w:sz="4" w:space="0" w:color="000000"/>
              <w:left w:val="single" w:sz="4" w:space="0" w:color="000000"/>
              <w:bottom w:val="single" w:sz="4" w:space="0" w:color="000000"/>
              <w:right w:val="single" w:sz="4" w:space="0" w:color="000000"/>
            </w:tcBorders>
            <w:shd w:val="clear" w:color="auto" w:fill="auto"/>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xml:space="preserve">В том числе, в интервале доз, </w:t>
            </w:r>
            <w:proofErr w:type="spellStart"/>
            <w:r w:rsidRPr="0066263B">
              <w:rPr>
                <w:rFonts w:ascii="Times New Roman" w:eastAsia="Times New Roman" w:hAnsi="Times New Roman" w:cs="Times New Roman"/>
                <w:b/>
                <w:i/>
                <w:lang w:eastAsia="ru-RU"/>
              </w:rPr>
              <w:t>мЗв</w:t>
            </w:r>
            <w:proofErr w:type="spellEnd"/>
            <w:r w:rsidRPr="0066263B">
              <w:rPr>
                <w:rFonts w:ascii="Times New Roman" w:eastAsia="Times New Roman" w:hAnsi="Times New Roman" w:cs="Times New Roman"/>
                <w:b/>
                <w:i/>
                <w:lang w:eastAsia="ru-RU"/>
              </w:rPr>
              <w:t>/год</w:t>
            </w:r>
          </w:p>
        </w:tc>
      </w:tr>
      <w:tr w:rsidR="00C40EE2" w:rsidRPr="0066263B" w:rsidTr="00C40EE2">
        <w:trPr>
          <w:trHeight w:val="132"/>
        </w:trPr>
        <w:tc>
          <w:tcPr>
            <w:tcW w:w="2552" w:type="dxa"/>
            <w:vMerge/>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p>
        </w:tc>
        <w:tc>
          <w:tcPr>
            <w:tcW w:w="1360" w:type="dxa"/>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&lt; 0,3</w:t>
            </w:r>
          </w:p>
        </w:tc>
        <w:tc>
          <w:tcPr>
            <w:tcW w:w="1361" w:type="dxa"/>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0,3 – 1,0</w:t>
            </w:r>
          </w:p>
        </w:tc>
        <w:tc>
          <w:tcPr>
            <w:tcW w:w="1361" w:type="dxa"/>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Symbol" w:eastAsia="Symbol" w:hAnsi="Symbol" w:cs="Symbol"/>
                <w:lang w:eastAsia="ru-RU"/>
              </w:rPr>
              <w:t></w:t>
            </w:r>
            <w:r w:rsidRPr="0066263B">
              <w:rPr>
                <w:rFonts w:ascii="Times New Roman" w:eastAsia="Times New Roman" w:hAnsi="Times New Roman" w:cs="Times New Roman"/>
                <w:b/>
                <w:i/>
                <w:lang w:eastAsia="ru-RU"/>
              </w:rPr>
              <w:t xml:space="preserve"> 1,0</w:t>
            </w:r>
          </w:p>
        </w:tc>
        <w:tc>
          <w:tcPr>
            <w:tcW w:w="1361" w:type="dxa"/>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Symbol" w:eastAsia="Symbol" w:hAnsi="Symbol" w:cs="Symbol"/>
                <w:lang w:eastAsia="ru-RU"/>
              </w:rPr>
              <w:t></w:t>
            </w:r>
            <w:r w:rsidRPr="0066263B">
              <w:rPr>
                <w:rFonts w:ascii="Times New Roman" w:eastAsia="Times New Roman" w:hAnsi="Times New Roman" w:cs="Times New Roman"/>
                <w:b/>
                <w:i/>
                <w:lang w:eastAsia="ru-RU"/>
              </w:rPr>
              <w:t xml:space="preserve"> 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Максимум</w:t>
            </w:r>
          </w:p>
        </w:tc>
      </w:tr>
      <w:tr w:rsidR="00C40EE2" w:rsidRPr="0066263B" w:rsidTr="00C40EE2">
        <w:trPr>
          <w:trHeight w:val="70"/>
        </w:trPr>
        <w:tc>
          <w:tcPr>
            <w:tcW w:w="2552" w:type="dxa"/>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749</w:t>
            </w:r>
          </w:p>
        </w:tc>
        <w:tc>
          <w:tcPr>
            <w:tcW w:w="1360" w:type="dxa"/>
            <w:tcBorders>
              <w:top w:val="single" w:sz="4" w:space="0" w:color="000000"/>
              <w:left w:val="single" w:sz="4" w:space="0" w:color="000000"/>
              <w:bottom w:val="single" w:sz="4" w:space="0" w:color="000000"/>
            </w:tcBorders>
            <w:shd w:val="clear" w:color="auto" w:fill="auto"/>
            <w:vAlign w:val="bottom"/>
          </w:tcPr>
          <w:p w:rsidR="00C40EE2" w:rsidRPr="0066263B" w:rsidRDefault="00C40EE2" w:rsidP="00C40EE2">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390</w:t>
            </w:r>
          </w:p>
        </w:tc>
        <w:tc>
          <w:tcPr>
            <w:tcW w:w="1361" w:type="dxa"/>
            <w:tcBorders>
              <w:top w:val="single" w:sz="4" w:space="0" w:color="000000"/>
              <w:left w:val="single" w:sz="4" w:space="0" w:color="000000"/>
              <w:bottom w:val="single" w:sz="4" w:space="0" w:color="000000"/>
            </w:tcBorders>
            <w:shd w:val="clear" w:color="auto" w:fill="auto"/>
            <w:vAlign w:val="bottom"/>
          </w:tcPr>
          <w:p w:rsidR="00C40EE2" w:rsidRPr="0066263B" w:rsidRDefault="00C40EE2" w:rsidP="00050DD4">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r w:rsidR="00050DD4" w:rsidRPr="0066263B">
              <w:rPr>
                <w:rFonts w:ascii="Times New Roman" w:eastAsia="Times New Roman" w:hAnsi="Times New Roman" w:cs="Times New Roman"/>
                <w:lang w:eastAsia="ru-RU"/>
              </w:rPr>
              <w:t>39</w:t>
            </w:r>
          </w:p>
        </w:tc>
        <w:tc>
          <w:tcPr>
            <w:tcW w:w="1361" w:type="dxa"/>
            <w:tcBorders>
              <w:top w:val="single" w:sz="4" w:space="0" w:color="000000"/>
              <w:left w:val="single" w:sz="4" w:space="0" w:color="000000"/>
              <w:bottom w:val="single" w:sz="4" w:space="0" w:color="000000"/>
            </w:tcBorders>
            <w:shd w:val="clear" w:color="auto" w:fill="auto"/>
            <w:vAlign w:val="center"/>
          </w:tcPr>
          <w:p w:rsidR="00C40EE2" w:rsidRPr="0066263B" w:rsidRDefault="00C40EE2" w:rsidP="00050DD4">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r w:rsidR="00050DD4" w:rsidRPr="0066263B">
              <w:rPr>
                <w:rFonts w:ascii="Times New Roman" w:eastAsia="Times New Roman" w:hAnsi="Times New Roman" w:cs="Times New Roman"/>
                <w:lang w:eastAsia="ru-RU"/>
              </w:rPr>
              <w:t>8</w:t>
            </w:r>
          </w:p>
        </w:tc>
        <w:tc>
          <w:tcPr>
            <w:tcW w:w="1361" w:type="dxa"/>
            <w:tcBorders>
              <w:top w:val="single" w:sz="4" w:space="0" w:color="000000"/>
              <w:left w:val="single" w:sz="4" w:space="0" w:color="000000"/>
              <w:bottom w:val="single" w:sz="4" w:space="0" w:color="000000"/>
            </w:tcBorders>
            <w:shd w:val="clear" w:color="auto" w:fill="auto"/>
            <w:vAlign w:val="center"/>
          </w:tcPr>
          <w:p w:rsidR="00C40EE2" w:rsidRPr="0066263B" w:rsidRDefault="00C40EE2" w:rsidP="00C40EE2">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40EE2" w:rsidRPr="0066263B" w:rsidRDefault="00C40EE2" w:rsidP="00050DD4">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5,5</w:t>
            </w:r>
            <w:r w:rsidR="00050DD4" w:rsidRPr="0066263B">
              <w:rPr>
                <w:rFonts w:ascii="Times New Roman" w:eastAsia="Times New Roman" w:hAnsi="Times New Roman" w:cs="Times New Roman"/>
                <w:lang w:eastAsia="ru-RU"/>
              </w:rPr>
              <w:t>8</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C40EE2" w:rsidRPr="0066263B" w:rsidRDefault="00C40EE2" w:rsidP="00324483">
      <w:pPr>
        <w:spacing w:before="0" w:after="0"/>
        <w:ind w:firstLine="709"/>
        <w:rPr>
          <w:rFonts w:ascii="Times New Roman" w:eastAsia="Times New Roman" w:hAnsi="Times New Roman" w:cs="Times New Roman"/>
          <w:sz w:val="24"/>
          <w:szCs w:val="24"/>
          <w:lang w:eastAsia="ru-RU"/>
        </w:rPr>
      </w:pPr>
    </w:p>
    <w:p w:rsidR="00C40EE2" w:rsidRPr="0066263B" w:rsidRDefault="00C40EE2" w:rsidP="00C40EE2">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1791392"/>
            <wp:effectExtent l="19050" t="0" r="0" b="0"/>
            <wp:docPr id="255"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49</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lang w:eastAsia="ru-RU"/>
        </w:rPr>
        <w:t>Распределение населённых пунктов Брянской области, находящихся</w:t>
      </w:r>
      <w:r w:rsidRPr="0066263B">
        <w:rPr>
          <w:rFonts w:ascii="Times New Roman" w:eastAsia="Times New Roman" w:hAnsi="Times New Roman" w:cs="Times New Roman"/>
          <w:lang w:eastAsia="ru-RU"/>
        </w:rPr>
        <w:br/>
        <w:t xml:space="preserve">в границах </w:t>
      </w:r>
      <w:proofErr w:type="gramStart"/>
      <w:r w:rsidRPr="0066263B">
        <w:rPr>
          <w:rFonts w:ascii="Times New Roman" w:eastAsia="Times New Roman" w:hAnsi="Times New Roman" w:cs="Times New Roman"/>
          <w:lang w:eastAsia="ru-RU"/>
        </w:rPr>
        <w:t>зон радиоактивного загрязнения средней годовой</w:t>
      </w:r>
      <w:r w:rsidRPr="0066263B">
        <w:rPr>
          <w:rFonts w:ascii="Times New Roman" w:eastAsia="Times New Roman" w:hAnsi="Times New Roman" w:cs="Times New Roman"/>
          <w:lang w:eastAsia="ru-RU"/>
        </w:rPr>
        <w:br/>
        <w:t>эффективной дозы облучения жителей</w:t>
      </w:r>
      <w:proofErr w:type="gramEnd"/>
      <w:r w:rsidRPr="0066263B">
        <w:rPr>
          <w:rFonts w:ascii="Times New Roman" w:eastAsia="Times New Roman" w:hAnsi="Times New Roman" w:cs="Times New Roman"/>
          <w:lang w:eastAsia="ru-RU"/>
        </w:rPr>
        <w:t xml:space="preserve"> на 01.01.20</w:t>
      </w:r>
      <w:r w:rsidR="002A40B8" w:rsidRPr="0066263B">
        <w:rPr>
          <w:rFonts w:ascii="Times New Roman" w:eastAsia="Times New Roman" w:hAnsi="Times New Roman" w:cs="Times New Roman"/>
          <w:lang w:eastAsia="ru-RU"/>
        </w:rPr>
        <w:t>2</w:t>
      </w:r>
      <w:r w:rsidR="00050DD4" w:rsidRPr="0066263B">
        <w:rPr>
          <w:rFonts w:ascii="Times New Roman" w:eastAsia="Times New Roman" w:hAnsi="Times New Roman" w:cs="Times New Roman"/>
          <w:lang w:eastAsia="ru-RU"/>
        </w:rPr>
        <w:t>1</w:t>
      </w:r>
      <w:r w:rsidRPr="0066263B">
        <w:rPr>
          <w:rFonts w:ascii="Times New Roman" w:eastAsia="Times New Roman" w:hAnsi="Times New Roman" w:cs="Times New Roman"/>
          <w:lang w:eastAsia="ru-RU"/>
        </w:rPr>
        <w:t>, %</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Продолжается рост накопленных доз облучения населения. По расчётам средних накопленных эффективных доз облучения жителей населённых пунктов, отнесённых к зонам радиоактивного загрязнения, в 112 населённых пунктах Брянской области средняя накопленная эффективная доза облучения жителей за 32-х летний период наблюдения (1986-20</w:t>
      </w:r>
      <w:r w:rsidR="00050DD4"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г.г.) равна или превышает 70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Согласно радиационно-гигиенического паспорта Брянской области за 20</w:t>
      </w:r>
      <w:r w:rsidR="00050DD4"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 данных Территориального органа Федеральной службы Государственной статистики по Брянской области на 01.01.202</w:t>
      </w:r>
      <w:r w:rsidR="00050DD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на территории Брянской области в границах зон радиоактивного загрязнения в 749 населённых пунктах проживает </w:t>
      </w:r>
      <w:r w:rsidR="00FE709D" w:rsidRPr="0066263B">
        <w:rPr>
          <w:rFonts w:ascii="Times New Roman" w:eastAsia="Times New Roman" w:hAnsi="Times New Roman" w:cs="Times New Roman"/>
          <w:sz w:val="24"/>
          <w:szCs w:val="24"/>
          <w:lang w:eastAsia="ru-RU"/>
        </w:rPr>
        <w:t>29</w:t>
      </w:r>
      <w:r w:rsidRPr="0066263B">
        <w:rPr>
          <w:rFonts w:ascii="Times New Roman" w:eastAsia="Times New Roman" w:hAnsi="Times New Roman" w:cs="Times New Roman"/>
          <w:sz w:val="24"/>
          <w:szCs w:val="24"/>
          <w:lang w:eastAsia="ru-RU"/>
        </w:rPr>
        <w:t>9 </w:t>
      </w:r>
      <w:r w:rsidR="00FE709D" w:rsidRPr="0066263B">
        <w:rPr>
          <w:rFonts w:ascii="Times New Roman" w:eastAsia="Times New Roman" w:hAnsi="Times New Roman" w:cs="Times New Roman"/>
          <w:sz w:val="24"/>
          <w:szCs w:val="24"/>
          <w:lang w:eastAsia="ru-RU"/>
        </w:rPr>
        <w:t>748</w:t>
      </w:r>
      <w:r w:rsidRPr="0066263B">
        <w:rPr>
          <w:rFonts w:ascii="Times New Roman" w:eastAsia="Times New Roman" w:hAnsi="Times New Roman" w:cs="Times New Roman"/>
          <w:sz w:val="24"/>
          <w:szCs w:val="24"/>
          <w:lang w:eastAsia="ru-RU"/>
        </w:rPr>
        <w:t xml:space="preserve"> человек:</w:t>
      </w:r>
    </w:p>
    <w:p w:rsidR="00C40EE2" w:rsidRPr="0066263B" w:rsidRDefault="00C40EE2" w:rsidP="00BE7104">
      <w:pPr>
        <w:numPr>
          <w:ilvl w:val="0"/>
          <w:numId w:val="49"/>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(1-5 Ки/км</w:t>
      </w:r>
      <w:proofErr w:type="gramStart"/>
      <w:r w:rsidRPr="0066263B">
        <w:rPr>
          <w:rFonts w:ascii="Times New Roman" w:eastAsia="Times New Roman" w:hAnsi="Times New Roman" w:cs="Times New Roman"/>
          <w:sz w:val="24"/>
          <w:szCs w:val="24"/>
          <w:vertAlign w:val="superscript"/>
          <w:lang w:eastAsia="ru-RU"/>
        </w:rPr>
        <w:t>2</w:t>
      </w:r>
      <w:proofErr w:type="gramEnd"/>
      <w:r w:rsidRPr="0066263B">
        <w:rPr>
          <w:rFonts w:ascii="Times New Roman" w:eastAsia="Times New Roman" w:hAnsi="Times New Roman" w:cs="Times New Roman"/>
          <w:sz w:val="24"/>
          <w:szCs w:val="24"/>
          <w:lang w:eastAsia="ru-RU"/>
        </w:rPr>
        <w:t>) – с социально-экономическим статусом – 528 населённых пунктов с количеством лиц, проживающих на этих территориях – 14</w:t>
      </w:r>
      <w:r w:rsidR="00FE709D" w:rsidRPr="0066263B">
        <w:rPr>
          <w:rFonts w:ascii="Times New Roman" w:eastAsia="Times New Roman" w:hAnsi="Times New Roman" w:cs="Times New Roman"/>
          <w:sz w:val="24"/>
          <w:szCs w:val="24"/>
          <w:lang w:eastAsia="ru-RU"/>
        </w:rPr>
        <w:t>0</w:t>
      </w:r>
      <w:r w:rsidR="00997C67" w:rsidRPr="0066263B">
        <w:rPr>
          <w:rFonts w:ascii="Times New Roman" w:eastAsia="Times New Roman" w:hAnsi="Times New Roman" w:cs="Times New Roman"/>
          <w:sz w:val="24"/>
          <w:szCs w:val="24"/>
          <w:lang w:eastAsia="ru-RU"/>
        </w:rPr>
        <w:t> </w:t>
      </w:r>
      <w:r w:rsidR="00FE709D" w:rsidRPr="0066263B">
        <w:rPr>
          <w:rFonts w:ascii="Times New Roman" w:eastAsia="Times New Roman" w:hAnsi="Times New Roman" w:cs="Times New Roman"/>
          <w:sz w:val="24"/>
          <w:szCs w:val="24"/>
          <w:lang w:eastAsia="ru-RU"/>
        </w:rPr>
        <w:t>976</w:t>
      </w:r>
      <w:r w:rsidR="00997C6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человек;</w:t>
      </w:r>
    </w:p>
    <w:p w:rsidR="00C40EE2" w:rsidRPr="0066263B" w:rsidRDefault="00C40EE2" w:rsidP="00BE7104">
      <w:pPr>
        <w:numPr>
          <w:ilvl w:val="0"/>
          <w:numId w:val="49"/>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(5-15 Ки/км</w:t>
      </w:r>
      <w:proofErr w:type="gramStart"/>
      <w:r w:rsidRPr="0066263B">
        <w:rPr>
          <w:rFonts w:ascii="Times New Roman" w:eastAsia="Times New Roman" w:hAnsi="Times New Roman" w:cs="Times New Roman"/>
          <w:sz w:val="24"/>
          <w:szCs w:val="24"/>
          <w:vertAlign w:val="superscript"/>
          <w:lang w:eastAsia="ru-RU"/>
        </w:rPr>
        <w:t>2</w:t>
      </w:r>
      <w:proofErr w:type="gramEnd"/>
      <w:r w:rsidRPr="0066263B">
        <w:rPr>
          <w:rFonts w:ascii="Times New Roman" w:eastAsia="Times New Roman" w:hAnsi="Times New Roman" w:cs="Times New Roman"/>
          <w:sz w:val="24"/>
          <w:szCs w:val="24"/>
          <w:lang w:eastAsia="ru-RU"/>
        </w:rPr>
        <w:t>) – с правом на отселение – 191 населённый пункт с количеством лиц, проживающих на этих территориях – 151 </w:t>
      </w:r>
      <w:r w:rsidR="00FE709D" w:rsidRPr="0066263B">
        <w:rPr>
          <w:rFonts w:ascii="Times New Roman" w:eastAsia="Times New Roman" w:hAnsi="Times New Roman" w:cs="Times New Roman"/>
          <w:sz w:val="24"/>
          <w:szCs w:val="24"/>
          <w:lang w:eastAsia="ru-RU"/>
        </w:rPr>
        <w:t>380</w:t>
      </w:r>
      <w:r w:rsidRPr="0066263B">
        <w:rPr>
          <w:rFonts w:ascii="Times New Roman" w:eastAsia="Times New Roman" w:hAnsi="Times New Roman" w:cs="Times New Roman"/>
          <w:sz w:val="24"/>
          <w:szCs w:val="24"/>
          <w:lang w:eastAsia="ru-RU"/>
        </w:rPr>
        <w:t xml:space="preserve"> человек;</w:t>
      </w:r>
    </w:p>
    <w:p w:rsidR="00C40EE2" w:rsidRPr="0066263B" w:rsidRDefault="00C40EE2" w:rsidP="00BE7104">
      <w:pPr>
        <w:numPr>
          <w:ilvl w:val="0"/>
          <w:numId w:val="49"/>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(15-40 Ки/км</w:t>
      </w:r>
      <w:proofErr w:type="gramStart"/>
      <w:r w:rsidRPr="0066263B">
        <w:rPr>
          <w:rFonts w:ascii="Times New Roman" w:eastAsia="Times New Roman" w:hAnsi="Times New Roman" w:cs="Times New Roman"/>
          <w:sz w:val="24"/>
          <w:szCs w:val="24"/>
          <w:vertAlign w:val="superscript"/>
          <w:lang w:eastAsia="ru-RU"/>
        </w:rPr>
        <w:t>2</w:t>
      </w:r>
      <w:proofErr w:type="gramEnd"/>
      <w:r w:rsidRPr="0066263B">
        <w:rPr>
          <w:rFonts w:ascii="Times New Roman" w:eastAsia="Times New Roman" w:hAnsi="Times New Roman" w:cs="Times New Roman"/>
          <w:sz w:val="24"/>
          <w:szCs w:val="24"/>
          <w:lang w:eastAsia="ru-RU"/>
        </w:rPr>
        <w:t>) – зона отселения – 26 населённых пунктов с количеством лиц, проживающих на этих территориях – 7 </w:t>
      </w:r>
      <w:r w:rsidR="00FE709D" w:rsidRPr="0066263B">
        <w:rPr>
          <w:rFonts w:ascii="Times New Roman" w:eastAsia="Times New Roman" w:hAnsi="Times New Roman" w:cs="Times New Roman"/>
          <w:sz w:val="24"/>
          <w:szCs w:val="24"/>
          <w:lang w:eastAsia="ru-RU"/>
        </w:rPr>
        <w:t>392</w:t>
      </w:r>
      <w:r w:rsidRPr="0066263B">
        <w:rPr>
          <w:rFonts w:ascii="Times New Roman" w:eastAsia="Times New Roman" w:hAnsi="Times New Roman" w:cs="Times New Roman"/>
          <w:sz w:val="24"/>
          <w:szCs w:val="24"/>
          <w:lang w:eastAsia="ru-RU"/>
        </w:rPr>
        <w:t xml:space="preserve"> человек</w:t>
      </w:r>
      <w:r w:rsidR="00FE709D"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lang w:eastAsia="ru-RU"/>
        </w:rPr>
        <w:t>;</w:t>
      </w:r>
    </w:p>
    <w:p w:rsidR="00C40EE2" w:rsidRPr="0066263B" w:rsidRDefault="00C40EE2" w:rsidP="00BE7104">
      <w:pPr>
        <w:numPr>
          <w:ilvl w:val="0"/>
          <w:numId w:val="49"/>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(выше 40 Ки/км</w:t>
      </w:r>
      <w:proofErr w:type="gramStart"/>
      <w:r w:rsidRPr="0066263B">
        <w:rPr>
          <w:rFonts w:ascii="Times New Roman" w:eastAsia="Times New Roman" w:hAnsi="Times New Roman" w:cs="Times New Roman"/>
          <w:sz w:val="24"/>
          <w:szCs w:val="24"/>
          <w:vertAlign w:val="superscript"/>
          <w:lang w:eastAsia="ru-RU"/>
        </w:rPr>
        <w:t>2</w:t>
      </w:r>
      <w:proofErr w:type="gramEnd"/>
      <w:r w:rsidRPr="0066263B">
        <w:rPr>
          <w:rFonts w:ascii="Times New Roman" w:eastAsia="Times New Roman" w:hAnsi="Times New Roman" w:cs="Times New Roman"/>
          <w:sz w:val="24"/>
          <w:szCs w:val="24"/>
          <w:lang w:eastAsia="ru-RU"/>
        </w:rPr>
        <w:t>) – зона отчуждения – 4 населённых пункта, где нет проживающих граждан.</w:t>
      </w:r>
    </w:p>
    <w:p w:rsidR="00050DD4" w:rsidRPr="0066263B" w:rsidRDefault="00050DD4"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C40EE2">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Участие в региональных программах по оценке радиационной обстановки</w:t>
      </w:r>
      <w:r w:rsidRPr="0066263B">
        <w:rPr>
          <w:rFonts w:ascii="Times New Roman" w:eastAsia="Times New Roman" w:hAnsi="Times New Roman" w:cs="Times New Roman"/>
          <w:i/>
          <w:sz w:val="24"/>
          <w:szCs w:val="24"/>
          <w:u w:val="single"/>
          <w:lang w:eastAsia="ru-RU"/>
        </w:rPr>
        <w:br/>
        <w:t>на территории Брянской области</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В целях реализации статьи 7 Закона Российской Федерации от 15.05.1991 № 1244-1 «О социальной защите граждан, подвергшихся воздействию радиации вследствие катастрофы на Чернобыльской АЭС», </w:t>
      </w:r>
      <w:r w:rsidR="00C11B9B" w:rsidRPr="0066263B">
        <w:rPr>
          <w:rFonts w:ascii="Times New Roman" w:eastAsia="Times New Roman" w:hAnsi="Times New Roman" w:cs="Times New Roman"/>
          <w:sz w:val="24"/>
          <w:szCs w:val="24"/>
          <w:lang w:eastAsia="ru-RU"/>
        </w:rPr>
        <w:t>П</w:t>
      </w:r>
      <w:r w:rsidRPr="0066263B">
        <w:rPr>
          <w:rFonts w:ascii="Times New Roman" w:eastAsia="Times New Roman" w:hAnsi="Times New Roman" w:cs="Times New Roman"/>
          <w:sz w:val="24"/>
          <w:szCs w:val="24"/>
          <w:lang w:eastAsia="ru-RU"/>
        </w:rPr>
        <w:t xml:space="preserve">остановления Правительства Российской Федерации от 08.10.2015 № 1074 «Об утверждении перечня населённых пунктов, находящихся в границах зон радиоактивного загрязнения вследствие </w:t>
      </w:r>
      <w:r w:rsidRPr="0066263B">
        <w:rPr>
          <w:rFonts w:ascii="Times New Roman" w:eastAsia="Times New Roman" w:hAnsi="Times New Roman" w:cs="Times New Roman"/>
          <w:sz w:val="24"/>
          <w:szCs w:val="24"/>
          <w:lang w:eastAsia="ru-RU"/>
        </w:rPr>
        <w:lastRenderedPageBreak/>
        <w:t>катастрофы на Чернобыльской АЭС», приказа МЧС России от 21.07.2015 № 380 «Об утверждении порядка организации работы по подготовке предложений</w:t>
      </w:r>
      <w:proofErr w:type="gramEnd"/>
      <w:r w:rsidRPr="0066263B">
        <w:rPr>
          <w:rFonts w:ascii="Times New Roman" w:eastAsia="Times New Roman" w:hAnsi="Times New Roman" w:cs="Times New Roman"/>
          <w:sz w:val="24"/>
          <w:szCs w:val="24"/>
          <w:lang w:eastAsia="ru-RU"/>
        </w:rPr>
        <w:t xml:space="preserve"> </w:t>
      </w:r>
      <w:proofErr w:type="gramStart"/>
      <w:r w:rsidRPr="0066263B">
        <w:rPr>
          <w:rFonts w:ascii="Times New Roman" w:eastAsia="Times New Roman" w:hAnsi="Times New Roman" w:cs="Times New Roman"/>
          <w:sz w:val="24"/>
          <w:szCs w:val="24"/>
          <w:lang w:eastAsia="ru-RU"/>
        </w:rPr>
        <w:t>по пересмотру границ зон радиоактивного загрязнения вследствие катастрофы на Чернобыльской АЭС и перечня населённых пунктов, находящихся в них», приказа ГУ МЧС РФ по Брянской области от 13.02.2020 № 67 «О проведении комплексных обследований населённых пунктов Брянской области, находящихся в границах зон радиоактивного загрязнения вследствие катастрофы на Чернобыльской АЭС в 2020 году» создана комплексная рабочая группа, в которую входит специалист ФБУЗ «Центр</w:t>
      </w:r>
      <w:proofErr w:type="gramEnd"/>
      <w:r w:rsidRPr="0066263B">
        <w:rPr>
          <w:rFonts w:ascii="Times New Roman" w:eastAsia="Times New Roman" w:hAnsi="Times New Roman" w:cs="Times New Roman"/>
          <w:sz w:val="24"/>
          <w:szCs w:val="24"/>
          <w:lang w:eastAsia="ru-RU"/>
        </w:rPr>
        <w:t xml:space="preserve"> гигиены и эпидемиологии в Брянской области», по оценке радиационной обстановк</w:t>
      </w:r>
      <w:r w:rsidR="00C11B9B" w:rsidRPr="0066263B">
        <w:rPr>
          <w:rFonts w:ascii="Times New Roman" w:eastAsia="Times New Roman" w:hAnsi="Times New Roman" w:cs="Times New Roman"/>
          <w:sz w:val="24"/>
          <w:szCs w:val="24"/>
          <w:lang w:eastAsia="ru-RU"/>
        </w:rPr>
        <w:t>и</w:t>
      </w:r>
      <w:r w:rsidRPr="0066263B">
        <w:rPr>
          <w:rFonts w:ascii="Times New Roman" w:eastAsia="Times New Roman" w:hAnsi="Times New Roman" w:cs="Times New Roman"/>
          <w:sz w:val="24"/>
          <w:szCs w:val="24"/>
          <w:lang w:eastAsia="ru-RU"/>
        </w:rPr>
        <w:t xml:space="preserve"> и других факторов в насел</w:t>
      </w:r>
      <w:r w:rsidR="00C11B9B"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нных пунктах Брянской области, находящихся в границах зон радиоактивного загрязнения вследствие катастрофы на Чернобыльской АЭС под руководством заместителя Губернатора Брянской области.</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выполнения мероприятий, предусмотренных планом работы комплексной рабочей группы органами Роспотребнадзора Брянской области</w:t>
      </w:r>
      <w:r w:rsidR="00997C67"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в 2020 году:</w:t>
      </w:r>
    </w:p>
    <w:p w:rsidR="00C40EE2" w:rsidRPr="0066263B" w:rsidRDefault="00C40EE2" w:rsidP="00BE7104">
      <w:pPr>
        <w:numPr>
          <w:ilvl w:val="0"/>
          <w:numId w:val="49"/>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Проведён расчёт среднегодовых эффективных эквивалентных доз облучения населения Брянской области за 20</w:t>
      </w:r>
      <w:r w:rsidR="00FE709D"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 проживающего в 749 населённых пунктах, загрязнённых в результате аварии на ЧАЭС по Постановлению Правительства Российской Федерации от 08.10.2015 № 1074. По данным выполненных расчётов, жители 125 населённых пунктов имеют среднюю годовую эффективную дозу облучения за счёт чернобыльских радиоактивных выпадений равную или более 1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а в сёлах Заборье и Яловка Красногорского района, где проживает население, эта доза превышает 5</w:t>
      </w:r>
      <w:r w:rsidR="005C1A13"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w:t>
      </w:r>
    </w:p>
    <w:p w:rsidR="00C40EE2" w:rsidRPr="0066263B" w:rsidRDefault="00C40EE2" w:rsidP="00BE7104">
      <w:pPr>
        <w:numPr>
          <w:ilvl w:val="0"/>
          <w:numId w:val="49"/>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Специалисты Управления Роспотребнадзора по Брянской области и ФБУЗ «Центр гигиены и эпидемиологии в Брянской области» участвовали в 3-х совещаниях комплексной рабочей группы в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Брянске и г. Клинцы, на которых проводилось заслушивание глав администраций районов по выполнению комплекса мероприятий.</w:t>
      </w:r>
    </w:p>
    <w:p w:rsidR="00C40EE2" w:rsidRPr="0066263B" w:rsidRDefault="00C40EE2" w:rsidP="00BE7104">
      <w:pPr>
        <w:numPr>
          <w:ilvl w:val="0"/>
          <w:numId w:val="49"/>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июля по август 2020 года проанализировано 749 отчётов «О состоянии безопасности жизнедеятельности населения, проживающего в населённом пункте, подвергшемся радиоактивному загрязнению вследствие катастрофы на Чернобыльской АЭС» по населённым пунктам Брянской области.</w:t>
      </w:r>
    </w:p>
    <w:p w:rsidR="00FE709D" w:rsidRPr="0066263B" w:rsidRDefault="00FE709D"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Продовольственное сырье и пищевые продукты</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Показателями радиационной безопасности продуктов питания и продовольственного сырья в соответствии действующих гигиенических нормативов являются два техногенных радионуклида – цезий-137 и стронций-90.</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w:t>
      </w:r>
      <w:r w:rsidR="00FE709D"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по Брянской области было исследовано 3 </w:t>
      </w:r>
      <w:r w:rsidR="00FE709D" w:rsidRPr="0066263B">
        <w:rPr>
          <w:rFonts w:ascii="Times New Roman" w:eastAsia="Times New Roman" w:hAnsi="Times New Roman" w:cs="Times New Roman"/>
          <w:sz w:val="24"/>
          <w:szCs w:val="24"/>
          <w:lang w:eastAsia="ru-RU"/>
        </w:rPr>
        <w:t>257</w:t>
      </w:r>
      <w:r w:rsidRPr="0066263B">
        <w:rPr>
          <w:rFonts w:ascii="Times New Roman" w:eastAsia="Times New Roman" w:hAnsi="Times New Roman" w:cs="Times New Roman"/>
          <w:sz w:val="24"/>
          <w:szCs w:val="24"/>
          <w:lang w:eastAsia="ru-RU"/>
        </w:rPr>
        <w:t xml:space="preserve"> проб продовольственного сырья и пищевых продуктов по определению содержания радионуклидов цезия-137 и стронция-90 спектрометрическими и радиохимическими методами исследований (</w:t>
      </w:r>
      <w:r w:rsidR="00FE709D" w:rsidRPr="0066263B">
        <w:rPr>
          <w:rFonts w:ascii="Times New Roman" w:eastAsia="Times New Roman" w:hAnsi="Times New Roman" w:cs="Times New Roman"/>
          <w:sz w:val="24"/>
          <w:szCs w:val="24"/>
          <w:lang w:eastAsia="ru-RU"/>
        </w:rPr>
        <w:t xml:space="preserve">2020 – 3 099; </w:t>
      </w:r>
      <w:r w:rsidRPr="0066263B">
        <w:rPr>
          <w:rFonts w:ascii="Times New Roman" w:eastAsia="Times New Roman" w:hAnsi="Times New Roman" w:cs="Times New Roman"/>
          <w:sz w:val="24"/>
          <w:szCs w:val="24"/>
          <w:lang w:eastAsia="ru-RU"/>
        </w:rPr>
        <w:t>2019 – 3</w:t>
      </w:r>
      <w:r w:rsidR="005C1A13"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358</w:t>
      </w:r>
      <w:r w:rsidR="005C1A13"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2018 – 4 118).</w:t>
      </w: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таблице 4</w:t>
      </w:r>
      <w:r w:rsidR="00816777"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 xml:space="preserve"> представлены результаты исследований проб продовольственного сырья и пищевых продуктов по содержанию радионуклидов за период 2017-20</w:t>
      </w:r>
      <w:r w:rsidR="00C40EE2"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w:t>
      </w:r>
    </w:p>
    <w:p w:rsidR="00FE709D" w:rsidRPr="0066263B" w:rsidRDefault="00FE709D" w:rsidP="00324483">
      <w:pPr>
        <w:spacing w:before="0" w:after="0"/>
        <w:jc w:val="left"/>
        <w:rPr>
          <w:rFonts w:ascii="Times New Roman" w:eastAsia="Calibri" w:hAnsi="Times New Roman" w:cs="Times New Roman"/>
        </w:rPr>
      </w:pPr>
    </w:p>
    <w:p w:rsidR="00C23EB0" w:rsidRPr="0066263B" w:rsidRDefault="00C23EB0">
      <w:pPr>
        <w:rPr>
          <w:rFonts w:ascii="Times New Roman" w:eastAsia="Calibri" w:hAnsi="Times New Roman" w:cs="Times New Roman"/>
        </w:rPr>
      </w:pPr>
      <w:r w:rsidRPr="0066263B">
        <w:rPr>
          <w:rFonts w:ascii="Times New Roman" w:eastAsia="Calibri" w:hAnsi="Times New Roman" w:cs="Times New Roman"/>
        </w:rPr>
        <w:br w:type="page"/>
      </w:r>
    </w:p>
    <w:p w:rsidR="00C23EB0" w:rsidRPr="0066263B" w:rsidRDefault="00C23EB0" w:rsidP="00324483">
      <w:pPr>
        <w:spacing w:before="0" w:after="0"/>
        <w:jc w:val="left"/>
        <w:rPr>
          <w:rFonts w:ascii="Times New Roman" w:eastAsia="Calibri" w:hAnsi="Times New Roman" w:cs="Times New Roman"/>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43</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Результаты измерений проб продуктов питания и продовольственного сырья</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9387"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5"/>
        <w:gridCol w:w="766"/>
        <w:gridCol w:w="674"/>
        <w:gridCol w:w="600"/>
        <w:gridCol w:w="696"/>
        <w:gridCol w:w="673"/>
        <w:gridCol w:w="776"/>
        <w:gridCol w:w="766"/>
        <w:gridCol w:w="720"/>
        <w:gridCol w:w="720"/>
        <w:gridCol w:w="696"/>
        <w:gridCol w:w="720"/>
        <w:gridCol w:w="785"/>
      </w:tblGrid>
      <w:tr w:rsidR="00324483" w:rsidRPr="0066263B" w:rsidTr="0097318F">
        <w:trPr>
          <w:cantSplit/>
          <w:jc w:val="center"/>
        </w:trPr>
        <w:tc>
          <w:tcPr>
            <w:tcW w:w="795" w:type="dxa"/>
            <w:vMerge w:val="restart"/>
            <w:tcBorders>
              <w:top w:val="single" w:sz="4" w:space="0" w:color="auto"/>
              <w:left w:val="single" w:sz="4" w:space="0" w:color="auto"/>
              <w:bottom w:val="single" w:sz="4" w:space="0" w:color="auto"/>
              <w:right w:val="single" w:sz="4" w:space="0" w:color="auto"/>
            </w:tcBorders>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2040" w:type="dxa"/>
            <w:gridSpan w:val="3"/>
            <w:vMerge w:val="restart"/>
            <w:tcBorders>
              <w:top w:val="single" w:sz="4" w:space="0" w:color="auto"/>
              <w:left w:val="single" w:sz="4" w:space="0" w:color="auto"/>
              <w:right w:val="single" w:sz="4" w:space="0" w:color="auto"/>
            </w:tcBorders>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Всего</w:t>
            </w:r>
          </w:p>
        </w:tc>
        <w:tc>
          <w:tcPr>
            <w:tcW w:w="6552" w:type="dxa"/>
            <w:gridSpan w:val="9"/>
            <w:tcBorders>
              <w:top w:val="single" w:sz="4" w:space="0" w:color="auto"/>
              <w:left w:val="single" w:sz="4" w:space="0" w:color="auto"/>
              <w:bottom w:val="single" w:sz="4" w:space="0" w:color="auto"/>
              <w:right w:val="single" w:sz="4" w:space="0" w:color="auto"/>
            </w:tcBorders>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 том числе</w:t>
            </w:r>
          </w:p>
        </w:tc>
      </w:tr>
      <w:tr w:rsidR="00324483" w:rsidRPr="0066263B" w:rsidTr="0097318F">
        <w:trPr>
          <w:cantSplit/>
          <w:jc w:val="center"/>
        </w:trPr>
        <w:tc>
          <w:tcPr>
            <w:tcW w:w="795" w:type="dxa"/>
            <w:vMerge/>
            <w:tcBorders>
              <w:top w:val="single" w:sz="4" w:space="0" w:color="auto"/>
              <w:left w:val="single" w:sz="4" w:space="0" w:color="auto"/>
              <w:bottom w:val="single" w:sz="4" w:space="0" w:color="auto"/>
              <w:right w:val="single" w:sz="4" w:space="0" w:color="auto"/>
            </w:tcBorders>
            <w:vAlign w:val="center"/>
          </w:tcPr>
          <w:p w:rsidR="00324483" w:rsidRPr="0066263B" w:rsidRDefault="00324483" w:rsidP="00324483">
            <w:pPr>
              <w:spacing w:before="20" w:after="20"/>
              <w:rPr>
                <w:rFonts w:ascii="Times New Roman" w:eastAsia="Times New Roman" w:hAnsi="Times New Roman" w:cs="Times New Roman"/>
                <w:lang w:eastAsia="ru-RU"/>
              </w:rPr>
            </w:pPr>
          </w:p>
        </w:tc>
        <w:tc>
          <w:tcPr>
            <w:tcW w:w="2040" w:type="dxa"/>
            <w:gridSpan w:val="3"/>
            <w:vMerge/>
            <w:tcBorders>
              <w:left w:val="single" w:sz="4" w:space="0" w:color="auto"/>
              <w:bottom w:val="single" w:sz="4" w:space="0" w:color="auto"/>
              <w:right w:val="single" w:sz="4" w:space="0" w:color="auto"/>
            </w:tcBorders>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p>
        </w:tc>
        <w:tc>
          <w:tcPr>
            <w:tcW w:w="2145" w:type="dxa"/>
            <w:gridSpan w:val="3"/>
            <w:tcBorders>
              <w:top w:val="single" w:sz="4" w:space="0" w:color="auto"/>
              <w:left w:val="single" w:sz="4" w:space="0" w:color="auto"/>
              <w:bottom w:val="single" w:sz="4" w:space="0" w:color="auto"/>
              <w:right w:val="single" w:sz="4" w:space="0" w:color="auto"/>
            </w:tcBorders>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Мясо и мясные продукты</w:t>
            </w:r>
          </w:p>
        </w:tc>
        <w:tc>
          <w:tcPr>
            <w:tcW w:w="2206" w:type="dxa"/>
            <w:gridSpan w:val="3"/>
            <w:tcBorders>
              <w:top w:val="single" w:sz="4" w:space="0" w:color="auto"/>
              <w:left w:val="single" w:sz="4" w:space="0" w:color="auto"/>
              <w:bottom w:val="single" w:sz="4" w:space="0" w:color="auto"/>
              <w:right w:val="single" w:sz="4" w:space="0" w:color="auto"/>
            </w:tcBorders>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Молоко и молокопродукты</w:t>
            </w:r>
          </w:p>
        </w:tc>
        <w:tc>
          <w:tcPr>
            <w:tcW w:w="2201" w:type="dxa"/>
            <w:gridSpan w:val="3"/>
            <w:tcBorders>
              <w:top w:val="single" w:sz="4" w:space="0" w:color="auto"/>
              <w:left w:val="single" w:sz="4" w:space="0" w:color="auto"/>
              <w:bottom w:val="single" w:sz="4" w:space="0" w:color="auto"/>
              <w:right w:val="single" w:sz="4" w:space="0" w:color="auto"/>
            </w:tcBorders>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Дикорастущие пищевые продукты</w:t>
            </w:r>
          </w:p>
        </w:tc>
      </w:tr>
      <w:tr w:rsidR="00324483" w:rsidRPr="0066263B" w:rsidTr="0097318F">
        <w:trPr>
          <w:cantSplit/>
          <w:trHeight w:val="1844"/>
          <w:jc w:val="center"/>
        </w:trPr>
        <w:tc>
          <w:tcPr>
            <w:tcW w:w="795" w:type="dxa"/>
            <w:vMerge/>
            <w:tcBorders>
              <w:top w:val="single" w:sz="4" w:space="0" w:color="auto"/>
              <w:left w:val="single" w:sz="4" w:space="0" w:color="auto"/>
              <w:bottom w:val="single" w:sz="4" w:space="0" w:color="auto"/>
              <w:right w:val="single" w:sz="4" w:space="0" w:color="auto"/>
            </w:tcBorders>
            <w:vAlign w:val="center"/>
          </w:tcPr>
          <w:p w:rsidR="00324483" w:rsidRPr="0066263B" w:rsidRDefault="00324483" w:rsidP="00324483">
            <w:pPr>
              <w:spacing w:before="20" w:after="20"/>
              <w:rPr>
                <w:rFonts w:ascii="Times New Roman" w:eastAsia="Times New Roman" w:hAnsi="Times New Roman" w:cs="Times New Roman"/>
                <w:lang w:eastAsia="ru-RU"/>
              </w:rPr>
            </w:pP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Всего проб</w:t>
            </w:r>
          </w:p>
        </w:tc>
        <w:tc>
          <w:tcPr>
            <w:tcW w:w="674"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из них с превышением ГН</w:t>
            </w: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проб с превышением ГН</w:t>
            </w:r>
          </w:p>
        </w:tc>
        <w:tc>
          <w:tcPr>
            <w:tcW w:w="696"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Всего проб</w:t>
            </w:r>
          </w:p>
        </w:tc>
        <w:tc>
          <w:tcPr>
            <w:tcW w:w="673"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из них с превышением ГН</w:t>
            </w:r>
          </w:p>
        </w:tc>
        <w:tc>
          <w:tcPr>
            <w:tcW w:w="776"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проб с превышением ГН</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Всего проб</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из них с превышением ГН</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проб с превышением ГН</w:t>
            </w:r>
          </w:p>
        </w:tc>
        <w:tc>
          <w:tcPr>
            <w:tcW w:w="696"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Всего проб</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из них с превышением ГН</w:t>
            </w:r>
          </w:p>
        </w:tc>
        <w:tc>
          <w:tcPr>
            <w:tcW w:w="785" w:type="dxa"/>
            <w:tcBorders>
              <w:top w:val="single" w:sz="4" w:space="0" w:color="auto"/>
              <w:left w:val="single" w:sz="4" w:space="0" w:color="auto"/>
              <w:bottom w:val="single" w:sz="4" w:space="0" w:color="auto"/>
              <w:right w:val="single" w:sz="4" w:space="0" w:color="auto"/>
            </w:tcBorders>
            <w:textDirection w:val="btLr"/>
            <w:vAlign w:val="center"/>
          </w:tcPr>
          <w:p w:rsidR="00324483" w:rsidRPr="0066263B" w:rsidRDefault="00324483" w:rsidP="00324483">
            <w:pPr>
              <w:spacing w:before="20" w:after="20"/>
              <w:ind w:left="57"/>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проб с превышением ГН</w:t>
            </w:r>
          </w:p>
        </w:tc>
      </w:tr>
      <w:tr w:rsidR="00FE709D" w:rsidRPr="0066263B" w:rsidTr="0097318F">
        <w:trPr>
          <w:jc w:val="center"/>
        </w:trPr>
        <w:tc>
          <w:tcPr>
            <w:tcW w:w="795"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76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4118</w:t>
            </w:r>
          </w:p>
        </w:tc>
        <w:tc>
          <w:tcPr>
            <w:tcW w:w="674"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150</w:t>
            </w:r>
          </w:p>
        </w:tc>
        <w:tc>
          <w:tcPr>
            <w:tcW w:w="600"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w:t>
            </w:r>
          </w:p>
        </w:tc>
        <w:tc>
          <w:tcPr>
            <w:tcW w:w="69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229</w:t>
            </w:r>
          </w:p>
        </w:tc>
        <w:tc>
          <w:tcPr>
            <w:tcW w:w="673"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c>
          <w:tcPr>
            <w:tcW w:w="77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c>
          <w:tcPr>
            <w:tcW w:w="76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1117</w:t>
            </w:r>
          </w:p>
        </w:tc>
        <w:tc>
          <w:tcPr>
            <w:tcW w:w="720"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w:t>
            </w:r>
          </w:p>
        </w:tc>
        <w:tc>
          <w:tcPr>
            <w:tcW w:w="720"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5,4</w:t>
            </w:r>
          </w:p>
        </w:tc>
        <w:tc>
          <w:tcPr>
            <w:tcW w:w="69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470</w:t>
            </w:r>
          </w:p>
        </w:tc>
        <w:tc>
          <w:tcPr>
            <w:tcW w:w="720"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136</w:t>
            </w:r>
          </w:p>
        </w:tc>
        <w:tc>
          <w:tcPr>
            <w:tcW w:w="785"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28,9</w:t>
            </w:r>
          </w:p>
        </w:tc>
      </w:tr>
      <w:tr w:rsidR="00FE709D" w:rsidRPr="0066263B" w:rsidTr="0097318F">
        <w:trPr>
          <w:jc w:val="center"/>
        </w:trPr>
        <w:tc>
          <w:tcPr>
            <w:tcW w:w="795"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76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3358</w:t>
            </w:r>
          </w:p>
        </w:tc>
        <w:tc>
          <w:tcPr>
            <w:tcW w:w="674"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162</w:t>
            </w:r>
          </w:p>
        </w:tc>
        <w:tc>
          <w:tcPr>
            <w:tcW w:w="600"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w:t>
            </w:r>
          </w:p>
        </w:tc>
        <w:tc>
          <w:tcPr>
            <w:tcW w:w="69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163</w:t>
            </w:r>
          </w:p>
        </w:tc>
        <w:tc>
          <w:tcPr>
            <w:tcW w:w="673"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c>
          <w:tcPr>
            <w:tcW w:w="77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w:t>
            </w:r>
          </w:p>
        </w:tc>
        <w:tc>
          <w:tcPr>
            <w:tcW w:w="76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1034</w:t>
            </w:r>
          </w:p>
        </w:tc>
        <w:tc>
          <w:tcPr>
            <w:tcW w:w="720"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w:t>
            </w:r>
          </w:p>
        </w:tc>
        <w:tc>
          <w:tcPr>
            <w:tcW w:w="720"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w:t>
            </w:r>
          </w:p>
        </w:tc>
        <w:tc>
          <w:tcPr>
            <w:tcW w:w="696"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353</w:t>
            </w:r>
          </w:p>
        </w:tc>
        <w:tc>
          <w:tcPr>
            <w:tcW w:w="720"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146</w:t>
            </w:r>
          </w:p>
        </w:tc>
        <w:tc>
          <w:tcPr>
            <w:tcW w:w="785" w:type="dxa"/>
            <w:tcBorders>
              <w:top w:val="single" w:sz="4" w:space="0" w:color="auto"/>
              <w:left w:val="single" w:sz="4" w:space="0" w:color="auto"/>
              <w:bottom w:val="single" w:sz="4" w:space="0" w:color="auto"/>
              <w:right w:val="single" w:sz="4" w:space="0" w:color="auto"/>
            </w:tcBorders>
            <w:vAlign w:val="center"/>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41,4</w:t>
            </w:r>
          </w:p>
        </w:tc>
      </w:tr>
      <w:tr w:rsidR="00FE709D" w:rsidRPr="0066263B" w:rsidTr="00504B69">
        <w:trPr>
          <w:jc w:val="center"/>
        </w:trPr>
        <w:tc>
          <w:tcPr>
            <w:tcW w:w="795"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766"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3099</w:t>
            </w:r>
          </w:p>
        </w:tc>
        <w:tc>
          <w:tcPr>
            <w:tcW w:w="674"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147</w:t>
            </w:r>
          </w:p>
        </w:tc>
        <w:tc>
          <w:tcPr>
            <w:tcW w:w="600"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w:t>
            </w:r>
          </w:p>
        </w:tc>
        <w:tc>
          <w:tcPr>
            <w:tcW w:w="696"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156</w:t>
            </w:r>
          </w:p>
        </w:tc>
        <w:tc>
          <w:tcPr>
            <w:tcW w:w="673"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776"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766"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951</w:t>
            </w:r>
          </w:p>
        </w:tc>
        <w:tc>
          <w:tcPr>
            <w:tcW w:w="720"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720"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w:t>
            </w:r>
          </w:p>
        </w:tc>
        <w:tc>
          <w:tcPr>
            <w:tcW w:w="696"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357</w:t>
            </w:r>
          </w:p>
        </w:tc>
        <w:tc>
          <w:tcPr>
            <w:tcW w:w="720"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w:t>
            </w:r>
          </w:p>
        </w:tc>
        <w:tc>
          <w:tcPr>
            <w:tcW w:w="785" w:type="dxa"/>
            <w:tcBorders>
              <w:top w:val="single" w:sz="4" w:space="0" w:color="auto"/>
              <w:left w:val="single" w:sz="4" w:space="0" w:color="auto"/>
              <w:bottom w:val="single" w:sz="4" w:space="0" w:color="auto"/>
              <w:right w:val="single" w:sz="4" w:space="0" w:color="auto"/>
            </w:tcBorders>
          </w:tcPr>
          <w:p w:rsidR="00FE709D" w:rsidRPr="0066263B" w:rsidRDefault="00FE709D"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39,2</w:t>
            </w:r>
          </w:p>
        </w:tc>
      </w:tr>
      <w:tr w:rsidR="00FE709D" w:rsidRPr="0066263B" w:rsidTr="00C40EE2">
        <w:trPr>
          <w:jc w:val="center"/>
        </w:trPr>
        <w:tc>
          <w:tcPr>
            <w:tcW w:w="795" w:type="dxa"/>
            <w:tcBorders>
              <w:top w:val="single" w:sz="4" w:space="0" w:color="auto"/>
              <w:left w:val="single" w:sz="4" w:space="0" w:color="auto"/>
              <w:bottom w:val="single" w:sz="4" w:space="0" w:color="auto"/>
              <w:right w:val="single" w:sz="4" w:space="0" w:color="auto"/>
            </w:tcBorders>
          </w:tcPr>
          <w:p w:rsidR="00FE709D" w:rsidRPr="0066263B" w:rsidRDefault="00FE709D"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766"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3257</w:t>
            </w:r>
          </w:p>
        </w:tc>
        <w:tc>
          <w:tcPr>
            <w:tcW w:w="674"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134</w:t>
            </w:r>
          </w:p>
        </w:tc>
        <w:tc>
          <w:tcPr>
            <w:tcW w:w="600"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w:t>
            </w:r>
          </w:p>
        </w:tc>
        <w:tc>
          <w:tcPr>
            <w:tcW w:w="696"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w:t>
            </w:r>
          </w:p>
        </w:tc>
        <w:tc>
          <w:tcPr>
            <w:tcW w:w="673"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776"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766"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910</w:t>
            </w:r>
          </w:p>
        </w:tc>
        <w:tc>
          <w:tcPr>
            <w:tcW w:w="720"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720"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w:t>
            </w:r>
          </w:p>
        </w:tc>
        <w:tc>
          <w:tcPr>
            <w:tcW w:w="696"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327</w:t>
            </w:r>
          </w:p>
        </w:tc>
        <w:tc>
          <w:tcPr>
            <w:tcW w:w="720"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131</w:t>
            </w:r>
          </w:p>
        </w:tc>
        <w:tc>
          <w:tcPr>
            <w:tcW w:w="785" w:type="dxa"/>
            <w:tcBorders>
              <w:top w:val="single" w:sz="4" w:space="0" w:color="auto"/>
              <w:left w:val="single" w:sz="4" w:space="0" w:color="auto"/>
              <w:bottom w:val="single" w:sz="4" w:space="0" w:color="auto"/>
              <w:right w:val="single" w:sz="4" w:space="0" w:color="auto"/>
            </w:tcBorders>
          </w:tcPr>
          <w:p w:rsidR="00FE709D" w:rsidRPr="0066263B" w:rsidRDefault="00FE709D" w:rsidP="00FE709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40,1</w:t>
            </w:r>
          </w:p>
        </w:tc>
      </w:tr>
    </w:tbl>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
    <w:p w:rsidR="00FE709D" w:rsidRPr="0066263B" w:rsidRDefault="00FE709D" w:rsidP="00FE709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Удельный вес несоответствующих проб ежегодно незначительно снижается и в 2021 году составил 4,1% (2020 – 4,7%).</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Превышение гигиенических нормативов выявлено только по содержанию цезия-137 при осуществлении радиационно-гигиенического мониторинга пищевых продуктов из населённых пунктов юго-западных территорий (Гордеевского, Злынковского, Климовского, Красногорского, </w:t>
      </w:r>
      <w:r w:rsidR="005C1A13" w:rsidRPr="0066263B">
        <w:rPr>
          <w:rFonts w:ascii="Times New Roman" w:eastAsia="Times New Roman" w:hAnsi="Times New Roman" w:cs="Times New Roman"/>
          <w:sz w:val="24"/>
          <w:szCs w:val="24"/>
          <w:lang w:eastAsia="ru-RU"/>
        </w:rPr>
        <w:t xml:space="preserve">г. Клинцы, </w:t>
      </w:r>
      <w:r w:rsidRPr="0066263B">
        <w:rPr>
          <w:rFonts w:ascii="Times New Roman" w:eastAsia="Times New Roman" w:hAnsi="Times New Roman" w:cs="Times New Roman"/>
          <w:sz w:val="24"/>
          <w:szCs w:val="24"/>
          <w:lang w:eastAsia="ru-RU"/>
        </w:rPr>
        <w:t xml:space="preserve">Новозыбковского </w:t>
      </w:r>
      <w:r w:rsidR="005C1A13" w:rsidRPr="0066263B">
        <w:rPr>
          <w:rFonts w:ascii="Times New Roman" w:eastAsia="Times New Roman" w:hAnsi="Times New Roman" w:cs="Times New Roman"/>
          <w:sz w:val="24"/>
          <w:szCs w:val="24"/>
          <w:lang w:eastAsia="ru-RU"/>
        </w:rPr>
        <w:t>городского округа</w:t>
      </w:r>
      <w:r w:rsidRPr="0066263B">
        <w:rPr>
          <w:rFonts w:ascii="Times New Roman" w:eastAsia="Times New Roman" w:hAnsi="Times New Roman" w:cs="Times New Roman"/>
          <w:sz w:val="24"/>
          <w:szCs w:val="24"/>
          <w:lang w:eastAsia="ru-RU"/>
        </w:rPr>
        <w:t>), отнесённых к зонам радиоактивного загрязнения вследствие катастрофы на Чернобыльской АЭС в соответствии с Постановлением Правительства Российской Федерации от 08.10.2015 № 1074 «Об утверждении перечня населённых пунктов, находящихся в границах зон радиоактивного загрязнения вследствие</w:t>
      </w:r>
      <w:proofErr w:type="gramEnd"/>
      <w:r w:rsidRPr="0066263B">
        <w:rPr>
          <w:rFonts w:ascii="Times New Roman" w:eastAsia="Times New Roman" w:hAnsi="Times New Roman" w:cs="Times New Roman"/>
          <w:sz w:val="24"/>
          <w:szCs w:val="24"/>
          <w:lang w:eastAsia="ru-RU"/>
        </w:rPr>
        <w:t xml:space="preserve"> катастрофы на Чернобыльской АЭС».</w:t>
      </w:r>
    </w:p>
    <w:p w:rsidR="00FE709D" w:rsidRPr="0066263B" w:rsidRDefault="00FE709D" w:rsidP="00C40EE2">
      <w:pPr>
        <w:spacing w:before="0" w:after="0"/>
        <w:ind w:firstLine="709"/>
        <w:rPr>
          <w:rFonts w:ascii="Times New Roman" w:eastAsia="Times New Roman" w:hAnsi="Times New Roman" w:cs="Times New Roman"/>
          <w:sz w:val="24"/>
          <w:szCs w:val="24"/>
          <w:lang w:eastAsia="ru-RU"/>
        </w:rPr>
      </w:pP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соответствии с приказом Управления Роспотребнадзора по Брянской области от 09.06.2018 № 116 мониторингу подлежат 183 населённых пункта, отнесённых к зонам радиоактивного загрязнения вследствие катастрофы на Чернобыльской АЭС.</w:t>
      </w:r>
      <w:proofErr w:type="gramEnd"/>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Отбор и исследования проб продуктов питания проводились в соответствии с МР, МУК, МВИ с использованием дозиметрического, радиометрического и спектрометрического оборудования.</w:t>
      </w:r>
    </w:p>
    <w:p w:rsidR="00C40EE2" w:rsidRPr="0066263B" w:rsidRDefault="00C40EE2"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Результаты лабораторных исследований проб продуктов питания оценивались в соответствии с требованиями СанПиН 2.3.2.1078-01 с изменениями и дополнениями № 18 (СанПиН 2.3.2.2650-10) на соответствие показателя радиационной безопасности согласно методическим указаниям МУ 2.6.1.2398-08 «Радиационный контроль. Стронций-90 и цезий-137. Пищевые продукты. Отбор проб, анализ и гигиеническая оценка».</w:t>
      </w:r>
    </w:p>
    <w:p w:rsidR="004D559D" w:rsidRPr="0066263B" w:rsidRDefault="004D559D" w:rsidP="00C40EE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целях РГМ в 2021 году из контрольных населённых пунктов, входящих в зоны радиоактивного загрязнения, было отобрано и исследовано 1 688 проб пищевых продуктов (молока, картофеля, овощей, мяса) из ЛПХ и дикорастущей продукции (грибов и ягод лесных, мяса диких животных, рыбы из местных водоёмов) (2020 – 1 808). Выполнено 1 856 исследований и измерений </w:t>
      </w:r>
      <w:proofErr w:type="spellStart"/>
      <w:r w:rsidRPr="0066263B">
        <w:rPr>
          <w:rFonts w:ascii="Times New Roman" w:eastAsia="Times New Roman" w:hAnsi="Times New Roman" w:cs="Times New Roman"/>
          <w:sz w:val="24"/>
          <w:szCs w:val="24"/>
          <w:lang w:eastAsia="ru-RU"/>
        </w:rPr>
        <w:t>гамма-спектрометрическим</w:t>
      </w:r>
      <w:proofErr w:type="spellEnd"/>
      <w:r w:rsidRPr="0066263B">
        <w:rPr>
          <w:rFonts w:ascii="Times New Roman" w:eastAsia="Times New Roman" w:hAnsi="Times New Roman" w:cs="Times New Roman"/>
          <w:sz w:val="24"/>
          <w:szCs w:val="24"/>
          <w:lang w:eastAsia="ru-RU"/>
        </w:rPr>
        <w:t xml:space="preserve"> и </w:t>
      </w:r>
      <w:proofErr w:type="gramStart"/>
      <w:r w:rsidRPr="0066263B">
        <w:rPr>
          <w:rFonts w:ascii="Times New Roman" w:eastAsia="Times New Roman" w:hAnsi="Times New Roman" w:cs="Times New Roman"/>
          <w:sz w:val="24"/>
          <w:szCs w:val="24"/>
          <w:lang w:eastAsia="ru-RU"/>
        </w:rPr>
        <w:t>радиохимическим</w:t>
      </w:r>
      <w:proofErr w:type="gramEnd"/>
      <w:r w:rsidRPr="0066263B">
        <w:rPr>
          <w:rFonts w:ascii="Times New Roman" w:eastAsia="Times New Roman" w:hAnsi="Times New Roman" w:cs="Times New Roman"/>
          <w:sz w:val="24"/>
          <w:szCs w:val="24"/>
          <w:lang w:eastAsia="ru-RU"/>
        </w:rPr>
        <w:t xml:space="preserve"> </w:t>
      </w:r>
      <w:bookmarkStart w:id="5" w:name="_Hlk93912003"/>
      <w:r w:rsidRPr="0066263B">
        <w:rPr>
          <w:rFonts w:ascii="Times New Roman" w:eastAsia="Times New Roman" w:hAnsi="Times New Roman" w:cs="Times New Roman"/>
          <w:sz w:val="24"/>
          <w:szCs w:val="24"/>
          <w:lang w:eastAsia="ru-RU"/>
        </w:rPr>
        <w:t xml:space="preserve">методами по определению цезия-137 </w:t>
      </w:r>
      <w:bookmarkEnd w:id="5"/>
      <w:r w:rsidRPr="0066263B">
        <w:rPr>
          <w:rFonts w:ascii="Times New Roman" w:eastAsia="Times New Roman" w:hAnsi="Times New Roman" w:cs="Times New Roman"/>
          <w:sz w:val="24"/>
          <w:szCs w:val="24"/>
          <w:lang w:eastAsia="ru-RU"/>
        </w:rPr>
        <w:t>и стронция-90 (2020 – 1 955).</w:t>
      </w:r>
    </w:p>
    <w:p w:rsidR="004D559D" w:rsidRPr="0066263B" w:rsidRDefault="004D559D" w:rsidP="004D559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Случаи превышения допустимого содержания цезия-137 сохраняются в дикорастущей продукции (грибах и ягодах лесных, мясе-дичи, рыбе из местных водоёмов) и в молоке из личных подсобных хозяйств (далее – ЛПХ).</w:t>
      </w:r>
    </w:p>
    <w:p w:rsidR="004D559D" w:rsidRPr="0066263B" w:rsidRDefault="004D559D" w:rsidP="004D559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Содержание радионуклида цезия-137 в продуктах питания из личных подсобных хозяйств значительно ниже допустимых уровней за исключением одной пробы молока.</w:t>
      </w:r>
    </w:p>
    <w:p w:rsidR="004D559D" w:rsidRPr="0066263B" w:rsidRDefault="004D559D" w:rsidP="004D559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исследовано из ЛПХ юго-западных территорий 398 проб молока и лишь в 1 пробе зарегистрировано превышение допустимого уровня. Удельный вес проб молока из ЛПХ с результатами, превышающими нормативы, составляет 0,3%, что ниже, чем в предыдущие два года (2020 – 0,6%; 2019 – 1,2%).</w:t>
      </w:r>
    </w:p>
    <w:p w:rsidR="004D559D" w:rsidRPr="0066263B" w:rsidRDefault="004D559D" w:rsidP="004D559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Среднее значение удельной активности цезия-137 в молоке в 2021 году составило 12,1 Бк/л, что ниже уровня прошлых лет (2020 – 14,7 Бк/л; 2019 – 13,3 Бк/л). Максимальная удельная активность цезия-137 – 105,1 Бк/л (норматив – 100 Бк/л).</w:t>
      </w:r>
    </w:p>
    <w:p w:rsidR="004D559D" w:rsidRPr="0066263B" w:rsidRDefault="004D559D" w:rsidP="004D559D">
      <w:pPr>
        <w:spacing w:before="0" w:after="0"/>
        <w:ind w:firstLine="709"/>
        <w:rPr>
          <w:rFonts w:ascii="Times New Roman" w:eastAsia="Times New Roman" w:hAnsi="Times New Roman" w:cs="Times New Roman"/>
          <w:sz w:val="24"/>
          <w:szCs w:val="24"/>
          <w:lang w:eastAsia="ru-RU"/>
        </w:rPr>
      </w:pPr>
    </w:p>
    <w:p w:rsidR="001D03F2" w:rsidRPr="0066263B" w:rsidRDefault="001D03F2" w:rsidP="004D559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Информация по количеству отобранных проб, содержанию удельных активностей (средней и максимальной) цезия-137 в пробах продуктов питания из ЛПХ (молоко, картофель, овощи) и дикорастущей пищевой продукции (грибы и ягоды лесные, рыба местных водоёмов и мясо диких животных) юго-западных территорий области представлена в таблице 44.</w:t>
      </w:r>
    </w:p>
    <w:p w:rsidR="001D03F2" w:rsidRPr="0066263B" w:rsidRDefault="001D03F2" w:rsidP="001D03F2">
      <w:pPr>
        <w:spacing w:before="0" w:after="0"/>
        <w:ind w:firstLine="709"/>
        <w:jc w:val="right"/>
        <w:rPr>
          <w:rFonts w:ascii="Times New Roman" w:eastAsia="Calibri" w:hAnsi="Times New Roman" w:cs="Times New Roman"/>
        </w:rPr>
      </w:pPr>
    </w:p>
    <w:p w:rsidR="001D03F2" w:rsidRPr="0066263B" w:rsidRDefault="001D03F2" w:rsidP="001D03F2">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44</w:t>
      </w:r>
      <w:r w:rsidR="006C34E2" w:rsidRPr="0066263B">
        <w:rPr>
          <w:rFonts w:ascii="Times New Roman" w:eastAsia="Calibri" w:hAnsi="Times New Roman" w:cs="Times New Roman"/>
        </w:rPr>
        <w:fldChar w:fldCharType="end"/>
      </w:r>
    </w:p>
    <w:p w:rsidR="001D03F2" w:rsidRPr="0066263B" w:rsidRDefault="001D03F2" w:rsidP="001D03F2">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Содержание цезия-137 в продуктах питания из личных подсобных хозяйств и дикорастущих пищевых продуктах на территории юго-западных районов</w:t>
      </w:r>
      <w:r w:rsidRPr="0066263B">
        <w:rPr>
          <w:rFonts w:ascii="Times New Roman" w:eastAsia="Times New Roman" w:hAnsi="Times New Roman" w:cs="Times New Roman"/>
          <w:b/>
          <w:bCs/>
          <w:lang w:eastAsia="ru-RU"/>
        </w:rPr>
        <w:br/>
        <w:t>Брянской области в 2021 году</w:t>
      </w:r>
    </w:p>
    <w:p w:rsidR="001D03F2" w:rsidRPr="0066263B" w:rsidRDefault="001D03F2" w:rsidP="001D03F2">
      <w:pPr>
        <w:spacing w:before="0" w:after="0"/>
        <w:jc w:val="center"/>
        <w:rPr>
          <w:rFonts w:ascii="Times New Roman" w:eastAsia="Times New Roman" w:hAnsi="Times New Roman" w:cs="Times New Roman"/>
          <w:b/>
          <w:bCs/>
          <w:lang w:eastAsia="ru-RU"/>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967"/>
        <w:gridCol w:w="940"/>
        <w:gridCol w:w="889"/>
        <w:gridCol w:w="897"/>
        <w:gridCol w:w="844"/>
        <w:gridCol w:w="844"/>
        <w:gridCol w:w="723"/>
        <w:gridCol w:w="1313"/>
      </w:tblGrid>
      <w:tr w:rsidR="001D03F2" w:rsidRPr="0066263B" w:rsidTr="001D03F2">
        <w:trPr>
          <w:jc w:val="center"/>
        </w:trPr>
        <w:tc>
          <w:tcPr>
            <w:tcW w:w="1807" w:type="dxa"/>
            <w:vMerge w:val="restart"/>
            <w:tcBorders>
              <w:top w:val="single" w:sz="4" w:space="0" w:color="auto"/>
              <w:left w:val="single" w:sz="4" w:space="0" w:color="auto"/>
              <w:bottom w:val="single" w:sz="4" w:space="0" w:color="auto"/>
              <w:right w:val="single" w:sz="4" w:space="0" w:color="auto"/>
            </w:tcBorders>
          </w:tcPr>
          <w:p w:rsidR="001D03F2" w:rsidRPr="0066263B" w:rsidRDefault="001D03F2" w:rsidP="00461BAC">
            <w:pPr>
              <w:spacing w:before="20" w:after="20"/>
              <w:jc w:val="center"/>
              <w:rPr>
                <w:rFonts w:ascii="Times New Roman" w:eastAsia="Times New Roman" w:hAnsi="Times New Roman" w:cs="Times New Roman"/>
                <w:b/>
                <w:i/>
                <w:lang w:eastAsia="ru-RU"/>
              </w:rPr>
            </w:pPr>
          </w:p>
        </w:tc>
        <w:tc>
          <w:tcPr>
            <w:tcW w:w="2796" w:type="dxa"/>
            <w:gridSpan w:val="3"/>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Продукты питания из ЛПХ</w:t>
            </w:r>
          </w:p>
        </w:tc>
        <w:tc>
          <w:tcPr>
            <w:tcW w:w="4621" w:type="dxa"/>
            <w:gridSpan w:val="5"/>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Дикорастущие пищевые продукты</w:t>
            </w:r>
          </w:p>
        </w:tc>
      </w:tr>
      <w:tr w:rsidR="001D03F2" w:rsidRPr="0066263B" w:rsidTr="001D03F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504B69">
            <w:pPr>
              <w:rPr>
                <w:b/>
                <w:bCs/>
                <w:sz w:val="20"/>
                <w:szCs w:val="20"/>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Молоко</w:t>
            </w:r>
          </w:p>
        </w:tc>
        <w:tc>
          <w:tcPr>
            <w:tcW w:w="940"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proofErr w:type="spellStart"/>
            <w:proofErr w:type="gramStart"/>
            <w:r w:rsidRPr="0066263B">
              <w:rPr>
                <w:rFonts w:ascii="Times New Roman" w:eastAsia="Times New Roman" w:hAnsi="Times New Roman" w:cs="Times New Roman"/>
                <w:b/>
                <w:i/>
                <w:lang w:eastAsia="ru-RU"/>
              </w:rPr>
              <w:t>Карто-фель</w:t>
            </w:r>
            <w:proofErr w:type="spellEnd"/>
            <w:proofErr w:type="gramEnd"/>
          </w:p>
        </w:tc>
        <w:tc>
          <w:tcPr>
            <w:tcW w:w="889"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Овощи</w:t>
            </w:r>
          </w:p>
        </w:tc>
        <w:tc>
          <w:tcPr>
            <w:tcW w:w="89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Ягоды лесные</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Грибы</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Грибы сухие</w:t>
            </w:r>
          </w:p>
        </w:tc>
        <w:tc>
          <w:tcPr>
            <w:tcW w:w="72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Рыба</w:t>
            </w:r>
          </w:p>
        </w:tc>
        <w:tc>
          <w:tcPr>
            <w:tcW w:w="131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Мясо диких животных</w:t>
            </w:r>
          </w:p>
        </w:tc>
      </w:tr>
      <w:tr w:rsidR="001D03F2" w:rsidRPr="0066263B" w:rsidTr="001D03F2">
        <w:trPr>
          <w:jc w:val="center"/>
        </w:trPr>
        <w:tc>
          <w:tcPr>
            <w:tcW w:w="1807" w:type="dxa"/>
            <w:tcBorders>
              <w:top w:val="single" w:sz="4" w:space="0" w:color="auto"/>
              <w:left w:val="single" w:sz="4" w:space="0" w:color="auto"/>
              <w:bottom w:val="single" w:sz="4" w:space="0" w:color="auto"/>
              <w:right w:val="single" w:sz="4" w:space="0" w:color="auto"/>
            </w:tcBorders>
            <w:hideMark/>
          </w:tcPr>
          <w:p w:rsidR="001D03F2" w:rsidRPr="0066263B" w:rsidRDefault="001D03F2" w:rsidP="001D03F2">
            <w:pPr>
              <w:spacing w:before="20" w:after="20"/>
              <w:jc w:val="left"/>
              <w:rPr>
                <w:rFonts w:ascii="Times New Roman" w:eastAsia="Times New Roman" w:hAnsi="Times New Roman" w:cs="Times New Roman"/>
                <w:lang w:eastAsia="ru-RU"/>
              </w:rPr>
            </w:pPr>
            <w:bookmarkStart w:id="6" w:name="_Hlk94098794"/>
            <w:r w:rsidRPr="0066263B">
              <w:rPr>
                <w:rFonts w:ascii="Times New Roman" w:eastAsia="Times New Roman" w:hAnsi="Times New Roman" w:cs="Times New Roman"/>
                <w:lang w:eastAsia="ru-RU"/>
              </w:rPr>
              <w:t>Количество исследуемых проб</w:t>
            </w:r>
          </w:p>
        </w:tc>
        <w:tc>
          <w:tcPr>
            <w:tcW w:w="96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398</w:t>
            </w:r>
          </w:p>
        </w:tc>
        <w:tc>
          <w:tcPr>
            <w:tcW w:w="940"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591</w:t>
            </w:r>
          </w:p>
        </w:tc>
        <w:tc>
          <w:tcPr>
            <w:tcW w:w="889"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185</w:t>
            </w:r>
          </w:p>
        </w:tc>
        <w:tc>
          <w:tcPr>
            <w:tcW w:w="89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172</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w:t>
            </w:r>
          </w:p>
        </w:tc>
        <w:tc>
          <w:tcPr>
            <w:tcW w:w="72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w:t>
            </w:r>
          </w:p>
        </w:tc>
        <w:tc>
          <w:tcPr>
            <w:tcW w:w="131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r>
      <w:tr w:rsidR="001D03F2" w:rsidRPr="0066263B" w:rsidTr="001D03F2">
        <w:trPr>
          <w:jc w:val="center"/>
        </w:trPr>
        <w:tc>
          <w:tcPr>
            <w:tcW w:w="1807" w:type="dxa"/>
            <w:tcBorders>
              <w:top w:val="single" w:sz="4" w:space="0" w:color="auto"/>
              <w:left w:val="single" w:sz="4" w:space="0" w:color="auto"/>
              <w:bottom w:val="single" w:sz="4" w:space="0" w:color="auto"/>
              <w:right w:val="single" w:sz="4" w:space="0" w:color="auto"/>
            </w:tcBorders>
            <w:hideMark/>
          </w:tcPr>
          <w:p w:rsidR="001D03F2" w:rsidRPr="0066263B" w:rsidRDefault="001D03F2" w:rsidP="001D03F2">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т.ч. выше СанПиН</w:t>
            </w:r>
            <w:proofErr w:type="gramStart"/>
            <w:r w:rsidRPr="0066263B">
              <w:rPr>
                <w:rFonts w:ascii="Times New Roman" w:eastAsia="Times New Roman" w:hAnsi="Times New Roman" w:cs="Times New Roman"/>
                <w:lang w:eastAsia="ru-RU"/>
              </w:rPr>
              <w:t>, (%)</w:t>
            </w:r>
            <w:proofErr w:type="gramEnd"/>
          </w:p>
        </w:tc>
        <w:tc>
          <w:tcPr>
            <w:tcW w:w="96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r w:rsidRPr="0066263B">
              <w:rPr>
                <w:rFonts w:ascii="Times New Roman" w:eastAsia="Times New Roman" w:hAnsi="Times New Roman" w:cs="Times New Roman"/>
                <w:lang w:eastAsia="ru-RU"/>
              </w:rPr>
              <w:br/>
              <w:t>(0,3)</w:t>
            </w:r>
          </w:p>
        </w:tc>
        <w:tc>
          <w:tcPr>
            <w:tcW w:w="940"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889"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89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w:t>
            </w:r>
            <w:r w:rsidRPr="0066263B">
              <w:rPr>
                <w:rFonts w:ascii="Times New Roman" w:eastAsia="Times New Roman" w:hAnsi="Times New Roman" w:cs="Times New Roman"/>
                <w:lang w:eastAsia="ru-RU"/>
              </w:rPr>
              <w:br/>
              <w:t>(49,3)</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w:t>
            </w:r>
            <w:r w:rsidRPr="0066263B">
              <w:rPr>
                <w:rFonts w:ascii="Times New Roman" w:eastAsia="Times New Roman" w:hAnsi="Times New Roman" w:cs="Times New Roman"/>
                <w:lang w:eastAsia="ru-RU"/>
              </w:rPr>
              <w:br/>
              <w:t>(38,4)</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w:t>
            </w:r>
            <w:r w:rsidRPr="0066263B">
              <w:rPr>
                <w:rFonts w:ascii="Times New Roman" w:eastAsia="Times New Roman" w:hAnsi="Times New Roman" w:cs="Times New Roman"/>
                <w:lang w:eastAsia="ru-RU"/>
              </w:rPr>
              <w:br/>
              <w:t>(72,7)</w:t>
            </w:r>
          </w:p>
        </w:tc>
        <w:tc>
          <w:tcPr>
            <w:tcW w:w="72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31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r w:rsidRPr="0066263B">
              <w:rPr>
                <w:rFonts w:ascii="Times New Roman" w:eastAsia="Times New Roman" w:hAnsi="Times New Roman" w:cs="Times New Roman"/>
                <w:lang w:eastAsia="ru-RU"/>
              </w:rPr>
              <w:br/>
              <w:t>(40,0)</w:t>
            </w:r>
          </w:p>
        </w:tc>
      </w:tr>
      <w:tr w:rsidR="001D03F2" w:rsidRPr="0066263B" w:rsidTr="001D03F2">
        <w:trPr>
          <w:jc w:val="center"/>
        </w:trPr>
        <w:tc>
          <w:tcPr>
            <w:tcW w:w="1807" w:type="dxa"/>
            <w:tcBorders>
              <w:top w:val="single" w:sz="4" w:space="0" w:color="auto"/>
              <w:left w:val="single" w:sz="4" w:space="0" w:color="auto"/>
              <w:bottom w:val="single" w:sz="4" w:space="0" w:color="auto"/>
              <w:right w:val="single" w:sz="4" w:space="0" w:color="auto"/>
            </w:tcBorders>
            <w:hideMark/>
          </w:tcPr>
          <w:p w:rsidR="001D03F2" w:rsidRPr="0066263B" w:rsidRDefault="001D03F2" w:rsidP="001D03F2">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Удельная активность (Бк/к</w:t>
            </w:r>
            <w:proofErr w:type="gramStart"/>
            <w:r w:rsidRPr="0066263B">
              <w:rPr>
                <w:rFonts w:ascii="Times New Roman" w:eastAsia="Times New Roman" w:hAnsi="Times New Roman" w:cs="Times New Roman"/>
                <w:lang w:eastAsia="ru-RU"/>
              </w:rPr>
              <w:t>г(</w:t>
            </w:r>
            <w:proofErr w:type="gramEnd"/>
            <w:r w:rsidRPr="0066263B">
              <w:rPr>
                <w:rFonts w:ascii="Times New Roman" w:eastAsia="Times New Roman" w:hAnsi="Times New Roman" w:cs="Times New Roman"/>
                <w:lang w:eastAsia="ru-RU"/>
              </w:rPr>
              <w:t>л), А ср.</w:t>
            </w:r>
          </w:p>
        </w:tc>
        <w:tc>
          <w:tcPr>
            <w:tcW w:w="96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12,1</w:t>
            </w:r>
          </w:p>
        </w:tc>
        <w:tc>
          <w:tcPr>
            <w:tcW w:w="940"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7,0</w:t>
            </w:r>
          </w:p>
        </w:tc>
        <w:tc>
          <w:tcPr>
            <w:tcW w:w="889"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w:t>
            </w:r>
          </w:p>
        </w:tc>
        <w:tc>
          <w:tcPr>
            <w:tcW w:w="89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254,9</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662,6</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7542,3</w:t>
            </w:r>
          </w:p>
        </w:tc>
        <w:tc>
          <w:tcPr>
            <w:tcW w:w="72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43,2</w:t>
            </w:r>
          </w:p>
        </w:tc>
        <w:tc>
          <w:tcPr>
            <w:tcW w:w="131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1277,4</w:t>
            </w:r>
          </w:p>
        </w:tc>
      </w:tr>
      <w:tr w:rsidR="001D03F2" w:rsidRPr="0066263B" w:rsidTr="001D03F2">
        <w:trPr>
          <w:jc w:val="center"/>
        </w:trPr>
        <w:tc>
          <w:tcPr>
            <w:tcW w:w="1807" w:type="dxa"/>
            <w:tcBorders>
              <w:top w:val="single" w:sz="4" w:space="0" w:color="auto"/>
              <w:left w:val="single" w:sz="4" w:space="0" w:color="auto"/>
              <w:bottom w:val="single" w:sz="4" w:space="0" w:color="auto"/>
              <w:right w:val="single" w:sz="4" w:space="0" w:color="auto"/>
            </w:tcBorders>
            <w:hideMark/>
          </w:tcPr>
          <w:p w:rsidR="001D03F2" w:rsidRPr="0066263B" w:rsidRDefault="001D03F2" w:rsidP="001D03F2">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Удельная активность, (Бк/к</w:t>
            </w:r>
            <w:proofErr w:type="gramStart"/>
            <w:r w:rsidRPr="0066263B">
              <w:rPr>
                <w:rFonts w:ascii="Times New Roman" w:eastAsia="Times New Roman" w:hAnsi="Times New Roman" w:cs="Times New Roman"/>
                <w:lang w:eastAsia="ru-RU"/>
              </w:rPr>
              <w:t>г(</w:t>
            </w:r>
            <w:proofErr w:type="gramEnd"/>
            <w:r w:rsidRPr="0066263B">
              <w:rPr>
                <w:rFonts w:ascii="Times New Roman" w:eastAsia="Times New Roman" w:hAnsi="Times New Roman" w:cs="Times New Roman"/>
                <w:lang w:eastAsia="ru-RU"/>
              </w:rPr>
              <w:t xml:space="preserve">л), А </w:t>
            </w:r>
            <w:proofErr w:type="spellStart"/>
            <w:r w:rsidRPr="0066263B">
              <w:rPr>
                <w:rFonts w:ascii="Times New Roman" w:eastAsia="Times New Roman" w:hAnsi="Times New Roman" w:cs="Times New Roman"/>
                <w:lang w:eastAsia="ru-RU"/>
              </w:rPr>
              <w:t>max</w:t>
            </w:r>
            <w:proofErr w:type="spellEnd"/>
          </w:p>
        </w:tc>
        <w:tc>
          <w:tcPr>
            <w:tcW w:w="96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105,1</w:t>
            </w:r>
          </w:p>
        </w:tc>
        <w:tc>
          <w:tcPr>
            <w:tcW w:w="940"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46,2</w:t>
            </w:r>
          </w:p>
        </w:tc>
        <w:tc>
          <w:tcPr>
            <w:tcW w:w="889"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49,5</w:t>
            </w:r>
          </w:p>
        </w:tc>
        <w:tc>
          <w:tcPr>
            <w:tcW w:w="897"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1184,0</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4823,0</w:t>
            </w:r>
          </w:p>
        </w:tc>
        <w:tc>
          <w:tcPr>
            <w:tcW w:w="844"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38400</w:t>
            </w:r>
          </w:p>
        </w:tc>
        <w:tc>
          <w:tcPr>
            <w:tcW w:w="72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92,4</w:t>
            </w:r>
          </w:p>
        </w:tc>
        <w:tc>
          <w:tcPr>
            <w:tcW w:w="1313" w:type="dxa"/>
            <w:tcBorders>
              <w:top w:val="single" w:sz="4" w:space="0" w:color="auto"/>
              <w:left w:val="single" w:sz="4" w:space="0" w:color="auto"/>
              <w:bottom w:val="single" w:sz="4" w:space="0" w:color="auto"/>
              <w:right w:val="single" w:sz="4" w:space="0" w:color="auto"/>
            </w:tcBorders>
            <w:vAlign w:val="center"/>
            <w:hideMark/>
          </w:tcPr>
          <w:p w:rsidR="001D03F2" w:rsidRPr="0066263B" w:rsidRDefault="001D03F2" w:rsidP="001D03F2">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5601,0</w:t>
            </w:r>
          </w:p>
        </w:tc>
      </w:tr>
      <w:bookmarkEnd w:id="6"/>
    </w:tbl>
    <w:p w:rsidR="001D03F2" w:rsidRPr="0066263B" w:rsidRDefault="001D03F2" w:rsidP="004D559D">
      <w:pPr>
        <w:spacing w:before="0" w:after="0"/>
        <w:ind w:firstLine="709"/>
        <w:rPr>
          <w:rFonts w:ascii="Times New Roman" w:eastAsia="Times New Roman" w:hAnsi="Times New Roman" w:cs="Times New Roman"/>
          <w:sz w:val="24"/>
          <w:szCs w:val="24"/>
          <w:lang w:eastAsia="ru-RU"/>
        </w:rPr>
      </w:pPr>
    </w:p>
    <w:p w:rsidR="00461BAC" w:rsidRPr="0066263B" w:rsidRDefault="00461BAC" w:rsidP="00461B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территориях, подвергшихся радиоактивному загрязнению вследствие аварии на ЧАЭС, остаётся загрязненной лишь дикорастущая пищевая продукция. Анализ результатов мониторинга дикорастущей пищевой продукции показывает, что удельный вес проб с превышением допустимого уровня в 2021 году остаётся высоким: в грибах – 38,4%; в грибах сухих – 72,7%; в ягодах лесных – 49,3%. Максимальные значения удельных активностей цезия-137 в дикорастущей продукции также высокие и составляют: в грибах – 4 823 Бк/кг (норматив – 500 Бк/кг), в грибах сухих – 38 400 Бк/кг (норматив – 2 500 Бк/кг), в ягодах лесных – 1 184 Бк/кг (норматив – 160 Бк/кг).</w:t>
      </w:r>
    </w:p>
    <w:p w:rsidR="00461BAC" w:rsidRPr="0066263B" w:rsidRDefault="00461BAC" w:rsidP="00461B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Для получения данных по содержанию цезия-137 и стронция-90 в </w:t>
      </w:r>
      <w:proofErr w:type="spellStart"/>
      <w:r w:rsidRPr="0066263B">
        <w:rPr>
          <w:rFonts w:ascii="Times New Roman" w:eastAsia="Times New Roman" w:hAnsi="Times New Roman" w:cs="Times New Roman"/>
          <w:sz w:val="24"/>
          <w:szCs w:val="24"/>
          <w:lang w:eastAsia="ru-RU"/>
        </w:rPr>
        <w:t>дозообразующей</w:t>
      </w:r>
      <w:proofErr w:type="spellEnd"/>
      <w:r w:rsidRPr="0066263B">
        <w:rPr>
          <w:rFonts w:ascii="Times New Roman" w:eastAsia="Times New Roman" w:hAnsi="Times New Roman" w:cs="Times New Roman"/>
          <w:sz w:val="24"/>
          <w:szCs w:val="24"/>
          <w:lang w:eastAsia="ru-RU"/>
        </w:rPr>
        <w:t xml:space="preserve"> пищевой продукции (молока и картофеля из личных подсобных хозяйств) с целью </w:t>
      </w:r>
      <w:proofErr w:type="gramStart"/>
      <w:r w:rsidRPr="0066263B">
        <w:rPr>
          <w:rFonts w:ascii="Times New Roman" w:eastAsia="Times New Roman" w:hAnsi="Times New Roman" w:cs="Times New Roman"/>
          <w:sz w:val="24"/>
          <w:szCs w:val="24"/>
          <w:lang w:eastAsia="ru-RU"/>
        </w:rPr>
        <w:t>оценки доз внутреннего облучения населения юго-западных территорий</w:t>
      </w:r>
      <w:proofErr w:type="gramEnd"/>
      <w:r w:rsidRPr="0066263B">
        <w:rPr>
          <w:rFonts w:ascii="Times New Roman" w:eastAsia="Times New Roman" w:hAnsi="Times New Roman" w:cs="Times New Roman"/>
          <w:sz w:val="24"/>
          <w:szCs w:val="24"/>
          <w:lang w:eastAsia="ru-RU"/>
        </w:rPr>
        <w:t xml:space="preserve"> и из контрольных населённых пунктов восточных территорий области проводились радиохимические исследования. Всего в 2021 году проведено 275 исследований, в том числе 40 исследований из восточных территорий с льготным социально-экономическим статусом. Максимальное значение содержания цезия-137 в молоке населённых пунктов восточных районов области составляет 0,6 Бк/л, в картофеле – 0,7 Бк/кг и максимальное содержание стронция-90 в молоке – 0,15 Бк/л, в картофеле – 0,13 Бк/кг. На территориях юго-западных районов по результатам радиохимических исследований максимальные значения содержания стронция-90 в молоке – 2,1 Бк/л и в картофеле – 1,4 Бк/кг.</w:t>
      </w:r>
    </w:p>
    <w:p w:rsidR="00461BAC" w:rsidRPr="0066263B" w:rsidRDefault="00461BAC" w:rsidP="00461B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результатам радиационно-гигиенического мониторинга ведётся база данных содержания радионуклидов цезия-137 и стронция-90 в продуктах питания местного производства и с 2016 года вносится информация в «Региональную базу данных средних годовых эффективных доз облучения населения».</w:t>
      </w:r>
    </w:p>
    <w:p w:rsidR="00461BAC" w:rsidRPr="0066263B" w:rsidRDefault="00461BAC" w:rsidP="00461B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2019-2021 г.г. в рамках договора с ФБУН «Санкт-Петербургский научно-исследовательский институт радиационной гигиены имени профессора П.В. </w:t>
      </w:r>
      <w:proofErr w:type="spellStart"/>
      <w:r w:rsidRPr="0066263B">
        <w:rPr>
          <w:rFonts w:ascii="Times New Roman" w:eastAsia="Times New Roman" w:hAnsi="Times New Roman" w:cs="Times New Roman"/>
          <w:sz w:val="24"/>
          <w:szCs w:val="24"/>
          <w:lang w:eastAsia="ru-RU"/>
        </w:rPr>
        <w:t>Рамзаева</w:t>
      </w:r>
      <w:proofErr w:type="spellEnd"/>
      <w:r w:rsidRPr="0066263B">
        <w:rPr>
          <w:rFonts w:ascii="Times New Roman" w:eastAsia="Times New Roman" w:hAnsi="Times New Roman" w:cs="Times New Roman"/>
          <w:sz w:val="24"/>
          <w:szCs w:val="24"/>
          <w:lang w:eastAsia="ru-RU"/>
        </w:rPr>
        <w:t xml:space="preserve">» проводились работы в рамках «Программы совместной деятельности России и Беларуси в рамках Союзного государства по защите населения и реабилитации территорий, пострадавших в результате катастрофы на Чернобыльской АЭС», по теме: «Проведение совместных мероприятий по комплексному радиоэкологическому мониторингу территорий России и Беларуси, подвергшихся радиоактивному загрязнению: сбор, обобщение и экспертиза данных радиационного мониторинга, проводимого в 2019-2022 г.г. в приграничных с Беларусью населённых пунктах Брянской области. Отбор проб пищевых продуктов в 262 обследуемых в 2019-2022 г.г. приграничных с Беларусью населённых пунктах и их </w:t>
      </w:r>
      <w:proofErr w:type="spellStart"/>
      <w:proofErr w:type="gramStart"/>
      <w:r w:rsidRPr="0066263B">
        <w:rPr>
          <w:rFonts w:ascii="Times New Roman" w:eastAsia="Times New Roman" w:hAnsi="Times New Roman" w:cs="Times New Roman"/>
          <w:sz w:val="24"/>
          <w:szCs w:val="24"/>
          <w:lang w:eastAsia="ru-RU"/>
        </w:rPr>
        <w:t>гамма-спектрометрический</w:t>
      </w:r>
      <w:proofErr w:type="spellEnd"/>
      <w:proofErr w:type="gramEnd"/>
      <w:r w:rsidRPr="0066263B">
        <w:rPr>
          <w:rFonts w:ascii="Times New Roman" w:eastAsia="Times New Roman" w:hAnsi="Times New Roman" w:cs="Times New Roman"/>
          <w:sz w:val="24"/>
          <w:szCs w:val="24"/>
          <w:lang w:eastAsia="ru-RU"/>
        </w:rPr>
        <w:t xml:space="preserve"> и радиохимический анализ. Оценка индивидуальных доз внешнего облучения жителей». Работа по этой теме будет продолжена в 2022 году. Цель работы: создание условий безопасной жизнедеятельности населения на радиоактивно загрязнённых территориях государств-участников Союзного государства, пострадавших вследствие чернобыльской катастрофы.</w:t>
      </w:r>
    </w:p>
    <w:p w:rsidR="00461BAC" w:rsidRPr="0066263B" w:rsidRDefault="00461BAC" w:rsidP="00461B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Результаты радиационно-гигиенического мониторинга продуктов питания и продовольственного сырья используются для расчёта и оценки годовых эффективных доз внутреннего облучения населения, составления радиационно-гигиенического паспорта Брянской области и загрязненных территорий области, а также для обеспечения информацией населения о недопущении употребления загрязненной радионуклидами продукции из личных подсобных хозяйств и дикорастущей продукции.</w:t>
      </w:r>
    </w:p>
    <w:p w:rsidR="00461BAC" w:rsidRPr="0066263B" w:rsidRDefault="00461BAC" w:rsidP="00461BAC">
      <w:pPr>
        <w:spacing w:before="0" w:after="0"/>
        <w:ind w:firstLine="709"/>
        <w:rPr>
          <w:rFonts w:ascii="Times New Roman" w:eastAsia="Times New Roman" w:hAnsi="Times New Roman" w:cs="Times New Roman"/>
          <w:sz w:val="24"/>
          <w:szCs w:val="24"/>
          <w:lang w:eastAsia="ru-RU"/>
        </w:rPr>
      </w:pPr>
    </w:p>
    <w:p w:rsidR="00324483" w:rsidRPr="0066263B" w:rsidRDefault="00324483" w:rsidP="00950D6E">
      <w:pPr>
        <w:spacing w:before="0" w:after="0"/>
        <w:ind w:firstLine="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Радиационный контроль питьевой воды</w:t>
      </w:r>
    </w:p>
    <w:p w:rsidR="00D7335D" w:rsidRPr="0066263B" w:rsidRDefault="00D7335D" w:rsidP="00D7335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Контроль качества воды на радиационную безопасность проводился по определению показателей радиационной безопасности (удельной суммарной </w:t>
      </w:r>
      <w:proofErr w:type="spellStart"/>
      <w:proofErr w:type="gramStart"/>
      <w:r w:rsidRPr="0066263B">
        <w:rPr>
          <w:rFonts w:ascii="Times New Roman" w:eastAsia="Times New Roman" w:hAnsi="Times New Roman" w:cs="Times New Roman"/>
          <w:sz w:val="24"/>
          <w:szCs w:val="24"/>
          <w:lang w:eastAsia="ru-RU"/>
        </w:rPr>
        <w:t>альфа-активности</w:t>
      </w:r>
      <w:proofErr w:type="spellEnd"/>
      <w:proofErr w:type="gram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бета-активности</w:t>
      </w:r>
      <w:proofErr w:type="spellEnd"/>
      <w:r w:rsidR="009105CD"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w:t>
      </w:r>
      <w:r w:rsidR="009105CD" w:rsidRPr="0066263B">
        <w:rPr>
          <w:rFonts w:ascii="Times New Roman" w:eastAsia="Times New Roman" w:hAnsi="Times New Roman" w:cs="Times New Roman"/>
          <w:sz w:val="24"/>
          <w:szCs w:val="24"/>
          <w:lang w:eastAsia="ru-RU"/>
        </w:rPr>
        <w:t xml:space="preserve">радону-222 </w:t>
      </w:r>
      <w:r w:rsidRPr="0066263B">
        <w:rPr>
          <w:rFonts w:ascii="Times New Roman" w:eastAsia="Times New Roman" w:hAnsi="Times New Roman" w:cs="Times New Roman"/>
          <w:sz w:val="24"/>
          <w:szCs w:val="24"/>
          <w:lang w:eastAsia="ru-RU"/>
        </w:rPr>
        <w:t>и содержанию отдельных радионуклидов) на соответствие требований гигиенических нормативов.</w:t>
      </w:r>
    </w:p>
    <w:p w:rsidR="00D7335D" w:rsidRPr="0066263B" w:rsidRDefault="00D7335D" w:rsidP="00D7335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w:t>
      </w:r>
      <w:r w:rsidR="009105CD"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исследовано 1 0</w:t>
      </w:r>
      <w:r w:rsidR="009105CD" w:rsidRPr="0066263B">
        <w:rPr>
          <w:rFonts w:ascii="Times New Roman" w:eastAsia="Times New Roman" w:hAnsi="Times New Roman" w:cs="Times New Roman"/>
          <w:sz w:val="24"/>
          <w:szCs w:val="24"/>
          <w:lang w:eastAsia="ru-RU"/>
        </w:rPr>
        <w:t>75</w:t>
      </w:r>
      <w:r w:rsidRPr="0066263B">
        <w:rPr>
          <w:rFonts w:ascii="Times New Roman" w:eastAsia="Times New Roman" w:hAnsi="Times New Roman" w:cs="Times New Roman"/>
          <w:sz w:val="24"/>
          <w:szCs w:val="24"/>
          <w:lang w:eastAsia="ru-RU"/>
        </w:rPr>
        <w:t xml:space="preserve"> проб воды (</w:t>
      </w:r>
      <w:r w:rsidR="009105CD" w:rsidRPr="0066263B">
        <w:rPr>
          <w:rFonts w:ascii="Times New Roman" w:eastAsia="Times New Roman" w:hAnsi="Times New Roman" w:cs="Times New Roman"/>
          <w:sz w:val="24"/>
          <w:szCs w:val="24"/>
          <w:lang w:eastAsia="ru-RU"/>
        </w:rPr>
        <w:t xml:space="preserve">2020 – 1 003; </w:t>
      </w:r>
      <w:r w:rsidRPr="0066263B">
        <w:rPr>
          <w:rFonts w:ascii="Times New Roman" w:eastAsia="Times New Roman" w:hAnsi="Times New Roman" w:cs="Times New Roman"/>
          <w:sz w:val="24"/>
          <w:szCs w:val="24"/>
          <w:lang w:eastAsia="ru-RU"/>
        </w:rPr>
        <w:t>2019 – 874; 2018 – 1 112), проведено 3 023 исследования (</w:t>
      </w:r>
      <w:r w:rsidR="009105CD" w:rsidRPr="0066263B">
        <w:rPr>
          <w:rFonts w:ascii="Times New Roman" w:eastAsia="Times New Roman" w:hAnsi="Times New Roman" w:cs="Times New Roman"/>
          <w:sz w:val="24"/>
          <w:szCs w:val="24"/>
          <w:lang w:eastAsia="ru-RU"/>
        </w:rPr>
        <w:t xml:space="preserve">2020 – 3 023; </w:t>
      </w:r>
      <w:r w:rsidRPr="0066263B">
        <w:rPr>
          <w:rFonts w:ascii="Times New Roman" w:eastAsia="Times New Roman" w:hAnsi="Times New Roman" w:cs="Times New Roman"/>
          <w:sz w:val="24"/>
          <w:szCs w:val="24"/>
          <w:lang w:eastAsia="ru-RU"/>
        </w:rPr>
        <w:t>2019 – 2 696; 2018 – 3 299).</w:t>
      </w:r>
    </w:p>
    <w:p w:rsidR="00D7335D" w:rsidRPr="0066263B" w:rsidRDefault="00D7335D" w:rsidP="00D7335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Структура исследований проб воды за 201</w:t>
      </w:r>
      <w:r w:rsidR="00194084"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-202</w:t>
      </w:r>
      <w:r w:rsidR="0019408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г.г. практически не изменилась. Ведущее место занимают радиометрические измерения по определению суммарной альф</w:t>
      </w:r>
      <w:proofErr w:type="gramStart"/>
      <w:r w:rsidRPr="0066263B">
        <w:rPr>
          <w:rFonts w:ascii="Times New Roman" w:eastAsia="Times New Roman" w:hAnsi="Times New Roman" w:cs="Times New Roman"/>
          <w:sz w:val="24"/>
          <w:szCs w:val="24"/>
          <w:lang w:eastAsia="ru-RU"/>
        </w:rPr>
        <w:t>а-</w:t>
      </w:r>
      <w:proofErr w:type="gramEnd"/>
      <w:r w:rsidRPr="0066263B">
        <w:rPr>
          <w:rFonts w:ascii="Times New Roman" w:eastAsia="Times New Roman" w:hAnsi="Times New Roman" w:cs="Times New Roman"/>
          <w:sz w:val="24"/>
          <w:szCs w:val="24"/>
          <w:lang w:eastAsia="ru-RU"/>
        </w:rPr>
        <w:t xml:space="preserve"> и </w:t>
      </w:r>
      <w:proofErr w:type="spellStart"/>
      <w:r w:rsidRPr="0066263B">
        <w:rPr>
          <w:rFonts w:ascii="Times New Roman" w:eastAsia="Times New Roman" w:hAnsi="Times New Roman" w:cs="Times New Roman"/>
          <w:sz w:val="24"/>
          <w:szCs w:val="24"/>
          <w:lang w:eastAsia="ru-RU"/>
        </w:rPr>
        <w:t>бета-активности</w:t>
      </w:r>
      <w:proofErr w:type="spellEnd"/>
      <w:r w:rsidRPr="0066263B">
        <w:rPr>
          <w:rFonts w:ascii="Times New Roman" w:eastAsia="Times New Roman" w:hAnsi="Times New Roman" w:cs="Times New Roman"/>
          <w:sz w:val="24"/>
          <w:szCs w:val="24"/>
          <w:lang w:eastAsia="ru-RU"/>
        </w:rPr>
        <w:t xml:space="preserve">, по которым проводится оценка качества воды, и их удельный вес </w:t>
      </w:r>
      <w:r w:rsidR="00194084" w:rsidRPr="0066263B">
        <w:rPr>
          <w:rFonts w:ascii="Times New Roman" w:eastAsia="Times New Roman" w:hAnsi="Times New Roman" w:cs="Times New Roman"/>
          <w:sz w:val="24"/>
          <w:szCs w:val="24"/>
          <w:lang w:eastAsia="ru-RU"/>
        </w:rPr>
        <w:t>находится в пределах от 65,2% до 66,2%</w:t>
      </w:r>
      <w:r w:rsidR="00194084" w:rsidRPr="0066263B">
        <w:rPr>
          <w:sz w:val="24"/>
          <w:szCs w:val="24"/>
        </w:rPr>
        <w:t xml:space="preserve"> </w:t>
      </w:r>
      <w:r w:rsidRPr="0066263B">
        <w:rPr>
          <w:rFonts w:ascii="Times New Roman" w:eastAsia="Times New Roman" w:hAnsi="Times New Roman" w:cs="Times New Roman"/>
          <w:sz w:val="24"/>
          <w:szCs w:val="24"/>
          <w:lang w:eastAsia="ru-RU"/>
        </w:rPr>
        <w:t>(202</w:t>
      </w:r>
      <w:r w:rsidR="0019408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 6</w:t>
      </w:r>
      <w:r w:rsidR="00194084"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,2%).</w:t>
      </w:r>
    </w:p>
    <w:p w:rsidR="00D7335D" w:rsidRPr="0066263B" w:rsidRDefault="00D7335D" w:rsidP="00D7335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Вклад спектрометрических измерений по определению содержания природного радионуклида радона-222 составляет 3</w:t>
      </w:r>
      <w:r w:rsidR="00194084"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w:t>
      </w:r>
      <w:r w:rsidR="0019408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w:t>
      </w:r>
      <w:r w:rsidR="007D2C1D">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w:t>
      </w:r>
      <w:r w:rsidR="007D2C1D">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32,8%</w:t>
      </w:r>
      <w:r w:rsidR="00194084" w:rsidRPr="0066263B">
        <w:rPr>
          <w:rFonts w:ascii="Times New Roman" w:eastAsia="Times New Roman" w:hAnsi="Times New Roman" w:cs="Times New Roman"/>
          <w:sz w:val="24"/>
          <w:szCs w:val="24"/>
          <w:lang w:eastAsia="ru-RU"/>
        </w:rPr>
        <w:t xml:space="preserve"> (2021 – 32,3%)</w:t>
      </w:r>
      <w:r w:rsidRPr="0066263B">
        <w:rPr>
          <w:rFonts w:ascii="Times New Roman" w:eastAsia="Times New Roman" w:hAnsi="Times New Roman" w:cs="Times New Roman"/>
          <w:sz w:val="24"/>
          <w:szCs w:val="24"/>
          <w:lang w:eastAsia="ru-RU"/>
        </w:rPr>
        <w:t>.</w:t>
      </w:r>
    </w:p>
    <w:p w:rsidR="00D7335D" w:rsidRPr="0066263B" w:rsidRDefault="00D7335D" w:rsidP="00D7335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Радиохимические исследования по определению естественных и техногенных радионуклидов проводились только по результатам оценки качества воды в случаях несоответствия гигиеническим нормативам </w:t>
      </w:r>
      <w:proofErr w:type="gramStart"/>
      <w:r w:rsidRPr="0066263B">
        <w:rPr>
          <w:rFonts w:ascii="Times New Roman" w:eastAsia="Times New Roman" w:hAnsi="Times New Roman" w:cs="Times New Roman"/>
          <w:sz w:val="24"/>
          <w:szCs w:val="24"/>
          <w:lang w:eastAsia="ru-RU"/>
        </w:rPr>
        <w:t>по</w:t>
      </w:r>
      <w:proofErr w:type="gramEnd"/>
      <w:r w:rsidRPr="0066263B">
        <w:rPr>
          <w:rFonts w:ascii="Times New Roman" w:eastAsia="Times New Roman" w:hAnsi="Times New Roman" w:cs="Times New Roman"/>
          <w:sz w:val="24"/>
          <w:szCs w:val="24"/>
          <w:lang w:eastAsia="ru-RU"/>
        </w:rPr>
        <w:t xml:space="preserve"> суммарной </w:t>
      </w:r>
      <w:proofErr w:type="spellStart"/>
      <w:r w:rsidRPr="0066263B">
        <w:rPr>
          <w:rFonts w:ascii="Times New Roman" w:eastAsia="Times New Roman" w:hAnsi="Times New Roman" w:cs="Times New Roman"/>
          <w:sz w:val="24"/>
          <w:szCs w:val="24"/>
          <w:lang w:eastAsia="ru-RU"/>
        </w:rPr>
        <w:t>альфа-активности</w:t>
      </w:r>
      <w:proofErr w:type="spell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бета-активности</w:t>
      </w:r>
      <w:proofErr w:type="spellEnd"/>
      <w:r w:rsidRPr="0066263B">
        <w:rPr>
          <w:rFonts w:ascii="Times New Roman" w:eastAsia="Times New Roman" w:hAnsi="Times New Roman" w:cs="Times New Roman"/>
          <w:sz w:val="24"/>
          <w:szCs w:val="24"/>
          <w:lang w:eastAsia="ru-RU"/>
        </w:rPr>
        <w:t xml:space="preserve"> и в целях социально-гигиенического мониторинга из контрольных точек.</w:t>
      </w:r>
    </w:p>
    <w:p w:rsidR="00D7335D" w:rsidRPr="0066263B" w:rsidRDefault="00D7335D" w:rsidP="00D7335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Основной объём радиационного контроля воды составляют исследования проб воды из источников питьевого централизованного водоснабжения</w:t>
      </w:r>
      <w:r w:rsidR="00194084" w:rsidRPr="0066263B">
        <w:rPr>
          <w:rFonts w:ascii="Times New Roman" w:eastAsia="Times New Roman" w:hAnsi="Times New Roman" w:cs="Times New Roman"/>
          <w:sz w:val="24"/>
          <w:szCs w:val="24"/>
          <w:lang w:eastAsia="ru-RU"/>
        </w:rPr>
        <w:t xml:space="preserve"> и их удельный вес от общего количества исследованных проб воды около 83% (2020 –</w:t>
      </w:r>
      <w:r w:rsidRPr="0066263B">
        <w:rPr>
          <w:rFonts w:ascii="Times New Roman" w:eastAsia="Times New Roman" w:hAnsi="Times New Roman" w:cs="Times New Roman"/>
          <w:sz w:val="24"/>
          <w:szCs w:val="24"/>
          <w:lang w:eastAsia="ru-RU"/>
        </w:rPr>
        <w:t>72,5%</w:t>
      </w:r>
      <w:r w:rsidR="00194084"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2019 – 72,5%; 2018 – 77,9%).</w:t>
      </w:r>
    </w:p>
    <w:p w:rsidR="006854FF" w:rsidRPr="0066263B" w:rsidRDefault="006854FF" w:rsidP="00D7335D">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45</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Результаты исследований проб питьевой воды из источников</w:t>
      </w:r>
      <w:r w:rsidRPr="0066263B">
        <w:rPr>
          <w:rFonts w:ascii="Times New Roman" w:eastAsia="Times New Roman" w:hAnsi="Times New Roman" w:cs="Times New Roman"/>
          <w:b/>
          <w:bCs/>
          <w:lang w:eastAsia="ru-RU"/>
        </w:rPr>
        <w:br/>
        <w:t>централизованного водоснабжения</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
        <w:gridCol w:w="1320"/>
        <w:gridCol w:w="1283"/>
        <w:gridCol w:w="861"/>
        <w:gridCol w:w="833"/>
        <w:gridCol w:w="1098"/>
        <w:gridCol w:w="1393"/>
        <w:gridCol w:w="918"/>
        <w:gridCol w:w="786"/>
      </w:tblGrid>
      <w:tr w:rsidR="00324483" w:rsidRPr="0066263B" w:rsidTr="0097318F">
        <w:trPr>
          <w:jc w:val="center"/>
        </w:trPr>
        <w:tc>
          <w:tcPr>
            <w:tcW w:w="374" w:type="pct"/>
            <w:vMerge w:val="restart"/>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2341" w:type="pct"/>
            <w:gridSpan w:val="4"/>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Суммарная альфа-активность</w:t>
            </w:r>
          </w:p>
        </w:tc>
        <w:tc>
          <w:tcPr>
            <w:tcW w:w="2285" w:type="pct"/>
            <w:gridSpan w:val="4"/>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Суммарная бета-активность</w:t>
            </w:r>
          </w:p>
        </w:tc>
      </w:tr>
      <w:tr w:rsidR="00324483" w:rsidRPr="0066263B" w:rsidTr="0097318F">
        <w:trPr>
          <w:jc w:val="center"/>
        </w:trPr>
        <w:tc>
          <w:tcPr>
            <w:tcW w:w="374" w:type="pct"/>
            <w:vMerge/>
          </w:tcPr>
          <w:p w:rsidR="00324483" w:rsidRPr="0066263B" w:rsidRDefault="00324483" w:rsidP="00324483">
            <w:pPr>
              <w:spacing w:before="20" w:after="20"/>
              <w:jc w:val="center"/>
              <w:rPr>
                <w:rFonts w:ascii="Times New Roman" w:eastAsia="Times New Roman" w:hAnsi="Times New Roman" w:cs="Times New Roman"/>
                <w:b/>
                <w:sz w:val="20"/>
                <w:szCs w:val="20"/>
                <w:lang w:eastAsia="ru-RU"/>
              </w:rPr>
            </w:pPr>
          </w:p>
        </w:tc>
        <w:tc>
          <w:tcPr>
            <w:tcW w:w="719" w:type="pct"/>
            <w:vMerge w:val="restar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Кол-во,</w:t>
            </w:r>
            <w:r w:rsidRPr="0066263B">
              <w:rPr>
                <w:rFonts w:ascii="Times New Roman" w:eastAsia="Times New Roman" w:hAnsi="Times New Roman" w:cs="Times New Roman"/>
                <w:b/>
                <w:i/>
                <w:sz w:val="20"/>
                <w:szCs w:val="20"/>
                <w:lang w:eastAsia="ru-RU"/>
              </w:rPr>
              <w:br/>
              <w:t>абс.</w:t>
            </w:r>
          </w:p>
        </w:tc>
        <w:tc>
          <w:tcPr>
            <w:tcW w:w="699" w:type="pct"/>
            <w:vMerge w:val="restar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 xml:space="preserve">с </w:t>
            </w:r>
            <w:proofErr w:type="spellStart"/>
            <w:proofErr w:type="gramStart"/>
            <w:r w:rsidRPr="0066263B">
              <w:rPr>
                <w:rFonts w:ascii="Times New Roman" w:eastAsia="Times New Roman" w:hAnsi="Times New Roman" w:cs="Times New Roman"/>
                <w:b/>
                <w:i/>
                <w:sz w:val="20"/>
                <w:szCs w:val="20"/>
                <w:lang w:eastAsia="ru-RU"/>
              </w:rPr>
              <w:t>превыше-нием</w:t>
            </w:r>
            <w:proofErr w:type="spellEnd"/>
            <w:proofErr w:type="gramEnd"/>
            <w:r w:rsidRPr="0066263B">
              <w:rPr>
                <w:rFonts w:ascii="Times New Roman" w:eastAsia="Times New Roman" w:hAnsi="Times New Roman" w:cs="Times New Roman"/>
                <w:b/>
                <w:i/>
                <w:sz w:val="20"/>
                <w:szCs w:val="20"/>
                <w:lang w:eastAsia="ru-RU"/>
              </w:rPr>
              <w:t xml:space="preserve"> КУ,</w:t>
            </w:r>
            <w:r w:rsidRPr="0066263B">
              <w:rPr>
                <w:rFonts w:ascii="Times New Roman" w:eastAsia="Times New Roman" w:hAnsi="Times New Roman" w:cs="Times New Roman"/>
                <w:b/>
                <w:i/>
                <w:sz w:val="20"/>
                <w:szCs w:val="20"/>
                <w:lang w:eastAsia="ru-RU"/>
              </w:rPr>
              <w:br/>
              <w:t>абс. (%)</w:t>
            </w:r>
          </w:p>
        </w:tc>
        <w:tc>
          <w:tcPr>
            <w:tcW w:w="923" w:type="pct"/>
            <w:gridSpan w:val="2"/>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удельная активность, Бк/кг</w:t>
            </w:r>
          </w:p>
        </w:tc>
        <w:tc>
          <w:tcPr>
            <w:tcW w:w="598" w:type="pct"/>
            <w:vMerge w:val="restar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Кол-во,</w:t>
            </w:r>
            <w:r w:rsidRPr="0066263B">
              <w:rPr>
                <w:rFonts w:ascii="Times New Roman" w:eastAsia="Times New Roman" w:hAnsi="Times New Roman" w:cs="Times New Roman"/>
                <w:b/>
                <w:i/>
                <w:sz w:val="20"/>
                <w:szCs w:val="20"/>
                <w:lang w:eastAsia="ru-RU"/>
              </w:rPr>
              <w:br/>
              <w:t>абс.</w:t>
            </w:r>
          </w:p>
        </w:tc>
        <w:tc>
          <w:tcPr>
            <w:tcW w:w="759" w:type="pct"/>
            <w:vMerge w:val="restar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 xml:space="preserve">с </w:t>
            </w:r>
            <w:proofErr w:type="spellStart"/>
            <w:proofErr w:type="gramStart"/>
            <w:r w:rsidRPr="0066263B">
              <w:rPr>
                <w:rFonts w:ascii="Times New Roman" w:eastAsia="Times New Roman" w:hAnsi="Times New Roman" w:cs="Times New Roman"/>
                <w:b/>
                <w:i/>
                <w:sz w:val="20"/>
                <w:szCs w:val="20"/>
                <w:lang w:eastAsia="ru-RU"/>
              </w:rPr>
              <w:t>превыше-нием</w:t>
            </w:r>
            <w:proofErr w:type="spellEnd"/>
            <w:proofErr w:type="gramEnd"/>
            <w:r w:rsidRPr="0066263B">
              <w:rPr>
                <w:rFonts w:ascii="Times New Roman" w:eastAsia="Times New Roman" w:hAnsi="Times New Roman" w:cs="Times New Roman"/>
                <w:b/>
                <w:i/>
                <w:sz w:val="20"/>
                <w:szCs w:val="20"/>
                <w:lang w:eastAsia="ru-RU"/>
              </w:rPr>
              <w:t xml:space="preserve"> КУ,</w:t>
            </w:r>
            <w:r w:rsidRPr="0066263B">
              <w:rPr>
                <w:rFonts w:ascii="Times New Roman" w:eastAsia="Times New Roman" w:hAnsi="Times New Roman" w:cs="Times New Roman"/>
                <w:b/>
                <w:i/>
                <w:sz w:val="20"/>
                <w:szCs w:val="20"/>
                <w:lang w:eastAsia="ru-RU"/>
              </w:rPr>
              <w:br/>
              <w:t>абс.</w:t>
            </w:r>
            <w:r w:rsidR="0097318F" w:rsidRPr="0066263B">
              <w:rPr>
                <w:rFonts w:ascii="Times New Roman" w:eastAsia="Times New Roman" w:hAnsi="Times New Roman" w:cs="Times New Roman"/>
                <w:b/>
                <w:i/>
                <w:sz w:val="20"/>
                <w:szCs w:val="20"/>
                <w:lang w:eastAsia="ru-RU"/>
              </w:rPr>
              <w:t xml:space="preserve"> </w:t>
            </w:r>
            <w:r w:rsidRPr="0066263B">
              <w:rPr>
                <w:rFonts w:ascii="Times New Roman" w:eastAsia="Times New Roman" w:hAnsi="Times New Roman" w:cs="Times New Roman"/>
                <w:b/>
                <w:i/>
                <w:sz w:val="20"/>
                <w:szCs w:val="20"/>
                <w:lang w:eastAsia="ru-RU"/>
              </w:rPr>
              <w:t>(%)</w:t>
            </w:r>
          </w:p>
        </w:tc>
        <w:tc>
          <w:tcPr>
            <w:tcW w:w="928" w:type="pct"/>
            <w:gridSpan w:val="2"/>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удельная активность, Бк/кг</w:t>
            </w:r>
          </w:p>
        </w:tc>
      </w:tr>
      <w:tr w:rsidR="00324483" w:rsidRPr="0066263B" w:rsidTr="006854FF">
        <w:trPr>
          <w:trHeight w:val="70"/>
          <w:jc w:val="center"/>
        </w:trPr>
        <w:tc>
          <w:tcPr>
            <w:tcW w:w="374" w:type="pct"/>
            <w:vMerge/>
          </w:tcPr>
          <w:p w:rsidR="00324483" w:rsidRPr="0066263B" w:rsidRDefault="00324483" w:rsidP="00324483">
            <w:pPr>
              <w:spacing w:before="20" w:after="20"/>
              <w:jc w:val="center"/>
              <w:rPr>
                <w:rFonts w:ascii="Times New Roman" w:eastAsia="Times New Roman" w:hAnsi="Times New Roman" w:cs="Times New Roman"/>
                <w:b/>
                <w:sz w:val="20"/>
                <w:szCs w:val="20"/>
                <w:lang w:eastAsia="ru-RU"/>
              </w:rPr>
            </w:pPr>
          </w:p>
        </w:tc>
        <w:tc>
          <w:tcPr>
            <w:tcW w:w="719" w:type="pct"/>
            <w:vMerge/>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p>
        </w:tc>
        <w:tc>
          <w:tcPr>
            <w:tcW w:w="699" w:type="pct"/>
            <w:vMerge/>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p>
        </w:tc>
        <w:tc>
          <w:tcPr>
            <w:tcW w:w="469"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proofErr w:type="spellStart"/>
            <w:r w:rsidRPr="0066263B">
              <w:rPr>
                <w:rFonts w:ascii="Times New Roman" w:eastAsia="Times New Roman" w:hAnsi="Times New Roman" w:cs="Times New Roman"/>
                <w:b/>
                <w:i/>
                <w:sz w:val="20"/>
                <w:szCs w:val="20"/>
                <w:lang w:eastAsia="ru-RU"/>
              </w:rPr>
              <w:t>средн</w:t>
            </w:r>
            <w:proofErr w:type="spellEnd"/>
            <w:r w:rsidRPr="0066263B">
              <w:rPr>
                <w:rFonts w:ascii="Times New Roman" w:eastAsia="Times New Roman" w:hAnsi="Times New Roman" w:cs="Times New Roman"/>
                <w:b/>
                <w:i/>
                <w:sz w:val="20"/>
                <w:szCs w:val="20"/>
                <w:lang w:eastAsia="ru-RU"/>
              </w:rPr>
              <w:t>.</w:t>
            </w:r>
          </w:p>
        </w:tc>
        <w:tc>
          <w:tcPr>
            <w:tcW w:w="454"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макс.</w:t>
            </w:r>
          </w:p>
        </w:tc>
        <w:tc>
          <w:tcPr>
            <w:tcW w:w="598" w:type="pct"/>
            <w:vMerge/>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p>
        </w:tc>
        <w:tc>
          <w:tcPr>
            <w:tcW w:w="759" w:type="pct"/>
            <w:vMerge/>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p>
        </w:tc>
        <w:tc>
          <w:tcPr>
            <w:tcW w:w="500"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proofErr w:type="spellStart"/>
            <w:r w:rsidRPr="0066263B">
              <w:rPr>
                <w:rFonts w:ascii="Times New Roman" w:eastAsia="Times New Roman" w:hAnsi="Times New Roman" w:cs="Times New Roman"/>
                <w:b/>
                <w:i/>
                <w:sz w:val="20"/>
                <w:szCs w:val="20"/>
                <w:lang w:eastAsia="ru-RU"/>
              </w:rPr>
              <w:t>средн</w:t>
            </w:r>
            <w:proofErr w:type="spellEnd"/>
            <w:r w:rsidRPr="0066263B">
              <w:rPr>
                <w:rFonts w:ascii="Times New Roman" w:eastAsia="Times New Roman" w:hAnsi="Times New Roman" w:cs="Times New Roman"/>
                <w:b/>
                <w:i/>
                <w:sz w:val="20"/>
                <w:szCs w:val="20"/>
                <w:lang w:eastAsia="ru-RU"/>
              </w:rPr>
              <w:t>.</w:t>
            </w:r>
          </w:p>
        </w:tc>
        <w:tc>
          <w:tcPr>
            <w:tcW w:w="428"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макс.</w:t>
            </w:r>
          </w:p>
        </w:tc>
      </w:tr>
      <w:tr w:rsidR="00194084" w:rsidRPr="0066263B" w:rsidTr="006854FF">
        <w:trPr>
          <w:jc w:val="center"/>
        </w:trPr>
        <w:tc>
          <w:tcPr>
            <w:tcW w:w="374" w:type="pct"/>
            <w:vAlign w:val="center"/>
          </w:tcPr>
          <w:p w:rsidR="00194084" w:rsidRPr="0066263B" w:rsidRDefault="00194084" w:rsidP="00504B69">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71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866</w:t>
            </w:r>
          </w:p>
        </w:tc>
        <w:tc>
          <w:tcPr>
            <w:tcW w:w="69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 (7,4)</w:t>
            </w:r>
          </w:p>
        </w:tc>
        <w:tc>
          <w:tcPr>
            <w:tcW w:w="46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0,10</w:t>
            </w:r>
          </w:p>
        </w:tc>
        <w:tc>
          <w:tcPr>
            <w:tcW w:w="454"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0,38</w:t>
            </w:r>
          </w:p>
        </w:tc>
        <w:tc>
          <w:tcPr>
            <w:tcW w:w="598"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866</w:t>
            </w:r>
          </w:p>
        </w:tc>
        <w:tc>
          <w:tcPr>
            <w:tcW w:w="75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0"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0,31</w:t>
            </w:r>
          </w:p>
        </w:tc>
        <w:tc>
          <w:tcPr>
            <w:tcW w:w="428"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0,59</w:t>
            </w:r>
          </w:p>
        </w:tc>
      </w:tr>
      <w:tr w:rsidR="00194084" w:rsidRPr="0066263B" w:rsidTr="006854FF">
        <w:trPr>
          <w:jc w:val="center"/>
        </w:trPr>
        <w:tc>
          <w:tcPr>
            <w:tcW w:w="374" w:type="pct"/>
            <w:vAlign w:val="center"/>
          </w:tcPr>
          <w:p w:rsidR="00194084" w:rsidRPr="0066263B" w:rsidRDefault="00194084" w:rsidP="00504B69">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71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634</w:t>
            </w:r>
          </w:p>
        </w:tc>
        <w:tc>
          <w:tcPr>
            <w:tcW w:w="69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 (3,5)</w:t>
            </w:r>
          </w:p>
        </w:tc>
        <w:tc>
          <w:tcPr>
            <w:tcW w:w="46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0,10</w:t>
            </w:r>
          </w:p>
        </w:tc>
        <w:tc>
          <w:tcPr>
            <w:tcW w:w="454"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0,39</w:t>
            </w:r>
          </w:p>
        </w:tc>
        <w:tc>
          <w:tcPr>
            <w:tcW w:w="598"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634</w:t>
            </w:r>
          </w:p>
        </w:tc>
        <w:tc>
          <w:tcPr>
            <w:tcW w:w="75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0"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0,32</w:t>
            </w:r>
          </w:p>
        </w:tc>
        <w:tc>
          <w:tcPr>
            <w:tcW w:w="428"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0,69</w:t>
            </w:r>
          </w:p>
        </w:tc>
      </w:tr>
      <w:tr w:rsidR="00194084" w:rsidRPr="0066263B" w:rsidTr="006854FF">
        <w:trPr>
          <w:jc w:val="center"/>
        </w:trPr>
        <w:tc>
          <w:tcPr>
            <w:tcW w:w="374" w:type="pct"/>
            <w:vAlign w:val="center"/>
          </w:tcPr>
          <w:p w:rsidR="00194084" w:rsidRPr="0066263B" w:rsidRDefault="00194084" w:rsidP="00504B69">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71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833</w:t>
            </w:r>
          </w:p>
        </w:tc>
        <w:tc>
          <w:tcPr>
            <w:tcW w:w="69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 (3,1)</w:t>
            </w:r>
          </w:p>
        </w:tc>
        <w:tc>
          <w:tcPr>
            <w:tcW w:w="46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0,10</w:t>
            </w:r>
          </w:p>
        </w:tc>
        <w:tc>
          <w:tcPr>
            <w:tcW w:w="454"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0,37</w:t>
            </w:r>
          </w:p>
        </w:tc>
        <w:tc>
          <w:tcPr>
            <w:tcW w:w="598"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833</w:t>
            </w:r>
          </w:p>
        </w:tc>
        <w:tc>
          <w:tcPr>
            <w:tcW w:w="759"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0"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0,31</w:t>
            </w:r>
          </w:p>
        </w:tc>
        <w:tc>
          <w:tcPr>
            <w:tcW w:w="428" w:type="pct"/>
            <w:vAlign w:val="center"/>
          </w:tcPr>
          <w:p w:rsidR="00194084" w:rsidRPr="0066263B" w:rsidRDefault="00194084"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0,69</w:t>
            </w:r>
          </w:p>
        </w:tc>
      </w:tr>
      <w:tr w:rsidR="00194084" w:rsidRPr="0066263B" w:rsidTr="00504B69">
        <w:trPr>
          <w:jc w:val="center"/>
        </w:trPr>
        <w:tc>
          <w:tcPr>
            <w:tcW w:w="374" w:type="pct"/>
            <w:vAlign w:val="center"/>
          </w:tcPr>
          <w:p w:rsidR="00194084" w:rsidRPr="0066263B" w:rsidRDefault="00194084" w:rsidP="00324483">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719" w:type="pct"/>
          </w:tcPr>
          <w:p w:rsidR="00194084" w:rsidRPr="0066263B" w:rsidRDefault="00194084" w:rsidP="0019408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887</w:t>
            </w:r>
          </w:p>
        </w:tc>
        <w:tc>
          <w:tcPr>
            <w:tcW w:w="699" w:type="pct"/>
          </w:tcPr>
          <w:p w:rsidR="00194084" w:rsidRPr="0066263B" w:rsidRDefault="00194084" w:rsidP="0019408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 (4,4)</w:t>
            </w:r>
          </w:p>
        </w:tc>
        <w:tc>
          <w:tcPr>
            <w:tcW w:w="469" w:type="pct"/>
          </w:tcPr>
          <w:p w:rsidR="00194084" w:rsidRPr="0066263B" w:rsidRDefault="00194084" w:rsidP="0019408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0,10</w:t>
            </w:r>
          </w:p>
        </w:tc>
        <w:tc>
          <w:tcPr>
            <w:tcW w:w="454" w:type="pct"/>
          </w:tcPr>
          <w:p w:rsidR="00194084" w:rsidRPr="0066263B" w:rsidRDefault="00194084" w:rsidP="0019408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0,33</w:t>
            </w:r>
          </w:p>
        </w:tc>
        <w:tc>
          <w:tcPr>
            <w:tcW w:w="598" w:type="pct"/>
          </w:tcPr>
          <w:p w:rsidR="00194084" w:rsidRPr="0066263B" w:rsidRDefault="00194084" w:rsidP="0019408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887</w:t>
            </w:r>
          </w:p>
        </w:tc>
        <w:tc>
          <w:tcPr>
            <w:tcW w:w="759" w:type="pct"/>
          </w:tcPr>
          <w:p w:rsidR="00194084" w:rsidRPr="0066263B" w:rsidRDefault="00194084" w:rsidP="0019408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0" w:type="pct"/>
          </w:tcPr>
          <w:p w:rsidR="00194084" w:rsidRPr="0066263B" w:rsidRDefault="00194084" w:rsidP="0019408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0,30</w:t>
            </w:r>
          </w:p>
        </w:tc>
        <w:tc>
          <w:tcPr>
            <w:tcW w:w="428" w:type="pct"/>
          </w:tcPr>
          <w:p w:rsidR="00194084" w:rsidRPr="0066263B" w:rsidRDefault="00194084" w:rsidP="00194084">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0,67</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194084" w:rsidRPr="0066263B" w:rsidRDefault="00194084" w:rsidP="0019408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Ежегодно регистрируются несоответствия контрольного уровня по </w:t>
      </w:r>
      <w:proofErr w:type="gramStart"/>
      <w:r w:rsidRPr="0066263B">
        <w:rPr>
          <w:rFonts w:ascii="Times New Roman" w:eastAsia="Times New Roman" w:hAnsi="Times New Roman" w:cs="Times New Roman"/>
          <w:sz w:val="24"/>
          <w:szCs w:val="24"/>
          <w:lang w:eastAsia="ru-RU"/>
        </w:rPr>
        <w:t>суммарной</w:t>
      </w:r>
      <w:proofErr w:type="gram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альфа-активности</w:t>
      </w:r>
      <w:proofErr w:type="spellEnd"/>
      <w:r w:rsidRPr="0066263B">
        <w:rPr>
          <w:rFonts w:ascii="Times New Roman" w:eastAsia="Times New Roman" w:hAnsi="Times New Roman" w:cs="Times New Roman"/>
          <w:sz w:val="24"/>
          <w:szCs w:val="24"/>
          <w:lang w:eastAsia="ru-RU"/>
        </w:rPr>
        <w:t xml:space="preserve"> из подземных источников централизованного водоснабжения. </w:t>
      </w:r>
      <w:proofErr w:type="gramStart"/>
      <w:r w:rsidRPr="0066263B">
        <w:rPr>
          <w:rFonts w:ascii="Times New Roman" w:eastAsia="Times New Roman" w:hAnsi="Times New Roman" w:cs="Times New Roman"/>
          <w:sz w:val="24"/>
          <w:szCs w:val="24"/>
          <w:lang w:eastAsia="ru-RU"/>
        </w:rPr>
        <w:t xml:space="preserve">Удельный вес проб питьевой воды, превышающих контрольные значения (0,2 Бк/кг) по суммарной </w:t>
      </w:r>
      <w:proofErr w:type="spellStart"/>
      <w:r w:rsidRPr="0066263B">
        <w:rPr>
          <w:rFonts w:ascii="Times New Roman" w:eastAsia="Times New Roman" w:hAnsi="Times New Roman" w:cs="Times New Roman"/>
          <w:sz w:val="24"/>
          <w:szCs w:val="24"/>
          <w:lang w:eastAsia="ru-RU"/>
        </w:rPr>
        <w:t>альфа-активности</w:t>
      </w:r>
      <w:proofErr w:type="spellEnd"/>
      <w:r w:rsidRPr="0066263B">
        <w:rPr>
          <w:rFonts w:ascii="Times New Roman" w:eastAsia="Times New Roman" w:hAnsi="Times New Roman" w:cs="Times New Roman"/>
          <w:sz w:val="24"/>
          <w:szCs w:val="24"/>
          <w:lang w:eastAsia="ru-RU"/>
        </w:rPr>
        <w:t xml:space="preserve"> в 2021 году составляет 4,4% (2020 – 3,1%; 2019 – 3,5%; 2018 – 7,4%).</w:t>
      </w:r>
      <w:proofErr w:type="gramEnd"/>
    </w:p>
    <w:p w:rsidR="00194084" w:rsidRPr="0066263B" w:rsidRDefault="00194084" w:rsidP="0019408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Превышение контрольного уровня по суммарной </w:t>
      </w:r>
      <w:proofErr w:type="spellStart"/>
      <w:proofErr w:type="gramStart"/>
      <w:r w:rsidRPr="0066263B">
        <w:rPr>
          <w:rFonts w:ascii="Times New Roman" w:eastAsia="Times New Roman" w:hAnsi="Times New Roman" w:cs="Times New Roman"/>
          <w:sz w:val="24"/>
          <w:szCs w:val="24"/>
          <w:lang w:eastAsia="ru-RU"/>
        </w:rPr>
        <w:t>альфа-активности</w:t>
      </w:r>
      <w:proofErr w:type="spellEnd"/>
      <w:proofErr w:type="gramEnd"/>
      <w:r w:rsidRPr="0066263B">
        <w:rPr>
          <w:rFonts w:ascii="Times New Roman" w:eastAsia="Times New Roman" w:hAnsi="Times New Roman" w:cs="Times New Roman"/>
          <w:sz w:val="24"/>
          <w:szCs w:val="24"/>
          <w:lang w:eastAsia="ru-RU"/>
        </w:rPr>
        <w:t xml:space="preserve"> выявлялись в подземных источниках централизованного водоснабжения г. Брянска, Брянского, Выгоничского и Дятьковского районов Брянской области.</w:t>
      </w:r>
    </w:p>
    <w:p w:rsidR="00194084" w:rsidRPr="0066263B" w:rsidRDefault="00194084" w:rsidP="0019408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Среднее значение содержания суммарной </w:t>
      </w:r>
      <w:proofErr w:type="spellStart"/>
      <w:proofErr w:type="gramStart"/>
      <w:r w:rsidRPr="0066263B">
        <w:rPr>
          <w:rFonts w:ascii="Times New Roman" w:eastAsia="Times New Roman" w:hAnsi="Times New Roman" w:cs="Times New Roman"/>
          <w:sz w:val="24"/>
          <w:szCs w:val="24"/>
          <w:lang w:eastAsia="ru-RU"/>
        </w:rPr>
        <w:t>альфа-активности</w:t>
      </w:r>
      <w:proofErr w:type="spellEnd"/>
      <w:proofErr w:type="gramEnd"/>
      <w:r w:rsidRPr="0066263B">
        <w:rPr>
          <w:rFonts w:ascii="Times New Roman" w:eastAsia="Times New Roman" w:hAnsi="Times New Roman" w:cs="Times New Roman"/>
          <w:sz w:val="24"/>
          <w:szCs w:val="24"/>
          <w:lang w:eastAsia="ru-RU"/>
        </w:rPr>
        <w:t xml:space="preserve"> в пробах питьевой воды на территории области в последние годы составляет 0,10 Бк/кг, максимальное – 0,39 Бк/кг (2021 – 0,33 Бк/кг).</w:t>
      </w:r>
    </w:p>
    <w:p w:rsidR="00194084" w:rsidRPr="0066263B" w:rsidRDefault="00194084" w:rsidP="0019408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 содержанию удельной суммарной </w:t>
      </w:r>
      <w:proofErr w:type="spellStart"/>
      <w:proofErr w:type="gramStart"/>
      <w:r w:rsidRPr="0066263B">
        <w:rPr>
          <w:rFonts w:ascii="Times New Roman" w:eastAsia="Times New Roman" w:hAnsi="Times New Roman" w:cs="Times New Roman"/>
          <w:sz w:val="24"/>
          <w:szCs w:val="24"/>
          <w:lang w:eastAsia="ru-RU"/>
        </w:rPr>
        <w:t>бета-активности</w:t>
      </w:r>
      <w:proofErr w:type="spellEnd"/>
      <w:proofErr w:type="gramEnd"/>
      <w:r w:rsidRPr="0066263B">
        <w:rPr>
          <w:rFonts w:ascii="Times New Roman" w:eastAsia="Times New Roman" w:hAnsi="Times New Roman" w:cs="Times New Roman"/>
          <w:sz w:val="24"/>
          <w:szCs w:val="24"/>
          <w:lang w:eastAsia="ru-RU"/>
        </w:rPr>
        <w:t xml:space="preserve"> исследованные образцы питьевой воды соответствовали требованию гигиенического норматива (1,0 Бк/кг). Среднее значение суммарной </w:t>
      </w:r>
      <w:proofErr w:type="spellStart"/>
      <w:proofErr w:type="gramStart"/>
      <w:r w:rsidRPr="0066263B">
        <w:rPr>
          <w:rFonts w:ascii="Times New Roman" w:eastAsia="Times New Roman" w:hAnsi="Times New Roman" w:cs="Times New Roman"/>
          <w:sz w:val="24"/>
          <w:szCs w:val="24"/>
          <w:lang w:eastAsia="ru-RU"/>
        </w:rPr>
        <w:t>бета-активности</w:t>
      </w:r>
      <w:proofErr w:type="spellEnd"/>
      <w:proofErr w:type="gramEnd"/>
      <w:r w:rsidRPr="0066263B">
        <w:rPr>
          <w:rFonts w:ascii="Times New Roman" w:eastAsia="Times New Roman" w:hAnsi="Times New Roman" w:cs="Times New Roman"/>
          <w:sz w:val="24"/>
          <w:szCs w:val="24"/>
          <w:lang w:eastAsia="ru-RU"/>
        </w:rPr>
        <w:t xml:space="preserve"> находится в пределах 0,30-0,32 Бк/кг (2021 – 0,30 Бк/кг), максимальное – 0,67-0,69 Бк/кг (2021 – 0,67 Бк/кг).</w:t>
      </w:r>
    </w:p>
    <w:p w:rsidR="00194084" w:rsidRPr="0066263B" w:rsidRDefault="00194084" w:rsidP="003269C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Среднее значение содержания радона-222 в пробах воды питьевой находится ниже 8,0 Бк/кг. Максимальное содержание радона-222 за отчётный период – 33,8 </w:t>
      </w:r>
      <w:r w:rsidR="003269CA" w:rsidRPr="0066263B">
        <w:rPr>
          <w:rFonts w:ascii="Times New Roman" w:eastAsia="Times New Roman" w:hAnsi="Times New Roman" w:cs="Times New Roman"/>
          <w:sz w:val="24"/>
          <w:szCs w:val="24"/>
          <w:lang w:eastAsia="ru-RU"/>
        </w:rPr>
        <w:t xml:space="preserve">Бк/кг </w:t>
      </w:r>
      <w:r w:rsidRPr="0066263B">
        <w:rPr>
          <w:rFonts w:ascii="Times New Roman" w:eastAsia="Times New Roman" w:hAnsi="Times New Roman" w:cs="Times New Roman"/>
          <w:sz w:val="24"/>
          <w:szCs w:val="24"/>
          <w:lang w:eastAsia="ru-RU"/>
        </w:rPr>
        <w:t>(норматив</w:t>
      </w:r>
      <w:r w:rsidR="003269CA"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60,0</w:t>
      </w:r>
      <w:r w:rsidR="003269CA" w:rsidRPr="0066263B">
        <w:rPr>
          <w:rFonts w:ascii="Times New Roman" w:eastAsia="Times New Roman" w:hAnsi="Times New Roman" w:cs="Times New Roman"/>
          <w:sz w:val="24"/>
          <w:szCs w:val="24"/>
          <w:lang w:eastAsia="ru-RU"/>
        </w:rPr>
        <w:t xml:space="preserve"> Бк/кг</w:t>
      </w:r>
      <w:r w:rsidRPr="0066263B">
        <w:rPr>
          <w:rFonts w:ascii="Times New Roman" w:eastAsia="Times New Roman" w:hAnsi="Times New Roman" w:cs="Times New Roman"/>
          <w:sz w:val="24"/>
          <w:szCs w:val="24"/>
          <w:lang w:eastAsia="ru-RU"/>
        </w:rPr>
        <w:t>).</w:t>
      </w:r>
    </w:p>
    <w:p w:rsidR="00194084" w:rsidRPr="0066263B" w:rsidRDefault="00194084" w:rsidP="003269C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Радиационный контроль качества питьевой воды на радиационную безопасность осуществлялся также из источников нецентрализованных систем питьевого водоснабжения (колодцы), расположенных в населённых пунктах, входящих в зоны радиоактивного загрязнения вследствие аварии на Чернобыльской АЭС.</w:t>
      </w:r>
    </w:p>
    <w:p w:rsidR="003269CA" w:rsidRPr="0066263B" w:rsidRDefault="00194084" w:rsidP="003269CA">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Превышения контрольного уровня по суммарной </w:t>
      </w:r>
      <w:proofErr w:type="spellStart"/>
      <w:r w:rsidRPr="0066263B">
        <w:rPr>
          <w:rFonts w:ascii="Times New Roman" w:eastAsia="Times New Roman" w:hAnsi="Times New Roman" w:cs="Times New Roman"/>
          <w:sz w:val="24"/>
          <w:szCs w:val="24"/>
          <w:lang w:eastAsia="ru-RU"/>
        </w:rPr>
        <w:t>альфа-активности</w:t>
      </w:r>
      <w:proofErr w:type="spellEnd"/>
      <w:r w:rsidRPr="0066263B">
        <w:rPr>
          <w:rFonts w:ascii="Times New Roman" w:eastAsia="Times New Roman" w:hAnsi="Times New Roman" w:cs="Times New Roman"/>
          <w:sz w:val="24"/>
          <w:szCs w:val="24"/>
          <w:lang w:eastAsia="ru-RU"/>
        </w:rPr>
        <w:t xml:space="preserve"> в пробах воды из источников нецентрализованного водоснабжения не регистрировалось.</w:t>
      </w:r>
      <w:proofErr w:type="gramEnd"/>
      <w:r w:rsidRPr="0066263B">
        <w:rPr>
          <w:rFonts w:ascii="Times New Roman" w:eastAsia="Times New Roman" w:hAnsi="Times New Roman" w:cs="Times New Roman"/>
          <w:sz w:val="24"/>
          <w:szCs w:val="24"/>
          <w:lang w:eastAsia="ru-RU"/>
        </w:rPr>
        <w:t xml:space="preserve"> Среднее значение содержания </w:t>
      </w:r>
      <w:proofErr w:type="gramStart"/>
      <w:r w:rsidRPr="0066263B">
        <w:rPr>
          <w:rFonts w:ascii="Times New Roman" w:eastAsia="Times New Roman" w:hAnsi="Times New Roman" w:cs="Times New Roman"/>
          <w:sz w:val="24"/>
          <w:szCs w:val="24"/>
          <w:lang w:eastAsia="ru-RU"/>
        </w:rPr>
        <w:t>суммарной</w:t>
      </w:r>
      <w:proofErr w:type="gram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альфа</w:t>
      </w:r>
      <w:r w:rsidR="003269CA" w:rsidRPr="0066263B">
        <w:rPr>
          <w:rFonts w:ascii="Times New Roman" w:eastAsia="Times New Roman" w:hAnsi="Times New Roman" w:cs="Times New Roman"/>
          <w:sz w:val="24"/>
          <w:szCs w:val="24"/>
          <w:lang w:eastAsia="ru-RU"/>
        </w:rPr>
        <w:t>-активности</w:t>
      </w:r>
      <w:proofErr w:type="spellEnd"/>
      <w:r w:rsidR="003269CA" w:rsidRPr="0066263B">
        <w:rPr>
          <w:rFonts w:ascii="Times New Roman" w:eastAsia="Times New Roman" w:hAnsi="Times New Roman" w:cs="Times New Roman"/>
          <w:sz w:val="24"/>
          <w:szCs w:val="24"/>
          <w:lang w:eastAsia="ru-RU"/>
        </w:rPr>
        <w:t xml:space="preserve"> составляет 0,09 Бк/кг, максимальное – 0,20 Бк/кг (2021 – 0,19 Бк/кг).</w:t>
      </w:r>
    </w:p>
    <w:p w:rsidR="00C23EB0" w:rsidRPr="0066263B" w:rsidRDefault="00C23EB0" w:rsidP="003269CA">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46</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Результаты исследований проб питьевой воды из источников</w:t>
      </w:r>
      <w:r w:rsidRPr="0066263B">
        <w:rPr>
          <w:rFonts w:ascii="Times New Roman" w:eastAsia="Times New Roman" w:hAnsi="Times New Roman" w:cs="Times New Roman"/>
          <w:b/>
          <w:bCs/>
          <w:lang w:eastAsia="ru-RU"/>
        </w:rPr>
        <w:br/>
        <w:t>нецентрализованных систем питьевого водоснабжения</w:t>
      </w:r>
    </w:p>
    <w:p w:rsidR="0097318F" w:rsidRPr="0066263B" w:rsidRDefault="0097318F" w:rsidP="00324483">
      <w:pPr>
        <w:spacing w:before="0" w:after="0"/>
        <w:jc w:val="center"/>
        <w:rPr>
          <w:rFonts w:ascii="Times New Roman" w:eastAsia="Times New Roman" w:hAnsi="Times New Roman" w:cs="Times New Roman"/>
          <w:b/>
          <w:lang w:eastAsia="ru-RU"/>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6"/>
        <w:gridCol w:w="991"/>
        <w:gridCol w:w="1558"/>
        <w:gridCol w:w="1702"/>
        <w:gridCol w:w="901"/>
        <w:gridCol w:w="1514"/>
        <w:gridCol w:w="1746"/>
      </w:tblGrid>
      <w:tr w:rsidR="00324483" w:rsidRPr="0066263B" w:rsidTr="0097318F">
        <w:trPr>
          <w:jc w:val="center"/>
        </w:trPr>
        <w:tc>
          <w:tcPr>
            <w:tcW w:w="417" w:type="pct"/>
            <w:vMerge w:val="restart"/>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2316" w:type="pct"/>
            <w:gridSpan w:val="3"/>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Суммарная альфа-активность</w:t>
            </w:r>
          </w:p>
        </w:tc>
        <w:tc>
          <w:tcPr>
            <w:tcW w:w="2267" w:type="pct"/>
            <w:gridSpan w:val="3"/>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Суммарная бета-активность</w:t>
            </w:r>
          </w:p>
        </w:tc>
      </w:tr>
      <w:tr w:rsidR="00324483" w:rsidRPr="0066263B" w:rsidTr="0097318F">
        <w:trPr>
          <w:trHeight w:val="780"/>
          <w:jc w:val="center"/>
        </w:trPr>
        <w:tc>
          <w:tcPr>
            <w:tcW w:w="417" w:type="pct"/>
            <w:vMerge/>
          </w:tcPr>
          <w:p w:rsidR="00324483" w:rsidRPr="0066263B" w:rsidRDefault="00324483" w:rsidP="00324483">
            <w:pPr>
              <w:spacing w:before="20" w:after="20"/>
              <w:jc w:val="center"/>
              <w:rPr>
                <w:rFonts w:ascii="Times New Roman" w:eastAsia="Times New Roman" w:hAnsi="Times New Roman" w:cs="Times New Roman"/>
                <w:b/>
                <w:sz w:val="20"/>
                <w:szCs w:val="20"/>
                <w:lang w:eastAsia="ru-RU"/>
              </w:rPr>
            </w:pPr>
          </w:p>
        </w:tc>
        <w:tc>
          <w:tcPr>
            <w:tcW w:w="540"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Кол-во,</w:t>
            </w:r>
            <w:r w:rsidRPr="0066263B">
              <w:rPr>
                <w:rFonts w:ascii="Times New Roman" w:eastAsia="Times New Roman" w:hAnsi="Times New Roman" w:cs="Times New Roman"/>
                <w:b/>
                <w:i/>
                <w:sz w:val="20"/>
                <w:szCs w:val="20"/>
                <w:lang w:eastAsia="ru-RU"/>
              </w:rPr>
              <w:br/>
              <w:t>абс.</w:t>
            </w:r>
          </w:p>
        </w:tc>
        <w:tc>
          <w:tcPr>
            <w:tcW w:w="849"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с превышением КУ, абс.</w:t>
            </w:r>
          </w:p>
        </w:tc>
        <w:tc>
          <w:tcPr>
            <w:tcW w:w="927"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максимальная удельная активность, Бк/кг</w:t>
            </w:r>
          </w:p>
        </w:tc>
        <w:tc>
          <w:tcPr>
            <w:tcW w:w="491"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Кол-во,</w:t>
            </w:r>
            <w:r w:rsidRPr="0066263B">
              <w:rPr>
                <w:rFonts w:ascii="Times New Roman" w:eastAsia="Times New Roman" w:hAnsi="Times New Roman" w:cs="Times New Roman"/>
                <w:b/>
                <w:i/>
                <w:sz w:val="20"/>
                <w:szCs w:val="20"/>
                <w:lang w:eastAsia="ru-RU"/>
              </w:rPr>
              <w:br/>
              <w:t>абс.</w:t>
            </w:r>
          </w:p>
        </w:tc>
        <w:tc>
          <w:tcPr>
            <w:tcW w:w="825"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с превышением КУ, абс.</w:t>
            </w:r>
          </w:p>
        </w:tc>
        <w:tc>
          <w:tcPr>
            <w:tcW w:w="951" w:type="pct"/>
            <w:vAlign w:val="center"/>
          </w:tcPr>
          <w:p w:rsidR="00324483" w:rsidRPr="0066263B" w:rsidRDefault="00324483" w:rsidP="00324483">
            <w:pPr>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максимальная удельная активность, Бк/кг</w:t>
            </w:r>
          </w:p>
        </w:tc>
      </w:tr>
      <w:tr w:rsidR="003269CA" w:rsidRPr="0066263B" w:rsidTr="0097318F">
        <w:trPr>
          <w:jc w:val="center"/>
        </w:trPr>
        <w:tc>
          <w:tcPr>
            <w:tcW w:w="417" w:type="pct"/>
            <w:vAlign w:val="center"/>
          </w:tcPr>
          <w:p w:rsidR="003269CA" w:rsidRPr="0066263B" w:rsidRDefault="003269CA" w:rsidP="00504B69">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540"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849"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27"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0,15</w:t>
            </w:r>
          </w:p>
        </w:tc>
        <w:tc>
          <w:tcPr>
            <w:tcW w:w="491"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825"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51"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0,36</w:t>
            </w:r>
          </w:p>
        </w:tc>
      </w:tr>
      <w:tr w:rsidR="003269CA" w:rsidRPr="0066263B" w:rsidTr="0097318F">
        <w:trPr>
          <w:jc w:val="center"/>
        </w:trPr>
        <w:tc>
          <w:tcPr>
            <w:tcW w:w="417" w:type="pct"/>
            <w:vAlign w:val="center"/>
          </w:tcPr>
          <w:p w:rsidR="003269CA" w:rsidRPr="0066263B" w:rsidRDefault="003269CA" w:rsidP="00504B69">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540"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849"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27"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c>
          <w:tcPr>
            <w:tcW w:w="491"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825"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51"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0,27</w:t>
            </w:r>
          </w:p>
        </w:tc>
      </w:tr>
      <w:tr w:rsidR="003269CA" w:rsidRPr="0066263B" w:rsidTr="0097318F">
        <w:trPr>
          <w:jc w:val="center"/>
        </w:trPr>
        <w:tc>
          <w:tcPr>
            <w:tcW w:w="417" w:type="pct"/>
            <w:vAlign w:val="center"/>
          </w:tcPr>
          <w:p w:rsidR="003269CA" w:rsidRPr="0066263B" w:rsidRDefault="003269CA" w:rsidP="00504B69">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540"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c>
          <w:tcPr>
            <w:tcW w:w="849"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27"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0,20</w:t>
            </w:r>
          </w:p>
        </w:tc>
        <w:tc>
          <w:tcPr>
            <w:tcW w:w="491"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c>
          <w:tcPr>
            <w:tcW w:w="825"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951" w:type="pct"/>
            <w:vAlign w:val="center"/>
          </w:tcPr>
          <w:p w:rsidR="003269CA" w:rsidRPr="0066263B" w:rsidRDefault="003269CA"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1,46</w:t>
            </w:r>
          </w:p>
        </w:tc>
      </w:tr>
      <w:tr w:rsidR="003269CA" w:rsidRPr="0066263B" w:rsidTr="00504B69">
        <w:trPr>
          <w:jc w:val="center"/>
        </w:trPr>
        <w:tc>
          <w:tcPr>
            <w:tcW w:w="417" w:type="pct"/>
            <w:vAlign w:val="center"/>
          </w:tcPr>
          <w:p w:rsidR="003269CA" w:rsidRPr="0066263B" w:rsidRDefault="003269CA" w:rsidP="00324483">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540" w:type="pct"/>
          </w:tcPr>
          <w:p w:rsidR="003269CA" w:rsidRPr="0066263B" w:rsidRDefault="003269CA" w:rsidP="003269C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849" w:type="pct"/>
          </w:tcPr>
          <w:p w:rsidR="003269CA" w:rsidRPr="0066263B" w:rsidRDefault="003269CA" w:rsidP="003269C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27" w:type="pct"/>
          </w:tcPr>
          <w:p w:rsidR="003269CA" w:rsidRPr="0066263B" w:rsidRDefault="003269CA" w:rsidP="003269C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0,19</w:t>
            </w:r>
          </w:p>
        </w:tc>
        <w:tc>
          <w:tcPr>
            <w:tcW w:w="491" w:type="pct"/>
          </w:tcPr>
          <w:p w:rsidR="003269CA" w:rsidRPr="0066263B" w:rsidRDefault="003269CA" w:rsidP="003269C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825" w:type="pct"/>
          </w:tcPr>
          <w:p w:rsidR="003269CA" w:rsidRPr="0066263B" w:rsidRDefault="003269CA" w:rsidP="003269C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951" w:type="pct"/>
          </w:tcPr>
          <w:p w:rsidR="003269CA" w:rsidRPr="0066263B" w:rsidRDefault="003269CA" w:rsidP="003269C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1,20</w:t>
            </w:r>
          </w:p>
        </w:tc>
      </w:tr>
    </w:tbl>
    <w:p w:rsidR="00950D6E" w:rsidRPr="0066263B" w:rsidRDefault="00950D6E" w:rsidP="00324483">
      <w:pPr>
        <w:spacing w:before="0" w:after="0"/>
        <w:ind w:firstLine="709"/>
        <w:rPr>
          <w:rFonts w:ascii="Times New Roman" w:eastAsia="Times New Roman" w:hAnsi="Times New Roman" w:cs="Times New Roman"/>
          <w:sz w:val="24"/>
          <w:szCs w:val="24"/>
          <w:lang w:eastAsia="ru-RU"/>
        </w:rPr>
      </w:pPr>
    </w:p>
    <w:p w:rsidR="003269CA" w:rsidRPr="0066263B" w:rsidRDefault="003269CA" w:rsidP="003269C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2020-2021 г.г. зарегистрировано превышение контрольного уровня (1,0 Бк/кг) по содержанию удельной суммарной </w:t>
      </w:r>
      <w:proofErr w:type="spellStart"/>
      <w:proofErr w:type="gramStart"/>
      <w:r w:rsidRPr="0066263B">
        <w:rPr>
          <w:rFonts w:ascii="Times New Roman" w:eastAsia="Times New Roman" w:hAnsi="Times New Roman" w:cs="Times New Roman"/>
          <w:sz w:val="24"/>
          <w:szCs w:val="24"/>
          <w:lang w:eastAsia="ru-RU"/>
        </w:rPr>
        <w:t>бета-активности</w:t>
      </w:r>
      <w:proofErr w:type="spellEnd"/>
      <w:proofErr w:type="gramEnd"/>
      <w:r w:rsidRPr="0066263B">
        <w:rPr>
          <w:rFonts w:ascii="Times New Roman" w:eastAsia="Times New Roman" w:hAnsi="Times New Roman" w:cs="Times New Roman"/>
          <w:sz w:val="24"/>
          <w:szCs w:val="24"/>
          <w:lang w:eastAsia="ru-RU"/>
        </w:rPr>
        <w:t xml:space="preserve"> в пробах воды из колодцев населённых пунктов Красногорского района Брянской области, находящихся в границах зон радиоактивного загрязнения вследствие аварии на ЧАЭС. Из этих </w:t>
      </w:r>
      <w:proofErr w:type="spellStart"/>
      <w:r w:rsidRPr="0066263B">
        <w:rPr>
          <w:rFonts w:ascii="Times New Roman" w:eastAsia="Times New Roman" w:hAnsi="Times New Roman" w:cs="Times New Roman"/>
          <w:sz w:val="24"/>
          <w:szCs w:val="24"/>
          <w:lang w:eastAsia="ru-RU"/>
        </w:rPr>
        <w:t>водоисточников</w:t>
      </w:r>
      <w:proofErr w:type="spellEnd"/>
      <w:r w:rsidRPr="0066263B">
        <w:rPr>
          <w:rFonts w:ascii="Times New Roman" w:eastAsia="Times New Roman" w:hAnsi="Times New Roman" w:cs="Times New Roman"/>
          <w:sz w:val="24"/>
          <w:szCs w:val="24"/>
          <w:lang w:eastAsia="ru-RU"/>
        </w:rPr>
        <w:t xml:space="preserve"> проводились расширенные исследования по определению техногенных радионуклидов цезия-137 и стронция-90. Содержание цезия-137 и стронция-90 ниже уровней вмешательства определяемых радионуклидов в соответствии с требованиями НРБ-99/2009.</w:t>
      </w:r>
    </w:p>
    <w:p w:rsidR="003269CA" w:rsidRPr="0066263B" w:rsidRDefault="003269CA" w:rsidP="003269C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Проводились исследования воды из поверхностных водоёмов. Число исследованных проб на содержание показателей радиационной безопасности составляет 59 (2020 – 68; 2019 – 57). Результаты исследований соответствовали гигиеническим требованиям. Максимальное содержание </w:t>
      </w:r>
      <w:proofErr w:type="gramStart"/>
      <w:r w:rsidRPr="0066263B">
        <w:rPr>
          <w:rFonts w:ascii="Times New Roman" w:eastAsia="Times New Roman" w:hAnsi="Times New Roman" w:cs="Times New Roman"/>
          <w:sz w:val="24"/>
          <w:szCs w:val="24"/>
          <w:lang w:eastAsia="ru-RU"/>
        </w:rPr>
        <w:t>суммарной</w:t>
      </w:r>
      <w:proofErr w:type="gram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альфа-активности</w:t>
      </w:r>
      <w:proofErr w:type="spellEnd"/>
      <w:r w:rsidRPr="0066263B">
        <w:rPr>
          <w:rFonts w:ascii="Times New Roman" w:eastAsia="Times New Roman" w:hAnsi="Times New Roman" w:cs="Times New Roman"/>
          <w:sz w:val="24"/>
          <w:szCs w:val="24"/>
          <w:lang w:eastAsia="ru-RU"/>
        </w:rPr>
        <w:t xml:space="preserve"> за 2019-2021 г.г. составляет 0,15 Бк/кг, суммарной </w:t>
      </w:r>
      <w:proofErr w:type="spellStart"/>
      <w:r w:rsidRPr="0066263B">
        <w:rPr>
          <w:rFonts w:ascii="Times New Roman" w:eastAsia="Times New Roman" w:hAnsi="Times New Roman" w:cs="Times New Roman"/>
          <w:sz w:val="24"/>
          <w:szCs w:val="24"/>
          <w:lang w:eastAsia="ru-RU"/>
        </w:rPr>
        <w:t>бета-активности</w:t>
      </w:r>
      <w:proofErr w:type="spellEnd"/>
      <w:r w:rsidRPr="0066263B">
        <w:rPr>
          <w:rFonts w:ascii="Times New Roman" w:eastAsia="Times New Roman" w:hAnsi="Times New Roman" w:cs="Times New Roman"/>
          <w:sz w:val="24"/>
          <w:szCs w:val="24"/>
          <w:lang w:eastAsia="ru-RU"/>
        </w:rPr>
        <w:t xml:space="preserve"> – 0,42 Бк/кг, соответственно. В рамках социально-гигиенического мониторинга проводились радиохимические исследования проб воды из поверхностных водоёмов на содержание естественных радионуклидов. Содержание удельной активности определяемых радионуклидов ниже уровней вмешательства для питьевой воды согласно НРБ-99/2009.</w:t>
      </w:r>
    </w:p>
    <w:p w:rsidR="003269CA" w:rsidRPr="0066263B" w:rsidRDefault="003269CA" w:rsidP="003269CA">
      <w:pPr>
        <w:spacing w:before="0" w:after="0"/>
        <w:ind w:firstLine="709"/>
        <w:rPr>
          <w:rFonts w:ascii="Times New Roman" w:eastAsia="Times New Roman" w:hAnsi="Times New Roman" w:cs="Times New Roman"/>
          <w:sz w:val="24"/>
          <w:szCs w:val="24"/>
          <w:lang w:eastAsia="ru-RU"/>
        </w:rPr>
      </w:pPr>
    </w:p>
    <w:p w:rsidR="003269CA" w:rsidRPr="0066263B" w:rsidRDefault="003269CA" w:rsidP="003269C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Результаты исследований проб воды по показателям радиационной безопасности используются для оценки годовых эффективных доз внутреннего облучения населения за счёт поступления радионуклидов с питьевой водой в организм человека и составления радиационно-гигиенического паспорта Брянской области.</w:t>
      </w:r>
    </w:p>
    <w:p w:rsidR="00504B69" w:rsidRPr="0066263B" w:rsidRDefault="00504B69" w:rsidP="003269CA">
      <w:pPr>
        <w:spacing w:before="0" w:after="0"/>
        <w:ind w:firstLine="709"/>
        <w:rPr>
          <w:rFonts w:ascii="Times New Roman" w:eastAsia="Times New Roman" w:hAnsi="Times New Roman" w:cs="Times New Roman"/>
          <w:sz w:val="24"/>
          <w:szCs w:val="24"/>
          <w:lang w:eastAsia="ru-RU"/>
        </w:rPr>
      </w:pPr>
    </w:p>
    <w:p w:rsidR="00DA7544" w:rsidRPr="0066263B" w:rsidRDefault="00504B69" w:rsidP="00950D6E">
      <w:pPr>
        <w:spacing w:before="0" w:after="0"/>
        <w:ind w:firstLine="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Мониторинг доз внешнего гамма-излучения</w:t>
      </w:r>
    </w:p>
    <w:p w:rsidR="00504B69" w:rsidRPr="0066263B" w:rsidRDefault="00504B69" w:rsidP="00324483">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Для оценки доз внешнего облучения населения проводились измерения мощности эквивалентной дозы (далее – МЭД) гамма-излучения (естественного </w:t>
      </w:r>
      <w:proofErr w:type="spellStart"/>
      <w:r w:rsidRPr="0066263B">
        <w:rPr>
          <w:rFonts w:ascii="Times New Roman" w:eastAsia="Times New Roman" w:hAnsi="Times New Roman" w:cs="Times New Roman"/>
          <w:sz w:val="24"/>
          <w:szCs w:val="24"/>
          <w:lang w:eastAsia="ru-RU"/>
        </w:rPr>
        <w:t>гамма-фона</w:t>
      </w:r>
      <w:proofErr w:type="spellEnd"/>
      <w:r w:rsidRPr="0066263B">
        <w:rPr>
          <w:rFonts w:ascii="Times New Roman" w:eastAsia="Times New Roman" w:hAnsi="Times New Roman" w:cs="Times New Roman"/>
          <w:sz w:val="24"/>
          <w:szCs w:val="24"/>
          <w:lang w:eastAsia="ru-RU"/>
        </w:rPr>
        <w:t xml:space="preserve">) в </w:t>
      </w:r>
      <w:proofErr w:type="spellStart"/>
      <w:r w:rsidRPr="0066263B">
        <w:rPr>
          <w:rFonts w:ascii="Times New Roman" w:eastAsia="Times New Roman" w:hAnsi="Times New Roman" w:cs="Times New Roman"/>
          <w:sz w:val="24"/>
          <w:szCs w:val="24"/>
          <w:lang w:eastAsia="ru-RU"/>
        </w:rPr>
        <w:t>реперных</w:t>
      </w:r>
      <w:proofErr w:type="spellEnd"/>
      <w:r w:rsidRPr="0066263B">
        <w:rPr>
          <w:rFonts w:ascii="Times New Roman" w:eastAsia="Times New Roman" w:hAnsi="Times New Roman" w:cs="Times New Roman"/>
          <w:sz w:val="24"/>
          <w:szCs w:val="24"/>
          <w:lang w:eastAsia="ru-RU"/>
        </w:rPr>
        <w:t xml:space="preserve"> точках Брянской области (с привязкой к географической системе координат), расположенных в г.г. Брянск, Злынка, Почеп, Карачев, Новозыбков, Унеча, </w:t>
      </w:r>
      <w:proofErr w:type="spellStart"/>
      <w:r w:rsidRPr="0066263B">
        <w:rPr>
          <w:rFonts w:ascii="Times New Roman" w:eastAsia="Times New Roman" w:hAnsi="Times New Roman" w:cs="Times New Roman"/>
          <w:sz w:val="24"/>
          <w:szCs w:val="24"/>
          <w:lang w:eastAsia="ru-RU"/>
        </w:rPr>
        <w:t>пгт</w:t>
      </w:r>
      <w:proofErr w:type="spellEnd"/>
      <w:r w:rsidRPr="0066263B">
        <w:rPr>
          <w:rFonts w:ascii="Times New Roman" w:eastAsia="Times New Roman" w:hAnsi="Times New Roman" w:cs="Times New Roman"/>
          <w:sz w:val="24"/>
          <w:szCs w:val="24"/>
          <w:lang w:eastAsia="ru-RU"/>
        </w:rPr>
        <w:t xml:space="preserve"> Красная Гора, </w:t>
      </w:r>
      <w:proofErr w:type="spellStart"/>
      <w:r w:rsidRPr="0066263B">
        <w:rPr>
          <w:rFonts w:ascii="Times New Roman" w:eastAsia="Times New Roman" w:hAnsi="Times New Roman" w:cs="Times New Roman"/>
          <w:sz w:val="24"/>
          <w:szCs w:val="24"/>
          <w:lang w:eastAsia="ru-RU"/>
        </w:rPr>
        <w:t>рп</w:t>
      </w:r>
      <w:proofErr w:type="spellEnd"/>
      <w:r w:rsidRPr="0066263B">
        <w:rPr>
          <w:rFonts w:ascii="Times New Roman" w:eastAsia="Times New Roman" w:hAnsi="Times New Roman" w:cs="Times New Roman"/>
          <w:sz w:val="24"/>
          <w:szCs w:val="24"/>
          <w:lang w:eastAsia="ru-RU"/>
        </w:rPr>
        <w:t> Климово, с. Гордеевка, п. </w:t>
      </w:r>
      <w:proofErr w:type="spellStart"/>
      <w:r w:rsidRPr="0066263B">
        <w:rPr>
          <w:rFonts w:ascii="Times New Roman" w:eastAsia="Times New Roman" w:hAnsi="Times New Roman" w:cs="Times New Roman"/>
          <w:sz w:val="24"/>
          <w:szCs w:val="24"/>
          <w:lang w:eastAsia="ru-RU"/>
        </w:rPr>
        <w:t>Клетня</w:t>
      </w:r>
      <w:proofErr w:type="spell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рп</w:t>
      </w:r>
      <w:proofErr w:type="spellEnd"/>
      <w:r w:rsidRPr="0066263B">
        <w:rPr>
          <w:rFonts w:ascii="Times New Roman" w:eastAsia="Times New Roman" w:hAnsi="Times New Roman" w:cs="Times New Roman"/>
          <w:sz w:val="24"/>
          <w:szCs w:val="24"/>
          <w:lang w:eastAsia="ru-RU"/>
        </w:rPr>
        <w:t> Комаричи и на территориях населённых пунктов, обследованных в рамках РГМ.</w:t>
      </w:r>
      <w:proofErr w:type="gramEnd"/>
      <w:r w:rsidRPr="0066263B">
        <w:rPr>
          <w:rFonts w:ascii="Times New Roman" w:eastAsia="Times New Roman" w:hAnsi="Times New Roman" w:cs="Times New Roman"/>
          <w:sz w:val="24"/>
          <w:szCs w:val="24"/>
          <w:lang w:eastAsia="ru-RU"/>
        </w:rPr>
        <w:t xml:space="preserve"> В 2021 году было проведено 5 187 измерений МЭД гамма-излучения (</w:t>
      </w:r>
      <w:proofErr w:type="spellStart"/>
      <w:proofErr w:type="gramStart"/>
      <w:r w:rsidRPr="0066263B">
        <w:rPr>
          <w:rFonts w:ascii="Times New Roman" w:eastAsia="Times New Roman" w:hAnsi="Times New Roman" w:cs="Times New Roman"/>
          <w:sz w:val="24"/>
          <w:szCs w:val="24"/>
          <w:lang w:eastAsia="ru-RU"/>
        </w:rPr>
        <w:t>гамма-фона</w:t>
      </w:r>
      <w:proofErr w:type="spellEnd"/>
      <w:proofErr w:type="gramEnd"/>
      <w:r w:rsidRPr="0066263B">
        <w:rPr>
          <w:rFonts w:ascii="Times New Roman" w:eastAsia="Times New Roman" w:hAnsi="Times New Roman" w:cs="Times New Roman"/>
          <w:sz w:val="24"/>
          <w:szCs w:val="24"/>
          <w:lang w:eastAsia="ru-RU"/>
        </w:rPr>
        <w:t>) (2020 – 6 027; 2019 – 5 597). В 539 измерениях МЭД гамма-излучения на территориях юго-западных районов (Злынковского, Гордеевского, Красногорского, Новозыбковского) Брянской области, пострадавших от аварии на Чернобыльской АЭС, установлено превышение более 0,30 </w:t>
      </w:r>
      <w:proofErr w:type="spellStart"/>
      <w:r w:rsidRPr="0066263B">
        <w:rPr>
          <w:rFonts w:ascii="Times New Roman" w:eastAsia="Times New Roman" w:hAnsi="Times New Roman" w:cs="Times New Roman"/>
          <w:sz w:val="24"/>
          <w:szCs w:val="24"/>
          <w:lang w:eastAsia="ru-RU"/>
        </w:rPr>
        <w:t>мкЗв</w:t>
      </w:r>
      <w:proofErr w:type="spellEnd"/>
      <w:r w:rsidRPr="0066263B">
        <w:rPr>
          <w:rFonts w:ascii="Times New Roman" w:eastAsia="Times New Roman" w:hAnsi="Times New Roman" w:cs="Times New Roman"/>
          <w:sz w:val="24"/>
          <w:szCs w:val="24"/>
          <w:lang w:eastAsia="ru-RU"/>
        </w:rPr>
        <w:t>/ч (2020 – 593; 2019 – 619).</w:t>
      </w:r>
    </w:p>
    <w:p w:rsidR="00504B69" w:rsidRPr="0066263B" w:rsidRDefault="00504B69" w:rsidP="00324483">
      <w:pPr>
        <w:spacing w:before="0" w:after="0"/>
        <w:ind w:firstLine="709"/>
        <w:rPr>
          <w:rFonts w:ascii="Times New Roman" w:eastAsia="Times New Roman" w:hAnsi="Times New Roman" w:cs="Times New Roman"/>
          <w:sz w:val="24"/>
          <w:szCs w:val="24"/>
          <w:lang w:eastAsia="ru-RU"/>
        </w:rPr>
      </w:pPr>
    </w:p>
    <w:p w:rsidR="00504B69" w:rsidRPr="0066263B" w:rsidRDefault="00504B69"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47</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 xml:space="preserve">Результаты контроля МЭД гамма-излучения в </w:t>
      </w:r>
      <w:proofErr w:type="spellStart"/>
      <w:r w:rsidRPr="0066263B">
        <w:rPr>
          <w:rFonts w:ascii="Times New Roman" w:eastAsia="Times New Roman" w:hAnsi="Times New Roman" w:cs="Times New Roman"/>
          <w:b/>
          <w:bCs/>
          <w:lang w:eastAsia="ru-RU"/>
        </w:rPr>
        <w:t>реперных</w:t>
      </w:r>
      <w:proofErr w:type="spellEnd"/>
      <w:r w:rsidRPr="0066263B">
        <w:rPr>
          <w:rFonts w:ascii="Times New Roman" w:eastAsia="Times New Roman" w:hAnsi="Times New Roman" w:cs="Times New Roman"/>
          <w:b/>
          <w:bCs/>
          <w:lang w:eastAsia="ru-RU"/>
        </w:rPr>
        <w:t xml:space="preserve"> точках</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4887" w:type="pct"/>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24"/>
        <w:gridCol w:w="1650"/>
        <w:gridCol w:w="1650"/>
        <w:gridCol w:w="1652"/>
      </w:tblGrid>
      <w:tr w:rsidR="00950D6E" w:rsidRPr="0066263B" w:rsidTr="00544557">
        <w:trPr>
          <w:cantSplit/>
          <w:trHeight w:val="518"/>
          <w:jc w:val="center"/>
        </w:trPr>
        <w:tc>
          <w:tcPr>
            <w:tcW w:w="2272" w:type="pct"/>
            <w:vMerge w:val="restart"/>
            <w:vAlign w:val="center"/>
          </w:tcPr>
          <w:p w:rsidR="00950D6E" w:rsidRPr="0066263B" w:rsidRDefault="00950D6E" w:rsidP="00950D6E">
            <w:pPr>
              <w:spacing w:before="20" w:after="20"/>
              <w:ind w:right="-2"/>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xml:space="preserve">Наименование населённого пункта, где расположены </w:t>
            </w:r>
            <w:proofErr w:type="spellStart"/>
            <w:r w:rsidRPr="0066263B">
              <w:rPr>
                <w:rFonts w:ascii="Times New Roman" w:eastAsia="Times New Roman" w:hAnsi="Times New Roman" w:cs="Times New Roman"/>
                <w:b/>
                <w:i/>
                <w:lang w:eastAsia="ru-RU"/>
              </w:rPr>
              <w:t>реперные</w:t>
            </w:r>
            <w:proofErr w:type="spellEnd"/>
            <w:r w:rsidRPr="0066263B">
              <w:rPr>
                <w:rFonts w:ascii="Times New Roman" w:eastAsia="Times New Roman" w:hAnsi="Times New Roman" w:cs="Times New Roman"/>
                <w:b/>
                <w:i/>
                <w:lang w:eastAsia="ru-RU"/>
              </w:rPr>
              <w:t xml:space="preserve"> точки</w:t>
            </w:r>
          </w:p>
        </w:tc>
        <w:tc>
          <w:tcPr>
            <w:tcW w:w="2728" w:type="pct"/>
            <w:gridSpan w:val="3"/>
            <w:tcBorders>
              <w:bottom w:val="single" w:sz="4" w:space="0" w:color="auto"/>
            </w:tcBorders>
            <w:vAlign w:val="center"/>
          </w:tcPr>
          <w:p w:rsidR="00950D6E" w:rsidRPr="0066263B" w:rsidRDefault="00950D6E" w:rsidP="00950D6E">
            <w:pPr>
              <w:spacing w:before="20" w:after="20"/>
              <w:ind w:right="-2"/>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Среднее значение МЭД ГИ по результатам</w:t>
            </w:r>
            <w:r w:rsidRPr="0066263B">
              <w:rPr>
                <w:rFonts w:ascii="Times New Roman" w:eastAsia="Times New Roman" w:hAnsi="Times New Roman" w:cs="Times New Roman"/>
                <w:b/>
                <w:i/>
                <w:lang w:eastAsia="ru-RU"/>
              </w:rPr>
              <w:br/>
              <w:t xml:space="preserve">контроля, </w:t>
            </w:r>
            <w:proofErr w:type="spellStart"/>
            <w:r w:rsidRPr="0066263B">
              <w:rPr>
                <w:rFonts w:ascii="Times New Roman" w:eastAsia="Times New Roman" w:hAnsi="Times New Roman" w:cs="Times New Roman"/>
                <w:b/>
                <w:i/>
                <w:lang w:eastAsia="ru-RU"/>
              </w:rPr>
              <w:t>мкЗв</w:t>
            </w:r>
            <w:proofErr w:type="spellEnd"/>
            <w:r w:rsidRPr="0066263B">
              <w:rPr>
                <w:rFonts w:ascii="Times New Roman" w:eastAsia="Times New Roman" w:hAnsi="Times New Roman" w:cs="Times New Roman"/>
                <w:b/>
                <w:i/>
                <w:lang w:eastAsia="ru-RU"/>
              </w:rPr>
              <w:t>/ч</w:t>
            </w:r>
          </w:p>
        </w:tc>
      </w:tr>
      <w:tr w:rsidR="00504B69" w:rsidRPr="0066263B" w:rsidTr="00544557">
        <w:trPr>
          <w:cantSplit/>
          <w:trHeight w:val="76"/>
          <w:jc w:val="center"/>
        </w:trPr>
        <w:tc>
          <w:tcPr>
            <w:tcW w:w="2272" w:type="pct"/>
            <w:vMerge/>
            <w:tcBorders>
              <w:bottom w:val="single" w:sz="4" w:space="0" w:color="auto"/>
            </w:tcBorders>
            <w:vAlign w:val="center"/>
          </w:tcPr>
          <w:p w:rsidR="00504B69" w:rsidRPr="0066263B" w:rsidRDefault="00504B69" w:rsidP="00950D6E">
            <w:pPr>
              <w:spacing w:before="20" w:after="20"/>
              <w:ind w:right="-2"/>
              <w:jc w:val="center"/>
              <w:rPr>
                <w:rFonts w:ascii="Times New Roman" w:eastAsia="Times New Roman" w:hAnsi="Times New Roman" w:cs="Times New Roman"/>
                <w:b/>
                <w:i/>
                <w:lang w:eastAsia="ru-RU"/>
              </w:rPr>
            </w:pPr>
          </w:p>
        </w:tc>
        <w:tc>
          <w:tcPr>
            <w:tcW w:w="909" w:type="pct"/>
            <w:tcBorders>
              <w:bottom w:val="single" w:sz="4" w:space="0" w:color="auto"/>
            </w:tcBorders>
            <w:vAlign w:val="center"/>
          </w:tcPr>
          <w:p w:rsidR="00504B69" w:rsidRPr="0066263B" w:rsidRDefault="00504B69" w:rsidP="00504B69">
            <w:pPr>
              <w:spacing w:before="20" w:after="20"/>
              <w:ind w:right="-2"/>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909" w:type="pct"/>
            <w:tcBorders>
              <w:bottom w:val="single" w:sz="4" w:space="0" w:color="auto"/>
            </w:tcBorders>
            <w:vAlign w:val="center"/>
          </w:tcPr>
          <w:p w:rsidR="00504B69" w:rsidRPr="0066263B" w:rsidRDefault="00504B69" w:rsidP="00504B69">
            <w:pPr>
              <w:spacing w:before="20" w:after="20"/>
              <w:ind w:right="-2"/>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910" w:type="pct"/>
            <w:tcBorders>
              <w:bottom w:val="single" w:sz="4" w:space="0" w:color="auto"/>
            </w:tcBorders>
            <w:vAlign w:val="center"/>
          </w:tcPr>
          <w:p w:rsidR="00504B69" w:rsidRPr="0066263B" w:rsidRDefault="00504B69" w:rsidP="00950D6E">
            <w:pPr>
              <w:spacing w:before="20" w:after="20"/>
              <w:ind w:right="-2"/>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504B69"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504B69" w:rsidRPr="0066263B" w:rsidRDefault="00504B69" w:rsidP="00950D6E">
            <w:pPr>
              <w:spacing w:before="20" w:after="2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Брянск</w:t>
            </w:r>
          </w:p>
        </w:tc>
        <w:tc>
          <w:tcPr>
            <w:tcW w:w="909" w:type="pct"/>
            <w:tcBorders>
              <w:top w:val="single" w:sz="4" w:space="0" w:color="auto"/>
              <w:left w:val="single" w:sz="4" w:space="0" w:color="auto"/>
              <w:bottom w:val="single" w:sz="4" w:space="0" w:color="auto"/>
            </w:tcBorders>
            <w:vAlign w:val="center"/>
          </w:tcPr>
          <w:p w:rsidR="00504B69" w:rsidRPr="0066263B" w:rsidRDefault="00504B69"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0,13</w:t>
            </w:r>
          </w:p>
        </w:tc>
        <w:tc>
          <w:tcPr>
            <w:tcW w:w="909" w:type="pct"/>
            <w:vAlign w:val="center"/>
          </w:tcPr>
          <w:p w:rsidR="00504B69" w:rsidRPr="0066263B" w:rsidRDefault="00504B69"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0,13</w:t>
            </w:r>
          </w:p>
        </w:tc>
        <w:tc>
          <w:tcPr>
            <w:tcW w:w="910" w:type="pct"/>
            <w:vAlign w:val="center"/>
          </w:tcPr>
          <w:p w:rsidR="00504B69" w:rsidRPr="0066263B" w:rsidRDefault="00504B69"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0,13</w:t>
            </w:r>
          </w:p>
        </w:tc>
      </w:tr>
      <w:tr w:rsidR="00504B69"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504B69" w:rsidRPr="0066263B" w:rsidRDefault="00504B69" w:rsidP="00504B69">
            <w:pPr>
              <w:spacing w:before="20" w:after="2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Клинцы</w:t>
            </w:r>
          </w:p>
        </w:tc>
        <w:tc>
          <w:tcPr>
            <w:tcW w:w="909" w:type="pct"/>
            <w:tcBorders>
              <w:top w:val="single" w:sz="4" w:space="0" w:color="auto"/>
              <w:left w:val="single" w:sz="4" w:space="0" w:color="auto"/>
              <w:bottom w:val="single" w:sz="4" w:space="0" w:color="auto"/>
            </w:tcBorders>
            <w:vAlign w:val="center"/>
          </w:tcPr>
          <w:p w:rsidR="00504B69" w:rsidRPr="0066263B" w:rsidRDefault="00504B69"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0,15</w:t>
            </w:r>
          </w:p>
        </w:tc>
        <w:tc>
          <w:tcPr>
            <w:tcW w:w="909" w:type="pct"/>
            <w:vAlign w:val="center"/>
          </w:tcPr>
          <w:p w:rsidR="00504B69" w:rsidRPr="0066263B" w:rsidRDefault="00504B69"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0,15</w:t>
            </w:r>
          </w:p>
        </w:tc>
        <w:tc>
          <w:tcPr>
            <w:tcW w:w="910" w:type="pct"/>
            <w:vAlign w:val="center"/>
          </w:tcPr>
          <w:p w:rsidR="00504B69" w:rsidRPr="0066263B" w:rsidRDefault="00504B69"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0,15</w:t>
            </w:r>
          </w:p>
        </w:tc>
      </w:tr>
      <w:tr w:rsidR="00504B69"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504B69" w:rsidRPr="0066263B" w:rsidRDefault="00504B69" w:rsidP="00950D6E">
            <w:pPr>
              <w:spacing w:before="20" w:after="20"/>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с</w:t>
            </w:r>
            <w:proofErr w:type="gramEnd"/>
            <w:r w:rsidRPr="0066263B">
              <w:rPr>
                <w:rFonts w:ascii="Times New Roman" w:eastAsia="Times New Roman" w:hAnsi="Times New Roman" w:cs="Times New Roman"/>
                <w:lang w:eastAsia="ru-RU"/>
              </w:rPr>
              <w:t>. Гордеевка</w:t>
            </w:r>
          </w:p>
        </w:tc>
        <w:tc>
          <w:tcPr>
            <w:tcW w:w="909" w:type="pct"/>
            <w:tcBorders>
              <w:top w:val="single" w:sz="4" w:space="0" w:color="auto"/>
              <w:left w:val="single" w:sz="4" w:space="0" w:color="auto"/>
              <w:bottom w:val="single" w:sz="4" w:space="0" w:color="auto"/>
            </w:tcBorders>
            <w:vAlign w:val="center"/>
          </w:tcPr>
          <w:p w:rsidR="00504B69" w:rsidRPr="0066263B" w:rsidRDefault="00504B69"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0,21</w:t>
            </w:r>
          </w:p>
        </w:tc>
        <w:tc>
          <w:tcPr>
            <w:tcW w:w="909" w:type="pct"/>
            <w:vAlign w:val="center"/>
          </w:tcPr>
          <w:p w:rsidR="00504B69" w:rsidRPr="0066263B" w:rsidRDefault="00504B69"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0,21</w:t>
            </w:r>
          </w:p>
        </w:tc>
        <w:tc>
          <w:tcPr>
            <w:tcW w:w="910" w:type="pct"/>
            <w:vAlign w:val="center"/>
          </w:tcPr>
          <w:p w:rsidR="00504B69" w:rsidRPr="0066263B" w:rsidRDefault="00504B69"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0,21</w:t>
            </w:r>
          </w:p>
        </w:tc>
      </w:tr>
      <w:tr w:rsidR="00230F53"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230F53" w:rsidRPr="0066263B" w:rsidRDefault="00230F53" w:rsidP="00504B69">
            <w:pPr>
              <w:spacing w:before="20" w:after="20"/>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пгт</w:t>
            </w:r>
            <w:proofErr w:type="spellEnd"/>
            <w:r w:rsidRPr="0066263B">
              <w:rPr>
                <w:rFonts w:ascii="Times New Roman" w:eastAsia="Times New Roman" w:hAnsi="Times New Roman" w:cs="Times New Roman"/>
                <w:lang w:eastAsia="ru-RU"/>
              </w:rPr>
              <w:t> Красная Гора</w:t>
            </w:r>
          </w:p>
        </w:tc>
        <w:tc>
          <w:tcPr>
            <w:tcW w:w="909" w:type="pct"/>
            <w:tcBorders>
              <w:top w:val="single" w:sz="4" w:space="0" w:color="auto"/>
              <w:left w:val="single" w:sz="4" w:space="0" w:color="auto"/>
              <w:bottom w:val="single" w:sz="4" w:space="0" w:color="auto"/>
            </w:tcBorders>
            <w:vAlign w:val="center"/>
          </w:tcPr>
          <w:p w:rsidR="00230F53" w:rsidRPr="0066263B" w:rsidRDefault="00230F53"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0,20</w:t>
            </w:r>
          </w:p>
        </w:tc>
        <w:tc>
          <w:tcPr>
            <w:tcW w:w="909" w:type="pct"/>
            <w:vAlign w:val="center"/>
          </w:tcPr>
          <w:p w:rsidR="00230F53" w:rsidRPr="0066263B" w:rsidRDefault="00230F53" w:rsidP="00230F5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0,20</w:t>
            </w:r>
          </w:p>
        </w:tc>
        <w:tc>
          <w:tcPr>
            <w:tcW w:w="910"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0,20</w:t>
            </w:r>
          </w:p>
        </w:tc>
      </w:tr>
      <w:tr w:rsidR="00230F53"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230F53" w:rsidRPr="0066263B" w:rsidRDefault="00230F53" w:rsidP="00950D6E">
            <w:pPr>
              <w:spacing w:before="20" w:after="2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Новозыбков</w:t>
            </w:r>
          </w:p>
        </w:tc>
        <w:tc>
          <w:tcPr>
            <w:tcW w:w="909" w:type="pct"/>
            <w:tcBorders>
              <w:top w:val="single" w:sz="4" w:space="0" w:color="auto"/>
              <w:left w:val="single" w:sz="4" w:space="0" w:color="auto"/>
              <w:bottom w:val="single" w:sz="4" w:space="0" w:color="auto"/>
            </w:tcBorders>
            <w:vAlign w:val="center"/>
          </w:tcPr>
          <w:p w:rsidR="00230F53" w:rsidRPr="0066263B" w:rsidRDefault="00230F53"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0,32</w:t>
            </w:r>
          </w:p>
        </w:tc>
        <w:tc>
          <w:tcPr>
            <w:tcW w:w="909" w:type="pct"/>
            <w:vAlign w:val="center"/>
          </w:tcPr>
          <w:p w:rsidR="00230F53" w:rsidRPr="0066263B" w:rsidRDefault="00230F53"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0,32</w:t>
            </w:r>
          </w:p>
        </w:tc>
        <w:tc>
          <w:tcPr>
            <w:tcW w:w="910" w:type="pct"/>
            <w:vAlign w:val="center"/>
          </w:tcPr>
          <w:p w:rsidR="00230F53" w:rsidRPr="0066263B" w:rsidRDefault="00230F53" w:rsidP="00950D6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0,31</w:t>
            </w:r>
          </w:p>
        </w:tc>
      </w:tr>
      <w:tr w:rsidR="00230F53"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230F53" w:rsidRPr="0066263B" w:rsidRDefault="00230F53" w:rsidP="00950D6E">
            <w:pPr>
              <w:spacing w:before="20" w:after="2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Злынка</w:t>
            </w:r>
          </w:p>
        </w:tc>
        <w:tc>
          <w:tcPr>
            <w:tcW w:w="909" w:type="pct"/>
            <w:tcBorders>
              <w:top w:val="single" w:sz="4" w:space="0" w:color="auto"/>
              <w:left w:val="single" w:sz="4" w:space="0" w:color="auto"/>
              <w:bottom w:val="single" w:sz="4" w:space="0" w:color="auto"/>
            </w:tcBorders>
            <w:vAlign w:val="center"/>
          </w:tcPr>
          <w:p w:rsidR="00230F53" w:rsidRPr="0066263B" w:rsidRDefault="00230F53"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0,36</w:t>
            </w:r>
          </w:p>
        </w:tc>
        <w:tc>
          <w:tcPr>
            <w:tcW w:w="909" w:type="pct"/>
            <w:vAlign w:val="center"/>
          </w:tcPr>
          <w:p w:rsidR="00230F53" w:rsidRPr="0066263B" w:rsidRDefault="00230F53" w:rsidP="00230F5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0,36</w:t>
            </w:r>
          </w:p>
        </w:tc>
        <w:tc>
          <w:tcPr>
            <w:tcW w:w="910" w:type="pct"/>
            <w:vAlign w:val="center"/>
          </w:tcPr>
          <w:p w:rsidR="00230F53" w:rsidRPr="0066263B" w:rsidRDefault="00230F53" w:rsidP="00950D6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0,35</w:t>
            </w:r>
          </w:p>
        </w:tc>
      </w:tr>
      <w:tr w:rsidR="00230F53"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230F53" w:rsidRPr="0066263B" w:rsidRDefault="00230F53" w:rsidP="00230F53">
            <w:pPr>
              <w:spacing w:before="20" w:after="20"/>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рп</w:t>
            </w:r>
            <w:proofErr w:type="spellEnd"/>
            <w:r w:rsidRPr="0066263B">
              <w:rPr>
                <w:rFonts w:ascii="Times New Roman" w:eastAsia="Times New Roman" w:hAnsi="Times New Roman" w:cs="Times New Roman"/>
                <w:lang w:eastAsia="ru-RU"/>
              </w:rPr>
              <w:t> Климово</w:t>
            </w:r>
          </w:p>
        </w:tc>
        <w:tc>
          <w:tcPr>
            <w:tcW w:w="909" w:type="pct"/>
            <w:tcBorders>
              <w:top w:val="single" w:sz="4" w:space="0" w:color="auto"/>
              <w:left w:val="single" w:sz="4" w:space="0" w:color="auto"/>
              <w:bottom w:val="single" w:sz="4" w:space="0" w:color="auto"/>
            </w:tcBorders>
            <w:vAlign w:val="center"/>
          </w:tcPr>
          <w:p w:rsidR="00230F53" w:rsidRPr="0066263B" w:rsidRDefault="00230F53"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0,16</w:t>
            </w:r>
          </w:p>
        </w:tc>
        <w:tc>
          <w:tcPr>
            <w:tcW w:w="909" w:type="pct"/>
            <w:vAlign w:val="center"/>
          </w:tcPr>
          <w:p w:rsidR="00230F53" w:rsidRPr="0066263B" w:rsidRDefault="00230F53" w:rsidP="00504B6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0,16</w:t>
            </w:r>
          </w:p>
        </w:tc>
        <w:tc>
          <w:tcPr>
            <w:tcW w:w="910" w:type="pct"/>
            <w:vAlign w:val="center"/>
          </w:tcPr>
          <w:p w:rsidR="00230F53" w:rsidRPr="0066263B" w:rsidRDefault="00230F53" w:rsidP="00950D6E">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0,16</w:t>
            </w:r>
          </w:p>
        </w:tc>
      </w:tr>
      <w:tr w:rsidR="00230F53"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230F53" w:rsidRPr="0066263B" w:rsidRDefault="00230F53" w:rsidP="00230F53">
            <w:pPr>
              <w:spacing w:before="20" w:after="2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 </w:t>
            </w:r>
            <w:proofErr w:type="spellStart"/>
            <w:r w:rsidRPr="0066263B">
              <w:rPr>
                <w:rFonts w:ascii="Times New Roman" w:eastAsia="Times New Roman" w:hAnsi="Times New Roman" w:cs="Times New Roman"/>
                <w:lang w:eastAsia="ru-RU"/>
              </w:rPr>
              <w:t>Клетня</w:t>
            </w:r>
            <w:proofErr w:type="spellEnd"/>
          </w:p>
        </w:tc>
        <w:tc>
          <w:tcPr>
            <w:tcW w:w="909" w:type="pct"/>
            <w:tcBorders>
              <w:top w:val="single" w:sz="4" w:space="0" w:color="auto"/>
              <w:left w:val="single" w:sz="4" w:space="0" w:color="auto"/>
              <w:bottom w:val="single" w:sz="4" w:space="0" w:color="auto"/>
            </w:tcBorders>
            <w:vAlign w:val="center"/>
          </w:tcPr>
          <w:p w:rsidR="00230F53" w:rsidRPr="0066263B" w:rsidRDefault="00230F53" w:rsidP="00230F5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c>
          <w:tcPr>
            <w:tcW w:w="909"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c>
          <w:tcPr>
            <w:tcW w:w="910"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r>
      <w:tr w:rsidR="00230F53"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230F53" w:rsidRPr="0066263B" w:rsidRDefault="00230F53" w:rsidP="00230F53">
            <w:pPr>
              <w:spacing w:before="20" w:after="2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Унеча</w:t>
            </w:r>
          </w:p>
        </w:tc>
        <w:tc>
          <w:tcPr>
            <w:tcW w:w="909" w:type="pct"/>
            <w:tcBorders>
              <w:top w:val="single" w:sz="4" w:space="0" w:color="auto"/>
              <w:left w:val="single" w:sz="4" w:space="0" w:color="auto"/>
              <w:bottom w:val="single" w:sz="4" w:space="0" w:color="auto"/>
            </w:tcBorders>
            <w:vAlign w:val="center"/>
          </w:tcPr>
          <w:p w:rsidR="00230F53" w:rsidRPr="0066263B" w:rsidRDefault="00230F53" w:rsidP="00230F5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c>
          <w:tcPr>
            <w:tcW w:w="909"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c>
          <w:tcPr>
            <w:tcW w:w="910"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r>
      <w:tr w:rsidR="00230F53"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230F53" w:rsidRPr="0066263B" w:rsidRDefault="00230F53" w:rsidP="00230F53">
            <w:pPr>
              <w:spacing w:before="20" w:after="20"/>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рп</w:t>
            </w:r>
            <w:proofErr w:type="spellEnd"/>
            <w:r w:rsidRPr="0066263B">
              <w:rPr>
                <w:rFonts w:ascii="Times New Roman" w:eastAsia="Times New Roman" w:hAnsi="Times New Roman" w:cs="Times New Roman"/>
                <w:lang w:eastAsia="ru-RU"/>
              </w:rPr>
              <w:t xml:space="preserve"> Комаричи</w:t>
            </w:r>
          </w:p>
        </w:tc>
        <w:tc>
          <w:tcPr>
            <w:tcW w:w="909" w:type="pct"/>
            <w:tcBorders>
              <w:top w:val="single" w:sz="4" w:space="0" w:color="auto"/>
              <w:left w:val="single" w:sz="4" w:space="0" w:color="auto"/>
              <w:bottom w:val="single" w:sz="4" w:space="0" w:color="auto"/>
            </w:tcBorders>
            <w:vAlign w:val="center"/>
          </w:tcPr>
          <w:p w:rsidR="00230F53" w:rsidRPr="0066263B" w:rsidRDefault="00230F53" w:rsidP="00230F5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c>
          <w:tcPr>
            <w:tcW w:w="909"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c>
          <w:tcPr>
            <w:tcW w:w="910"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r>
      <w:tr w:rsidR="00230F53"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230F53" w:rsidRPr="0066263B" w:rsidRDefault="00230F53" w:rsidP="00230F53">
            <w:pPr>
              <w:spacing w:before="20" w:after="2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Почеп</w:t>
            </w:r>
          </w:p>
        </w:tc>
        <w:tc>
          <w:tcPr>
            <w:tcW w:w="909" w:type="pct"/>
            <w:tcBorders>
              <w:top w:val="single" w:sz="4" w:space="0" w:color="auto"/>
              <w:left w:val="single" w:sz="4" w:space="0" w:color="auto"/>
              <w:bottom w:val="single" w:sz="4" w:space="0" w:color="auto"/>
            </w:tcBorders>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c>
          <w:tcPr>
            <w:tcW w:w="909"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c>
          <w:tcPr>
            <w:tcW w:w="910"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r>
      <w:tr w:rsidR="00230F53" w:rsidRPr="0066263B" w:rsidTr="00544557">
        <w:trPr>
          <w:cantSplit/>
          <w:trHeight w:val="244"/>
          <w:jc w:val="center"/>
        </w:trPr>
        <w:tc>
          <w:tcPr>
            <w:tcW w:w="2272" w:type="pct"/>
            <w:tcBorders>
              <w:top w:val="single" w:sz="4" w:space="0" w:color="auto"/>
              <w:bottom w:val="single" w:sz="4" w:space="0" w:color="auto"/>
              <w:right w:val="single" w:sz="4" w:space="0" w:color="auto"/>
            </w:tcBorders>
          </w:tcPr>
          <w:p w:rsidR="00230F53" w:rsidRPr="0066263B" w:rsidRDefault="00230F53" w:rsidP="00230F53">
            <w:pPr>
              <w:spacing w:before="20" w:after="2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Карачев</w:t>
            </w:r>
          </w:p>
        </w:tc>
        <w:tc>
          <w:tcPr>
            <w:tcW w:w="909" w:type="pct"/>
            <w:tcBorders>
              <w:top w:val="single" w:sz="4" w:space="0" w:color="auto"/>
              <w:left w:val="single" w:sz="4" w:space="0" w:color="auto"/>
              <w:bottom w:val="single" w:sz="4" w:space="0" w:color="auto"/>
            </w:tcBorders>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c>
          <w:tcPr>
            <w:tcW w:w="909"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c>
          <w:tcPr>
            <w:tcW w:w="910" w:type="pct"/>
            <w:vAlign w:val="center"/>
          </w:tcPr>
          <w:p w:rsidR="00230F53" w:rsidRPr="0066263B" w:rsidRDefault="00230F53"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504B69" w:rsidRPr="0066263B" w:rsidRDefault="00230F5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Согласно результатам дозиметрических измерений за 2021 год максимальные уровни </w:t>
      </w:r>
      <w:proofErr w:type="spellStart"/>
      <w:proofErr w:type="gramStart"/>
      <w:r w:rsidRPr="0066263B">
        <w:rPr>
          <w:rFonts w:ascii="Times New Roman" w:eastAsia="Times New Roman" w:hAnsi="Times New Roman" w:cs="Times New Roman"/>
          <w:sz w:val="24"/>
          <w:szCs w:val="24"/>
          <w:lang w:eastAsia="ru-RU"/>
        </w:rPr>
        <w:t>гамма-фона</w:t>
      </w:r>
      <w:proofErr w:type="spellEnd"/>
      <w:proofErr w:type="gramEnd"/>
      <w:r w:rsidRPr="0066263B">
        <w:rPr>
          <w:rFonts w:ascii="Times New Roman" w:eastAsia="Times New Roman" w:hAnsi="Times New Roman" w:cs="Times New Roman"/>
          <w:sz w:val="24"/>
          <w:szCs w:val="24"/>
          <w:lang w:eastAsia="ru-RU"/>
        </w:rPr>
        <w:t xml:space="preserve"> отмечаются на открытой местности юго-западных районов в НП: Заборье Красногорского района (0,80 </w:t>
      </w:r>
      <w:proofErr w:type="spellStart"/>
      <w:r w:rsidRPr="0066263B">
        <w:rPr>
          <w:rFonts w:ascii="Times New Roman" w:eastAsia="Times New Roman" w:hAnsi="Times New Roman" w:cs="Times New Roman"/>
          <w:sz w:val="24"/>
          <w:szCs w:val="24"/>
          <w:lang w:eastAsia="ru-RU"/>
        </w:rPr>
        <w:t>мкЗв</w:t>
      </w:r>
      <w:proofErr w:type="spellEnd"/>
      <w:r w:rsidRPr="0066263B">
        <w:rPr>
          <w:rFonts w:ascii="Times New Roman" w:eastAsia="Times New Roman" w:hAnsi="Times New Roman" w:cs="Times New Roman"/>
          <w:sz w:val="24"/>
          <w:szCs w:val="24"/>
          <w:lang w:eastAsia="ru-RU"/>
        </w:rPr>
        <w:t xml:space="preserve">/час); </w:t>
      </w:r>
      <w:proofErr w:type="spellStart"/>
      <w:r w:rsidRPr="0066263B">
        <w:rPr>
          <w:rFonts w:ascii="Times New Roman" w:eastAsia="Times New Roman" w:hAnsi="Times New Roman" w:cs="Times New Roman"/>
          <w:sz w:val="24"/>
          <w:szCs w:val="24"/>
          <w:lang w:eastAsia="ru-RU"/>
        </w:rPr>
        <w:t>Денисковичи</w:t>
      </w:r>
      <w:proofErr w:type="spellEnd"/>
      <w:r w:rsidRPr="0066263B">
        <w:rPr>
          <w:rFonts w:ascii="Times New Roman" w:eastAsia="Times New Roman" w:hAnsi="Times New Roman" w:cs="Times New Roman"/>
          <w:sz w:val="24"/>
          <w:szCs w:val="24"/>
          <w:lang w:eastAsia="ru-RU"/>
        </w:rPr>
        <w:t xml:space="preserve"> Злынковского района (0,39 </w:t>
      </w:r>
      <w:proofErr w:type="spellStart"/>
      <w:r w:rsidRPr="0066263B">
        <w:rPr>
          <w:rFonts w:ascii="Times New Roman" w:eastAsia="Times New Roman" w:hAnsi="Times New Roman" w:cs="Times New Roman"/>
          <w:sz w:val="24"/>
          <w:szCs w:val="24"/>
          <w:lang w:eastAsia="ru-RU"/>
        </w:rPr>
        <w:t>мкЗв</w:t>
      </w:r>
      <w:proofErr w:type="spellEnd"/>
      <w:r w:rsidRPr="0066263B">
        <w:rPr>
          <w:rFonts w:ascii="Times New Roman" w:eastAsia="Times New Roman" w:hAnsi="Times New Roman" w:cs="Times New Roman"/>
          <w:sz w:val="24"/>
          <w:szCs w:val="24"/>
          <w:lang w:eastAsia="ru-RU"/>
        </w:rPr>
        <w:t>/час); Старый Вышков Новозыбковского района (0,57 </w:t>
      </w:r>
      <w:proofErr w:type="spellStart"/>
      <w:r w:rsidRPr="0066263B">
        <w:rPr>
          <w:rFonts w:ascii="Times New Roman" w:eastAsia="Times New Roman" w:hAnsi="Times New Roman" w:cs="Times New Roman"/>
          <w:sz w:val="24"/>
          <w:szCs w:val="24"/>
          <w:lang w:eastAsia="ru-RU"/>
        </w:rPr>
        <w:t>мкЗв</w:t>
      </w:r>
      <w:proofErr w:type="spellEnd"/>
      <w:r w:rsidRPr="0066263B">
        <w:rPr>
          <w:rFonts w:ascii="Times New Roman" w:eastAsia="Times New Roman" w:hAnsi="Times New Roman" w:cs="Times New Roman"/>
          <w:sz w:val="24"/>
          <w:szCs w:val="24"/>
          <w:lang w:eastAsia="ru-RU"/>
        </w:rPr>
        <w:t>/час); Гута-Корецкая (0,53 </w:t>
      </w:r>
      <w:proofErr w:type="spellStart"/>
      <w:r w:rsidRPr="0066263B">
        <w:rPr>
          <w:rFonts w:ascii="Times New Roman" w:eastAsia="Times New Roman" w:hAnsi="Times New Roman" w:cs="Times New Roman"/>
          <w:sz w:val="24"/>
          <w:szCs w:val="24"/>
          <w:lang w:eastAsia="ru-RU"/>
        </w:rPr>
        <w:t>мкЗв</w:t>
      </w:r>
      <w:proofErr w:type="spellEnd"/>
      <w:r w:rsidRPr="0066263B">
        <w:rPr>
          <w:rFonts w:ascii="Times New Roman" w:eastAsia="Times New Roman" w:hAnsi="Times New Roman" w:cs="Times New Roman"/>
          <w:sz w:val="24"/>
          <w:szCs w:val="24"/>
          <w:lang w:eastAsia="ru-RU"/>
        </w:rPr>
        <w:t xml:space="preserve">/час) и </w:t>
      </w:r>
      <w:proofErr w:type="spellStart"/>
      <w:r w:rsidRPr="0066263B">
        <w:rPr>
          <w:rFonts w:ascii="Times New Roman" w:eastAsia="Times New Roman" w:hAnsi="Times New Roman" w:cs="Times New Roman"/>
          <w:sz w:val="24"/>
          <w:szCs w:val="24"/>
          <w:lang w:eastAsia="ru-RU"/>
        </w:rPr>
        <w:t>Веприн</w:t>
      </w:r>
      <w:proofErr w:type="spellEnd"/>
      <w:r w:rsidRPr="0066263B">
        <w:rPr>
          <w:rFonts w:ascii="Times New Roman" w:eastAsia="Times New Roman" w:hAnsi="Times New Roman" w:cs="Times New Roman"/>
          <w:sz w:val="24"/>
          <w:szCs w:val="24"/>
          <w:lang w:eastAsia="ru-RU"/>
        </w:rPr>
        <w:t xml:space="preserve"> (0,34 </w:t>
      </w:r>
      <w:proofErr w:type="spellStart"/>
      <w:r w:rsidRPr="0066263B">
        <w:rPr>
          <w:rFonts w:ascii="Times New Roman" w:eastAsia="Times New Roman" w:hAnsi="Times New Roman" w:cs="Times New Roman"/>
          <w:sz w:val="24"/>
          <w:szCs w:val="24"/>
          <w:lang w:eastAsia="ru-RU"/>
        </w:rPr>
        <w:t>мкЗв</w:t>
      </w:r>
      <w:proofErr w:type="spellEnd"/>
      <w:r w:rsidRPr="0066263B">
        <w:rPr>
          <w:rFonts w:ascii="Times New Roman" w:eastAsia="Times New Roman" w:hAnsi="Times New Roman" w:cs="Times New Roman"/>
          <w:sz w:val="24"/>
          <w:szCs w:val="24"/>
          <w:lang w:eastAsia="ru-RU"/>
        </w:rPr>
        <w:t xml:space="preserve">/час) Клинцовского района; </w:t>
      </w:r>
      <w:proofErr w:type="spellStart"/>
      <w:r w:rsidRPr="0066263B">
        <w:rPr>
          <w:rFonts w:ascii="Times New Roman" w:eastAsia="Times New Roman" w:hAnsi="Times New Roman" w:cs="Times New Roman"/>
          <w:sz w:val="24"/>
          <w:szCs w:val="24"/>
          <w:lang w:eastAsia="ru-RU"/>
        </w:rPr>
        <w:t>Новоновицкая</w:t>
      </w:r>
      <w:proofErr w:type="spellEnd"/>
      <w:r w:rsidRPr="0066263B">
        <w:rPr>
          <w:rFonts w:ascii="Times New Roman" w:eastAsia="Times New Roman" w:hAnsi="Times New Roman" w:cs="Times New Roman"/>
          <w:sz w:val="24"/>
          <w:szCs w:val="24"/>
          <w:lang w:eastAsia="ru-RU"/>
        </w:rPr>
        <w:t xml:space="preserve"> (0,42 </w:t>
      </w:r>
      <w:proofErr w:type="spellStart"/>
      <w:r w:rsidRPr="0066263B">
        <w:rPr>
          <w:rFonts w:ascii="Times New Roman" w:eastAsia="Times New Roman" w:hAnsi="Times New Roman" w:cs="Times New Roman"/>
          <w:sz w:val="24"/>
          <w:szCs w:val="24"/>
          <w:lang w:eastAsia="ru-RU"/>
        </w:rPr>
        <w:t>мкЗв</w:t>
      </w:r>
      <w:proofErr w:type="spellEnd"/>
      <w:r w:rsidRPr="0066263B">
        <w:rPr>
          <w:rFonts w:ascii="Times New Roman" w:eastAsia="Times New Roman" w:hAnsi="Times New Roman" w:cs="Times New Roman"/>
          <w:sz w:val="24"/>
          <w:szCs w:val="24"/>
          <w:lang w:eastAsia="ru-RU"/>
        </w:rPr>
        <w:t>/час) и Владимировка (0,43 </w:t>
      </w:r>
      <w:proofErr w:type="spellStart"/>
      <w:r w:rsidRPr="0066263B">
        <w:rPr>
          <w:rFonts w:ascii="Times New Roman" w:eastAsia="Times New Roman" w:hAnsi="Times New Roman" w:cs="Times New Roman"/>
          <w:sz w:val="24"/>
          <w:szCs w:val="24"/>
          <w:lang w:eastAsia="ru-RU"/>
        </w:rPr>
        <w:t>мкЗв</w:t>
      </w:r>
      <w:proofErr w:type="spellEnd"/>
      <w:r w:rsidRPr="0066263B">
        <w:rPr>
          <w:rFonts w:ascii="Times New Roman" w:eastAsia="Times New Roman" w:hAnsi="Times New Roman" w:cs="Times New Roman"/>
          <w:sz w:val="24"/>
          <w:szCs w:val="24"/>
          <w:lang w:eastAsia="ru-RU"/>
        </w:rPr>
        <w:t>/час) Гордеевского района.</w:t>
      </w:r>
    </w:p>
    <w:p w:rsidR="00230F53" w:rsidRPr="0066263B" w:rsidRDefault="00230F53" w:rsidP="00230F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 результатам проведённых дозиметрических измерений, превышение характерного для данной местности естественного </w:t>
      </w:r>
      <w:proofErr w:type="spellStart"/>
      <w:proofErr w:type="gramStart"/>
      <w:r w:rsidRPr="0066263B">
        <w:rPr>
          <w:rFonts w:ascii="Times New Roman" w:eastAsia="Times New Roman" w:hAnsi="Times New Roman" w:cs="Times New Roman"/>
          <w:sz w:val="24"/>
          <w:szCs w:val="24"/>
          <w:lang w:eastAsia="ru-RU"/>
        </w:rPr>
        <w:t>гамма-фона</w:t>
      </w:r>
      <w:proofErr w:type="spellEnd"/>
      <w:proofErr w:type="gramEnd"/>
      <w:r w:rsidRPr="0066263B">
        <w:rPr>
          <w:rFonts w:ascii="Times New Roman" w:eastAsia="Times New Roman" w:hAnsi="Times New Roman" w:cs="Times New Roman"/>
          <w:sz w:val="24"/>
          <w:szCs w:val="24"/>
          <w:lang w:eastAsia="ru-RU"/>
        </w:rPr>
        <w:t xml:space="preserve"> на обследованных территориях Брянской области, в том числе в юго-западных районах области, пострадавших от аварии на Чернобыльской АЭС, не зафиксировано.</w:t>
      </w:r>
    </w:p>
    <w:p w:rsidR="00745E5D" w:rsidRPr="0066263B" w:rsidRDefault="00230F53" w:rsidP="00230F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Ежедневный контроль за уровнем МЭД гамма-излучения (</w:t>
      </w:r>
      <w:proofErr w:type="spellStart"/>
      <w:proofErr w:type="gramStart"/>
      <w:r w:rsidRPr="0066263B">
        <w:rPr>
          <w:rFonts w:ascii="Times New Roman" w:eastAsia="Times New Roman" w:hAnsi="Times New Roman" w:cs="Times New Roman"/>
          <w:sz w:val="24"/>
          <w:szCs w:val="24"/>
          <w:lang w:eastAsia="ru-RU"/>
        </w:rPr>
        <w:t>гамма-фоном</w:t>
      </w:r>
      <w:proofErr w:type="spellEnd"/>
      <w:proofErr w:type="gramEnd"/>
      <w:r w:rsidRPr="0066263B">
        <w:rPr>
          <w:rFonts w:ascii="Times New Roman" w:eastAsia="Times New Roman" w:hAnsi="Times New Roman" w:cs="Times New Roman"/>
          <w:sz w:val="24"/>
          <w:szCs w:val="24"/>
          <w:lang w:eastAsia="ru-RU"/>
        </w:rPr>
        <w:t xml:space="preserve">) в </w:t>
      </w:r>
      <w:proofErr w:type="spellStart"/>
      <w:r w:rsidRPr="0066263B">
        <w:rPr>
          <w:rFonts w:ascii="Times New Roman" w:eastAsia="Times New Roman" w:hAnsi="Times New Roman" w:cs="Times New Roman"/>
          <w:sz w:val="24"/>
          <w:szCs w:val="24"/>
          <w:lang w:eastAsia="ru-RU"/>
        </w:rPr>
        <w:t>реперных</w:t>
      </w:r>
      <w:proofErr w:type="spellEnd"/>
      <w:r w:rsidRPr="0066263B">
        <w:rPr>
          <w:rFonts w:ascii="Times New Roman" w:eastAsia="Times New Roman" w:hAnsi="Times New Roman" w:cs="Times New Roman"/>
          <w:sz w:val="24"/>
          <w:szCs w:val="24"/>
          <w:lang w:eastAsia="ru-RU"/>
        </w:rPr>
        <w:t xml:space="preserve"> точках на территории Брянской области продолжается.</w:t>
      </w:r>
    </w:p>
    <w:p w:rsidR="00A731BE" w:rsidRPr="0066263B" w:rsidRDefault="00A731BE" w:rsidP="00230F53">
      <w:pPr>
        <w:spacing w:before="0" w:after="0"/>
        <w:ind w:firstLine="709"/>
        <w:rPr>
          <w:rFonts w:ascii="Times New Roman" w:eastAsia="Times New Roman" w:hAnsi="Times New Roman" w:cs="Times New Roman"/>
          <w:sz w:val="24"/>
          <w:szCs w:val="24"/>
          <w:lang w:eastAsia="ru-RU"/>
        </w:rPr>
      </w:pPr>
    </w:p>
    <w:p w:rsidR="00DA7544" w:rsidRPr="0066263B" w:rsidRDefault="00DA7544" w:rsidP="00A731BE">
      <w:pPr>
        <w:spacing w:before="0" w:after="0"/>
        <w:ind w:firstLine="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Облучение от природных источников ионизирующего излучения</w:t>
      </w:r>
    </w:p>
    <w:p w:rsidR="00DA7544" w:rsidRPr="0066263B" w:rsidRDefault="00DA7544" w:rsidP="00DA754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Ведущим фактором облучения для жителей Брянской области является доза от природных источников ионизирующего излучений (далее – ПИИИ), которая составляет 72</w:t>
      </w:r>
      <w:r w:rsidR="00230F53" w:rsidRPr="0066263B">
        <w:rPr>
          <w:rFonts w:ascii="Times New Roman" w:eastAsia="Times New Roman" w:hAnsi="Times New Roman" w:cs="Times New Roman"/>
          <w:sz w:val="24"/>
          <w:szCs w:val="24"/>
          <w:lang w:eastAsia="ru-RU"/>
        </w:rPr>
        <w:t>,81</w:t>
      </w:r>
      <w:r w:rsidRPr="0066263B">
        <w:rPr>
          <w:rFonts w:ascii="Times New Roman" w:eastAsia="Times New Roman" w:hAnsi="Times New Roman" w:cs="Times New Roman"/>
          <w:sz w:val="24"/>
          <w:szCs w:val="24"/>
          <w:lang w:eastAsia="ru-RU"/>
        </w:rPr>
        <w:t>% от всей дозы облучения. Доза от природных источников ионизирующего излучения на 1 жителя Брянской области в 20</w:t>
      </w:r>
      <w:r w:rsidR="00230F53"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составляет 2,</w:t>
      </w:r>
      <w:r w:rsidR="00230F53" w:rsidRPr="0066263B">
        <w:rPr>
          <w:rFonts w:ascii="Times New Roman" w:eastAsia="Times New Roman" w:hAnsi="Times New Roman" w:cs="Times New Roman"/>
          <w:sz w:val="24"/>
          <w:szCs w:val="24"/>
          <w:lang w:eastAsia="ru-RU"/>
        </w:rPr>
        <w:t>37 </w:t>
      </w:r>
      <w:proofErr w:type="spellStart"/>
      <w:r w:rsidR="00230F53" w:rsidRPr="0066263B">
        <w:rPr>
          <w:rFonts w:ascii="Times New Roman" w:eastAsia="Times New Roman" w:hAnsi="Times New Roman" w:cs="Times New Roman"/>
          <w:sz w:val="24"/>
          <w:szCs w:val="24"/>
          <w:lang w:eastAsia="ru-RU"/>
        </w:rPr>
        <w:t>мЗв</w:t>
      </w:r>
      <w:proofErr w:type="spellEnd"/>
      <w:r w:rsidR="00230F53" w:rsidRPr="0066263B">
        <w:rPr>
          <w:rFonts w:ascii="Times New Roman" w:eastAsia="Times New Roman" w:hAnsi="Times New Roman" w:cs="Times New Roman"/>
          <w:sz w:val="24"/>
          <w:szCs w:val="24"/>
          <w:lang w:eastAsia="ru-RU"/>
        </w:rPr>
        <w:t xml:space="preserve">/год и </w:t>
      </w:r>
      <w:r w:rsidRPr="0066263B">
        <w:rPr>
          <w:rFonts w:ascii="Times New Roman" w:eastAsia="Times New Roman" w:hAnsi="Times New Roman" w:cs="Times New Roman"/>
          <w:sz w:val="24"/>
          <w:szCs w:val="24"/>
          <w:lang w:eastAsia="ru-RU"/>
        </w:rPr>
        <w:t xml:space="preserve">складывается </w:t>
      </w:r>
      <w:proofErr w:type="gramStart"/>
      <w:r w:rsidRPr="0066263B">
        <w:rPr>
          <w:rFonts w:ascii="Times New Roman" w:eastAsia="Times New Roman" w:hAnsi="Times New Roman" w:cs="Times New Roman"/>
          <w:sz w:val="24"/>
          <w:szCs w:val="24"/>
          <w:lang w:eastAsia="ru-RU"/>
        </w:rPr>
        <w:t>из</w:t>
      </w:r>
      <w:proofErr w:type="gramEnd"/>
      <w:r w:rsidRPr="0066263B">
        <w:rPr>
          <w:rFonts w:ascii="Times New Roman" w:eastAsia="Times New Roman" w:hAnsi="Times New Roman" w:cs="Times New Roman"/>
          <w:sz w:val="24"/>
          <w:szCs w:val="24"/>
          <w:lang w:eastAsia="ru-RU"/>
        </w:rPr>
        <w:t>:</w:t>
      </w:r>
    </w:p>
    <w:p w:rsidR="00DA7544" w:rsidRPr="0066263B" w:rsidRDefault="00DA7544" w:rsidP="00BE7104">
      <w:pPr>
        <w:numPr>
          <w:ilvl w:val="0"/>
          <w:numId w:val="50"/>
        </w:numPr>
        <w:spacing w:before="0" w:after="0"/>
        <w:ind w:left="851" w:hanging="142"/>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дозы внутреннего облучения за счёт ингаляции изотопов радона (0,7</w:t>
      </w:r>
      <w:r w:rsidR="00230F53" w:rsidRPr="0066263B">
        <w:rPr>
          <w:rFonts w:ascii="Times New Roman" w:eastAsia="Times New Roman" w:hAnsi="Times New Roman" w:cs="Times New Roman"/>
          <w:bCs/>
          <w:sz w:val="24"/>
          <w:szCs w:val="24"/>
          <w:lang w:eastAsia="ru-RU"/>
        </w:rPr>
        <w:t>76</w:t>
      </w:r>
      <w:r w:rsidRPr="0066263B">
        <w:rPr>
          <w:rFonts w:ascii="Times New Roman" w:eastAsia="Times New Roman" w:hAnsi="Times New Roman" w:cs="Times New Roman"/>
          <w:bCs/>
          <w:sz w:val="24"/>
          <w:szCs w:val="24"/>
          <w:lang w:eastAsia="ru-RU"/>
        </w:rPr>
        <w:t> </w:t>
      </w:r>
      <w:proofErr w:type="spellStart"/>
      <w:r w:rsidRPr="0066263B">
        <w:rPr>
          <w:rFonts w:ascii="Times New Roman" w:eastAsia="Times New Roman" w:hAnsi="Times New Roman" w:cs="Times New Roman"/>
          <w:bCs/>
          <w:sz w:val="24"/>
          <w:szCs w:val="24"/>
          <w:lang w:eastAsia="ru-RU"/>
        </w:rPr>
        <w:t>мЗв</w:t>
      </w:r>
      <w:proofErr w:type="spellEnd"/>
      <w:r w:rsidRPr="0066263B">
        <w:rPr>
          <w:rFonts w:ascii="Times New Roman" w:eastAsia="Times New Roman" w:hAnsi="Times New Roman" w:cs="Times New Roman"/>
          <w:bCs/>
          <w:sz w:val="24"/>
          <w:szCs w:val="24"/>
          <w:lang w:eastAsia="ru-RU"/>
        </w:rPr>
        <w:t xml:space="preserve">/год </w:t>
      </w:r>
      <w:r w:rsidRPr="0066263B">
        <w:rPr>
          <w:rFonts w:ascii="Times New Roman" w:eastAsia="Times New Roman" w:hAnsi="Times New Roman" w:cs="Times New Roman"/>
          <w:sz w:val="24"/>
          <w:szCs w:val="24"/>
          <w:lang w:eastAsia="ru-RU"/>
        </w:rPr>
        <w:t xml:space="preserve">– </w:t>
      </w:r>
      <w:r w:rsidR="00230F53" w:rsidRPr="0066263B">
        <w:rPr>
          <w:rFonts w:ascii="Times New Roman" w:eastAsia="Times New Roman" w:hAnsi="Times New Roman" w:cs="Times New Roman"/>
          <w:bCs/>
          <w:sz w:val="24"/>
          <w:szCs w:val="24"/>
          <w:lang w:eastAsia="ru-RU"/>
        </w:rPr>
        <w:t>32,7</w:t>
      </w:r>
      <w:r w:rsidRPr="0066263B">
        <w:rPr>
          <w:rFonts w:ascii="Times New Roman" w:eastAsia="Times New Roman" w:hAnsi="Times New Roman" w:cs="Times New Roman"/>
          <w:bCs/>
          <w:sz w:val="24"/>
          <w:szCs w:val="24"/>
          <w:lang w:eastAsia="ru-RU"/>
        </w:rPr>
        <w:t>%);</w:t>
      </w:r>
    </w:p>
    <w:p w:rsidR="00DA7544" w:rsidRPr="0066263B" w:rsidRDefault="00DA7544" w:rsidP="00BE7104">
      <w:pPr>
        <w:numPr>
          <w:ilvl w:val="0"/>
          <w:numId w:val="50"/>
        </w:numPr>
        <w:spacing w:before="0" w:after="0"/>
        <w:ind w:left="851" w:hanging="142"/>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дозы внешнего облучения от источников терригенного происхождения (0,83</w:t>
      </w:r>
      <w:r w:rsidR="00230F53" w:rsidRPr="0066263B">
        <w:rPr>
          <w:rFonts w:ascii="Times New Roman" w:eastAsia="Times New Roman" w:hAnsi="Times New Roman" w:cs="Times New Roman"/>
          <w:bCs/>
          <w:sz w:val="24"/>
          <w:szCs w:val="24"/>
          <w:lang w:eastAsia="ru-RU"/>
        </w:rPr>
        <w:t>8</w:t>
      </w:r>
      <w:r w:rsidRPr="0066263B">
        <w:rPr>
          <w:rFonts w:ascii="Times New Roman" w:eastAsia="Times New Roman" w:hAnsi="Times New Roman" w:cs="Times New Roman"/>
          <w:bCs/>
          <w:sz w:val="24"/>
          <w:szCs w:val="24"/>
          <w:lang w:eastAsia="ru-RU"/>
        </w:rPr>
        <w:t> </w:t>
      </w:r>
      <w:proofErr w:type="spellStart"/>
      <w:r w:rsidRPr="0066263B">
        <w:rPr>
          <w:rFonts w:ascii="Times New Roman" w:eastAsia="Times New Roman" w:hAnsi="Times New Roman" w:cs="Times New Roman"/>
          <w:bCs/>
          <w:sz w:val="24"/>
          <w:szCs w:val="24"/>
          <w:lang w:eastAsia="ru-RU"/>
        </w:rPr>
        <w:t>мЗв</w:t>
      </w:r>
      <w:proofErr w:type="spellEnd"/>
      <w:r w:rsidRPr="0066263B">
        <w:rPr>
          <w:rFonts w:ascii="Times New Roman" w:eastAsia="Times New Roman" w:hAnsi="Times New Roman" w:cs="Times New Roman"/>
          <w:bCs/>
          <w:sz w:val="24"/>
          <w:szCs w:val="24"/>
          <w:lang w:eastAsia="ru-RU"/>
        </w:rPr>
        <w:t xml:space="preserve">/год </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bCs/>
          <w:sz w:val="24"/>
          <w:szCs w:val="24"/>
          <w:lang w:eastAsia="ru-RU"/>
        </w:rPr>
        <w:t>35,</w:t>
      </w:r>
      <w:r w:rsidR="00230F53" w:rsidRPr="0066263B">
        <w:rPr>
          <w:rFonts w:ascii="Times New Roman" w:eastAsia="Times New Roman" w:hAnsi="Times New Roman" w:cs="Times New Roman"/>
          <w:bCs/>
          <w:sz w:val="24"/>
          <w:szCs w:val="24"/>
          <w:lang w:eastAsia="ru-RU"/>
        </w:rPr>
        <w:t>3</w:t>
      </w:r>
      <w:r w:rsidRPr="0066263B">
        <w:rPr>
          <w:rFonts w:ascii="Times New Roman" w:eastAsia="Times New Roman" w:hAnsi="Times New Roman" w:cs="Times New Roman"/>
          <w:bCs/>
          <w:sz w:val="24"/>
          <w:szCs w:val="24"/>
          <w:lang w:eastAsia="ru-RU"/>
        </w:rPr>
        <w:t>%);</w:t>
      </w:r>
    </w:p>
    <w:p w:rsidR="00DA7544" w:rsidRPr="0066263B" w:rsidRDefault="00DA7544" w:rsidP="00BE7104">
      <w:pPr>
        <w:numPr>
          <w:ilvl w:val="0"/>
          <w:numId w:val="50"/>
        </w:numPr>
        <w:spacing w:before="0" w:after="0"/>
        <w:ind w:left="851" w:hanging="142"/>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вклада космического излучения (0,40 </w:t>
      </w:r>
      <w:proofErr w:type="spellStart"/>
      <w:r w:rsidRPr="0066263B">
        <w:rPr>
          <w:rFonts w:ascii="Times New Roman" w:eastAsia="Times New Roman" w:hAnsi="Times New Roman" w:cs="Times New Roman"/>
          <w:bCs/>
          <w:sz w:val="24"/>
          <w:szCs w:val="24"/>
          <w:lang w:eastAsia="ru-RU"/>
        </w:rPr>
        <w:t>мЗв</w:t>
      </w:r>
      <w:proofErr w:type="spellEnd"/>
      <w:r w:rsidRPr="0066263B">
        <w:rPr>
          <w:rFonts w:ascii="Times New Roman" w:eastAsia="Times New Roman" w:hAnsi="Times New Roman" w:cs="Times New Roman"/>
          <w:bCs/>
          <w:sz w:val="24"/>
          <w:szCs w:val="24"/>
          <w:lang w:eastAsia="ru-RU"/>
        </w:rPr>
        <w:t xml:space="preserve">/год </w:t>
      </w:r>
      <w:r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bCs/>
          <w:sz w:val="24"/>
          <w:szCs w:val="24"/>
          <w:lang w:eastAsia="ru-RU"/>
        </w:rPr>
        <w:t>16,</w:t>
      </w:r>
      <w:r w:rsidR="00230F53" w:rsidRPr="0066263B">
        <w:rPr>
          <w:rFonts w:ascii="Times New Roman" w:eastAsia="Times New Roman" w:hAnsi="Times New Roman" w:cs="Times New Roman"/>
          <w:bCs/>
          <w:sz w:val="24"/>
          <w:szCs w:val="24"/>
          <w:lang w:eastAsia="ru-RU"/>
        </w:rPr>
        <w:t>9</w:t>
      </w:r>
      <w:r w:rsidRPr="0066263B">
        <w:rPr>
          <w:rFonts w:ascii="Times New Roman" w:eastAsia="Times New Roman" w:hAnsi="Times New Roman" w:cs="Times New Roman"/>
          <w:bCs/>
          <w:sz w:val="24"/>
          <w:szCs w:val="24"/>
          <w:lang w:eastAsia="ru-RU"/>
        </w:rPr>
        <w:t>%);</w:t>
      </w:r>
    </w:p>
    <w:p w:rsidR="00DA7544" w:rsidRPr="0066263B" w:rsidRDefault="00DA7544" w:rsidP="00BE7104">
      <w:pPr>
        <w:numPr>
          <w:ilvl w:val="0"/>
          <w:numId w:val="50"/>
        </w:numPr>
        <w:spacing w:before="0" w:after="0"/>
        <w:ind w:left="851" w:hanging="142"/>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дозы за счёт потребления пищевых продуктов, питьевой воды, содержания</w:t>
      </w:r>
      <w:r w:rsidRPr="0066263B">
        <w:rPr>
          <w:rFonts w:ascii="Times New Roman" w:eastAsia="Times New Roman" w:hAnsi="Times New Roman" w:cs="Times New Roman"/>
          <w:bCs/>
          <w:sz w:val="24"/>
          <w:szCs w:val="24"/>
          <w:lang w:eastAsia="ru-RU"/>
        </w:rPr>
        <w:br/>
        <w:t>К-40 в организме (0,35</w:t>
      </w:r>
      <w:r w:rsidR="00A731BE" w:rsidRPr="0066263B">
        <w:rPr>
          <w:rFonts w:ascii="Times New Roman" w:eastAsia="Times New Roman" w:hAnsi="Times New Roman" w:cs="Times New Roman"/>
          <w:bCs/>
          <w:sz w:val="24"/>
          <w:szCs w:val="24"/>
          <w:lang w:eastAsia="ru-RU"/>
        </w:rPr>
        <w:t>8</w:t>
      </w:r>
      <w:r w:rsidRPr="0066263B">
        <w:rPr>
          <w:rFonts w:ascii="Times New Roman" w:eastAsia="Times New Roman" w:hAnsi="Times New Roman" w:cs="Times New Roman"/>
          <w:bCs/>
          <w:sz w:val="24"/>
          <w:szCs w:val="24"/>
          <w:lang w:eastAsia="ru-RU"/>
        </w:rPr>
        <w:t> </w:t>
      </w:r>
      <w:proofErr w:type="spellStart"/>
      <w:r w:rsidRPr="0066263B">
        <w:rPr>
          <w:rFonts w:ascii="Times New Roman" w:eastAsia="Times New Roman" w:hAnsi="Times New Roman" w:cs="Times New Roman"/>
          <w:bCs/>
          <w:sz w:val="24"/>
          <w:szCs w:val="24"/>
          <w:lang w:eastAsia="ru-RU"/>
        </w:rPr>
        <w:t>мЗв</w:t>
      </w:r>
      <w:proofErr w:type="spellEnd"/>
      <w:r w:rsidRPr="0066263B">
        <w:rPr>
          <w:rFonts w:ascii="Times New Roman" w:eastAsia="Times New Roman" w:hAnsi="Times New Roman" w:cs="Times New Roman"/>
          <w:bCs/>
          <w:sz w:val="24"/>
          <w:szCs w:val="24"/>
          <w:lang w:eastAsia="ru-RU"/>
        </w:rPr>
        <w:t xml:space="preserve">/год </w:t>
      </w:r>
      <w:r w:rsidRPr="0066263B">
        <w:rPr>
          <w:rFonts w:ascii="Times New Roman" w:eastAsia="Times New Roman" w:hAnsi="Times New Roman" w:cs="Times New Roman"/>
          <w:sz w:val="24"/>
          <w:szCs w:val="24"/>
          <w:lang w:eastAsia="ru-RU"/>
        </w:rPr>
        <w:t xml:space="preserve">– </w:t>
      </w:r>
      <w:r w:rsidR="00A731BE" w:rsidRPr="0066263B">
        <w:rPr>
          <w:rFonts w:ascii="Times New Roman" w:eastAsia="Times New Roman" w:hAnsi="Times New Roman" w:cs="Times New Roman"/>
          <w:sz w:val="24"/>
          <w:szCs w:val="24"/>
          <w:lang w:eastAsia="ru-RU"/>
        </w:rPr>
        <w:t>15,1</w:t>
      </w:r>
      <w:r w:rsidRPr="0066263B">
        <w:rPr>
          <w:rFonts w:ascii="Times New Roman" w:eastAsia="Times New Roman" w:hAnsi="Times New Roman" w:cs="Times New Roman"/>
          <w:bCs/>
          <w:sz w:val="24"/>
          <w:szCs w:val="24"/>
          <w:lang w:eastAsia="ru-RU"/>
        </w:rPr>
        <w:t>%).</w:t>
      </w:r>
    </w:p>
    <w:p w:rsidR="00230F53" w:rsidRPr="0066263B" w:rsidRDefault="00230F53" w:rsidP="00DA7544">
      <w:pPr>
        <w:spacing w:before="0" w:after="0"/>
        <w:ind w:firstLine="709"/>
        <w:rPr>
          <w:rFonts w:ascii="Times New Roman" w:eastAsia="Times New Roman" w:hAnsi="Times New Roman" w:cs="Times New Roman"/>
          <w:sz w:val="24"/>
          <w:szCs w:val="24"/>
          <w:lang w:eastAsia="ru-RU"/>
        </w:rPr>
      </w:pPr>
    </w:p>
    <w:p w:rsidR="00DA7544" w:rsidRPr="0066263B" w:rsidRDefault="00DA7544" w:rsidP="00DA754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 целью усиления </w:t>
      </w:r>
      <w:proofErr w:type="gramStart"/>
      <w:r w:rsidRPr="0066263B">
        <w:rPr>
          <w:rFonts w:ascii="Times New Roman" w:eastAsia="Times New Roman" w:hAnsi="Times New Roman" w:cs="Times New Roman"/>
          <w:sz w:val="24"/>
          <w:szCs w:val="24"/>
          <w:lang w:eastAsia="ru-RU"/>
        </w:rPr>
        <w:t>контроля за</w:t>
      </w:r>
      <w:proofErr w:type="gramEnd"/>
      <w:r w:rsidRPr="0066263B">
        <w:rPr>
          <w:rFonts w:ascii="Times New Roman" w:eastAsia="Times New Roman" w:hAnsi="Times New Roman" w:cs="Times New Roman"/>
          <w:sz w:val="24"/>
          <w:szCs w:val="24"/>
          <w:lang w:eastAsia="ru-RU"/>
        </w:rPr>
        <w:t xml:space="preserve"> природными источниками ионизирующего излучения в 202</w:t>
      </w:r>
      <w:r w:rsidR="00A731B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продолжена работа по реализации </w:t>
      </w:r>
      <w:r w:rsidR="00A731BE" w:rsidRPr="0066263B">
        <w:rPr>
          <w:rFonts w:ascii="Times New Roman" w:eastAsia="Times New Roman" w:hAnsi="Times New Roman" w:cs="Times New Roman"/>
          <w:sz w:val="24"/>
          <w:szCs w:val="24"/>
          <w:lang w:eastAsia="ru-RU"/>
        </w:rPr>
        <w:t xml:space="preserve">Постановления </w:t>
      </w:r>
      <w:r w:rsidRPr="0066263B">
        <w:rPr>
          <w:rFonts w:ascii="Times New Roman" w:eastAsia="Times New Roman" w:hAnsi="Times New Roman" w:cs="Times New Roman"/>
          <w:sz w:val="24"/>
          <w:szCs w:val="24"/>
          <w:lang w:eastAsia="ru-RU"/>
        </w:rPr>
        <w:t xml:space="preserve">Главного государственного санитарного врача по Брянской области от 05.12.2013 № 30 «Об </w:t>
      </w:r>
      <w:r w:rsidRPr="0066263B">
        <w:rPr>
          <w:rFonts w:ascii="Times New Roman" w:eastAsia="Times New Roman" w:hAnsi="Times New Roman" w:cs="Times New Roman"/>
          <w:sz w:val="24"/>
          <w:szCs w:val="24"/>
          <w:lang w:eastAsia="ru-RU"/>
        </w:rPr>
        <w:lastRenderedPageBreak/>
        <w:t>организации деятельности в области обеспечения радиационной безопасности населения Брянской области».</w:t>
      </w:r>
    </w:p>
    <w:p w:rsidR="00DA7544" w:rsidRPr="0066263B" w:rsidRDefault="00DA7544" w:rsidP="00DA754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Требования по обеспечению радиационной безопасности населения распространяются на регулируемые природные источники излучения: изотопы радона и продукты их радиоактивного распада в воздухе помещений, гамма-излучение природных радионуклидов, содержащихся в почве, строительных изделиях и материалах, минеральных удобрениях и </w:t>
      </w:r>
      <w:proofErr w:type="spellStart"/>
      <w:r w:rsidRPr="0066263B">
        <w:rPr>
          <w:rFonts w:ascii="Times New Roman" w:eastAsia="Times New Roman" w:hAnsi="Times New Roman" w:cs="Times New Roman"/>
          <w:sz w:val="24"/>
          <w:szCs w:val="24"/>
          <w:lang w:eastAsia="ru-RU"/>
        </w:rPr>
        <w:t>агрохимикатах</w:t>
      </w:r>
      <w:proofErr w:type="spellEnd"/>
      <w:r w:rsidRPr="0066263B">
        <w:rPr>
          <w:rFonts w:ascii="Times New Roman" w:eastAsia="Times New Roman" w:hAnsi="Times New Roman" w:cs="Times New Roman"/>
          <w:sz w:val="24"/>
          <w:szCs w:val="24"/>
          <w:lang w:eastAsia="ru-RU"/>
        </w:rPr>
        <w:t>, а также продукции, изготовленной с использованием минерального сырья и материалов, содержащих природные радионуклиды.</w:t>
      </w:r>
    </w:p>
    <w:p w:rsidR="00DA7544" w:rsidRPr="0066263B" w:rsidRDefault="00DA7544" w:rsidP="00DA754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Информация по </w:t>
      </w:r>
      <w:proofErr w:type="spellStart"/>
      <w:proofErr w:type="gramStart"/>
      <w:r w:rsidRPr="0066263B">
        <w:rPr>
          <w:rFonts w:ascii="Times New Roman" w:eastAsia="Times New Roman" w:hAnsi="Times New Roman" w:cs="Times New Roman"/>
          <w:sz w:val="24"/>
          <w:szCs w:val="24"/>
          <w:lang w:eastAsia="ru-RU"/>
        </w:rPr>
        <w:t>гамма-спектрометрическим</w:t>
      </w:r>
      <w:proofErr w:type="spellEnd"/>
      <w:proofErr w:type="gramEnd"/>
      <w:r w:rsidRPr="0066263B">
        <w:rPr>
          <w:rFonts w:ascii="Times New Roman" w:eastAsia="Times New Roman" w:hAnsi="Times New Roman" w:cs="Times New Roman"/>
          <w:sz w:val="24"/>
          <w:szCs w:val="24"/>
          <w:lang w:eastAsia="ru-RU"/>
        </w:rPr>
        <w:t xml:space="preserve"> исследованиям, с целью определения класса по удельной эффективной активности природных радионуклидов (</w:t>
      </w:r>
      <w:proofErr w:type="spellStart"/>
      <w:r w:rsidRPr="0066263B">
        <w:rPr>
          <w:rFonts w:ascii="Times New Roman" w:eastAsia="Times New Roman" w:hAnsi="Times New Roman" w:cs="Times New Roman"/>
          <w:sz w:val="24"/>
          <w:szCs w:val="24"/>
          <w:lang w:eastAsia="ru-RU"/>
        </w:rPr>
        <w:t>Аэфф</w:t>
      </w:r>
      <w:proofErr w:type="spellEnd"/>
      <w:r w:rsidRPr="0066263B">
        <w:rPr>
          <w:rFonts w:ascii="Times New Roman" w:eastAsia="Times New Roman" w:hAnsi="Times New Roman" w:cs="Times New Roman"/>
          <w:sz w:val="24"/>
          <w:szCs w:val="24"/>
          <w:lang w:eastAsia="ru-RU"/>
        </w:rPr>
        <w:t>.) в строительных материалах, минеральном сырье и материалах с повышенным содержанием природных радионуклидов за 201</w:t>
      </w:r>
      <w:r w:rsidR="007D2C1D">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-202</w:t>
      </w:r>
      <w:r w:rsidR="00C374EA"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г.г., представлена в таблицах 4</w:t>
      </w:r>
      <w:r w:rsidR="00765681"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-4</w:t>
      </w:r>
      <w:r w:rsidR="00765681"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w:t>
      </w:r>
    </w:p>
    <w:p w:rsidR="00DA7544" w:rsidRPr="0066263B" w:rsidRDefault="00DA7544" w:rsidP="00DA7544">
      <w:pPr>
        <w:spacing w:before="0" w:after="0"/>
        <w:ind w:firstLine="709"/>
        <w:rPr>
          <w:rFonts w:ascii="Times New Roman" w:eastAsia="Times New Roman" w:hAnsi="Times New Roman" w:cs="Times New Roman"/>
          <w:sz w:val="24"/>
          <w:szCs w:val="24"/>
          <w:lang w:eastAsia="ru-RU"/>
        </w:rPr>
      </w:pPr>
    </w:p>
    <w:p w:rsidR="00DA7544" w:rsidRPr="0066263B" w:rsidRDefault="00DA7544" w:rsidP="00DA7544">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48</w:t>
      </w:r>
      <w:r w:rsidR="006C34E2" w:rsidRPr="0066263B">
        <w:rPr>
          <w:rFonts w:ascii="Times New Roman" w:eastAsia="Calibri" w:hAnsi="Times New Roman" w:cs="Times New Roman"/>
        </w:rPr>
        <w:fldChar w:fldCharType="end"/>
      </w:r>
    </w:p>
    <w:p w:rsidR="00DA7544" w:rsidRPr="0066263B" w:rsidRDefault="00DA7544" w:rsidP="00DA7544">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Количество исследованных проб (класс) строительных материалов</w:t>
      </w:r>
      <w:r w:rsidRPr="0066263B">
        <w:rPr>
          <w:rFonts w:ascii="Times New Roman" w:eastAsia="Times New Roman" w:hAnsi="Times New Roman" w:cs="Times New Roman"/>
          <w:b/>
          <w:bCs/>
          <w:lang w:eastAsia="ru-RU"/>
        </w:rPr>
        <w:br/>
        <w:t>на содержание природных радионуклидов</w:t>
      </w:r>
    </w:p>
    <w:p w:rsidR="00DA7544" w:rsidRPr="0066263B" w:rsidRDefault="00DA7544" w:rsidP="00DA7544">
      <w:pPr>
        <w:spacing w:before="0" w:after="0"/>
        <w:jc w:val="center"/>
        <w:rPr>
          <w:rFonts w:ascii="Times New Roman" w:eastAsia="Times New Roman" w:hAnsi="Times New Roman" w:cs="Times New Roman"/>
          <w:b/>
          <w:bCs/>
          <w:lang w:eastAsia="ru-RU"/>
        </w:rPr>
      </w:pPr>
    </w:p>
    <w:tbl>
      <w:tblPr>
        <w:tblW w:w="9539"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750"/>
        <w:gridCol w:w="1202"/>
        <w:gridCol w:w="546"/>
        <w:gridCol w:w="388"/>
        <w:gridCol w:w="473"/>
        <w:gridCol w:w="1463"/>
        <w:gridCol w:w="546"/>
        <w:gridCol w:w="388"/>
        <w:gridCol w:w="473"/>
        <w:gridCol w:w="1247"/>
        <w:gridCol w:w="546"/>
        <w:gridCol w:w="388"/>
        <w:gridCol w:w="473"/>
      </w:tblGrid>
      <w:tr w:rsidR="00DA7544" w:rsidRPr="0066263B" w:rsidTr="00B47DEA">
        <w:trPr>
          <w:trHeight w:val="186"/>
          <w:jc w:val="center"/>
        </w:trPr>
        <w:tc>
          <w:tcPr>
            <w:tcW w:w="656" w:type="dxa"/>
            <w:vMerge w:val="restart"/>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750" w:type="dxa"/>
            <w:vMerge w:val="restart"/>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Всего</w:t>
            </w:r>
          </w:p>
        </w:tc>
        <w:tc>
          <w:tcPr>
            <w:tcW w:w="1202" w:type="dxa"/>
            <w:vMerge w:val="restart"/>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xml:space="preserve">Местного </w:t>
            </w:r>
            <w:proofErr w:type="spellStart"/>
            <w:proofErr w:type="gramStart"/>
            <w:r w:rsidRPr="0066263B">
              <w:rPr>
                <w:rFonts w:ascii="Times New Roman" w:eastAsia="Times New Roman" w:hAnsi="Times New Roman" w:cs="Times New Roman"/>
                <w:b/>
                <w:i/>
                <w:lang w:eastAsia="ru-RU"/>
              </w:rPr>
              <w:t>производ-ства</w:t>
            </w:r>
            <w:proofErr w:type="spellEnd"/>
            <w:proofErr w:type="gramEnd"/>
          </w:p>
        </w:tc>
        <w:tc>
          <w:tcPr>
            <w:tcW w:w="1407" w:type="dxa"/>
            <w:gridSpan w:val="3"/>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Уд</w:t>
            </w:r>
            <w:proofErr w:type="gramStart"/>
            <w:r w:rsidRPr="0066263B">
              <w:rPr>
                <w:rFonts w:ascii="Times New Roman" w:eastAsia="Times New Roman" w:hAnsi="Times New Roman" w:cs="Times New Roman"/>
                <w:b/>
                <w:i/>
                <w:lang w:eastAsia="ru-RU"/>
              </w:rPr>
              <w:t>.</w:t>
            </w:r>
            <w:proofErr w:type="gramEnd"/>
            <w:r w:rsidRPr="0066263B">
              <w:rPr>
                <w:rFonts w:ascii="Times New Roman" w:eastAsia="Times New Roman" w:hAnsi="Times New Roman" w:cs="Times New Roman"/>
                <w:b/>
                <w:i/>
                <w:lang w:eastAsia="ru-RU"/>
              </w:rPr>
              <w:t xml:space="preserve"> </w:t>
            </w:r>
            <w:proofErr w:type="gramStart"/>
            <w:r w:rsidRPr="0066263B">
              <w:rPr>
                <w:rFonts w:ascii="Times New Roman" w:eastAsia="Times New Roman" w:hAnsi="Times New Roman" w:cs="Times New Roman"/>
                <w:b/>
                <w:i/>
                <w:lang w:eastAsia="ru-RU"/>
              </w:rPr>
              <w:t>в</w:t>
            </w:r>
            <w:proofErr w:type="gramEnd"/>
            <w:r w:rsidRPr="0066263B">
              <w:rPr>
                <w:rFonts w:ascii="Times New Roman" w:eastAsia="Times New Roman" w:hAnsi="Times New Roman" w:cs="Times New Roman"/>
                <w:b/>
                <w:i/>
                <w:lang w:eastAsia="ru-RU"/>
              </w:rPr>
              <w:t>ес, %</w:t>
            </w:r>
          </w:p>
        </w:tc>
        <w:tc>
          <w:tcPr>
            <w:tcW w:w="1463" w:type="dxa"/>
            <w:vMerge w:val="restart"/>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Привозные из других территорий РФ</w:t>
            </w:r>
          </w:p>
        </w:tc>
        <w:tc>
          <w:tcPr>
            <w:tcW w:w="1407" w:type="dxa"/>
            <w:gridSpan w:val="3"/>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Уд</w:t>
            </w:r>
            <w:proofErr w:type="gramStart"/>
            <w:r w:rsidRPr="0066263B">
              <w:rPr>
                <w:rFonts w:ascii="Times New Roman" w:eastAsia="Times New Roman" w:hAnsi="Times New Roman" w:cs="Times New Roman"/>
                <w:b/>
                <w:i/>
                <w:lang w:eastAsia="ru-RU"/>
              </w:rPr>
              <w:t>.</w:t>
            </w:r>
            <w:proofErr w:type="gramEnd"/>
            <w:r w:rsidRPr="0066263B">
              <w:rPr>
                <w:rFonts w:ascii="Times New Roman" w:eastAsia="Times New Roman" w:hAnsi="Times New Roman" w:cs="Times New Roman"/>
                <w:b/>
                <w:i/>
                <w:lang w:eastAsia="ru-RU"/>
              </w:rPr>
              <w:t xml:space="preserve"> </w:t>
            </w:r>
            <w:proofErr w:type="gramStart"/>
            <w:r w:rsidRPr="0066263B">
              <w:rPr>
                <w:rFonts w:ascii="Times New Roman" w:eastAsia="Times New Roman" w:hAnsi="Times New Roman" w:cs="Times New Roman"/>
                <w:b/>
                <w:i/>
                <w:lang w:eastAsia="ru-RU"/>
              </w:rPr>
              <w:t>в</w:t>
            </w:r>
            <w:proofErr w:type="gramEnd"/>
            <w:r w:rsidRPr="0066263B">
              <w:rPr>
                <w:rFonts w:ascii="Times New Roman" w:eastAsia="Times New Roman" w:hAnsi="Times New Roman" w:cs="Times New Roman"/>
                <w:b/>
                <w:i/>
                <w:lang w:eastAsia="ru-RU"/>
              </w:rPr>
              <w:t>ес, %</w:t>
            </w:r>
          </w:p>
        </w:tc>
        <w:tc>
          <w:tcPr>
            <w:tcW w:w="1247" w:type="dxa"/>
            <w:vMerge w:val="restart"/>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roofErr w:type="spellStart"/>
            <w:proofErr w:type="gramStart"/>
            <w:r w:rsidRPr="0066263B">
              <w:rPr>
                <w:rFonts w:ascii="Times New Roman" w:eastAsia="Times New Roman" w:hAnsi="Times New Roman" w:cs="Times New Roman"/>
                <w:b/>
                <w:i/>
                <w:lang w:eastAsia="ru-RU"/>
              </w:rPr>
              <w:t>Импорти-руемые</w:t>
            </w:r>
            <w:proofErr w:type="spellEnd"/>
            <w:proofErr w:type="gramEnd"/>
          </w:p>
        </w:tc>
        <w:tc>
          <w:tcPr>
            <w:tcW w:w="1407" w:type="dxa"/>
            <w:gridSpan w:val="3"/>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Уд</w:t>
            </w:r>
            <w:proofErr w:type="gramStart"/>
            <w:r w:rsidRPr="0066263B">
              <w:rPr>
                <w:rFonts w:ascii="Times New Roman" w:eastAsia="Times New Roman" w:hAnsi="Times New Roman" w:cs="Times New Roman"/>
                <w:b/>
                <w:i/>
                <w:lang w:eastAsia="ru-RU"/>
              </w:rPr>
              <w:t>.</w:t>
            </w:r>
            <w:proofErr w:type="gramEnd"/>
            <w:r w:rsidRPr="0066263B">
              <w:rPr>
                <w:rFonts w:ascii="Times New Roman" w:eastAsia="Times New Roman" w:hAnsi="Times New Roman" w:cs="Times New Roman"/>
                <w:b/>
                <w:i/>
                <w:lang w:eastAsia="ru-RU"/>
              </w:rPr>
              <w:t xml:space="preserve"> </w:t>
            </w:r>
            <w:proofErr w:type="gramStart"/>
            <w:r w:rsidRPr="0066263B">
              <w:rPr>
                <w:rFonts w:ascii="Times New Roman" w:eastAsia="Times New Roman" w:hAnsi="Times New Roman" w:cs="Times New Roman"/>
                <w:b/>
                <w:i/>
                <w:lang w:eastAsia="ru-RU"/>
              </w:rPr>
              <w:t>в</w:t>
            </w:r>
            <w:proofErr w:type="gramEnd"/>
            <w:r w:rsidRPr="0066263B">
              <w:rPr>
                <w:rFonts w:ascii="Times New Roman" w:eastAsia="Times New Roman" w:hAnsi="Times New Roman" w:cs="Times New Roman"/>
                <w:b/>
                <w:i/>
                <w:lang w:eastAsia="ru-RU"/>
              </w:rPr>
              <w:t>ес, %</w:t>
            </w:r>
          </w:p>
        </w:tc>
      </w:tr>
      <w:tr w:rsidR="00DA7544" w:rsidRPr="0066263B" w:rsidTr="00B47DEA">
        <w:trPr>
          <w:trHeight w:val="303"/>
          <w:jc w:val="center"/>
        </w:trPr>
        <w:tc>
          <w:tcPr>
            <w:tcW w:w="656" w:type="dxa"/>
            <w:vMerge/>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750" w:type="dxa"/>
            <w:vMerge/>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1202" w:type="dxa"/>
            <w:vMerge/>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546"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I</w:t>
            </w:r>
          </w:p>
        </w:tc>
        <w:tc>
          <w:tcPr>
            <w:tcW w:w="388"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II</w:t>
            </w:r>
          </w:p>
        </w:tc>
        <w:tc>
          <w:tcPr>
            <w:tcW w:w="473"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III</w:t>
            </w:r>
          </w:p>
        </w:tc>
        <w:tc>
          <w:tcPr>
            <w:tcW w:w="1463" w:type="dxa"/>
            <w:vMerge/>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546"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I</w:t>
            </w:r>
          </w:p>
        </w:tc>
        <w:tc>
          <w:tcPr>
            <w:tcW w:w="388"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II</w:t>
            </w:r>
          </w:p>
        </w:tc>
        <w:tc>
          <w:tcPr>
            <w:tcW w:w="473"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III</w:t>
            </w:r>
          </w:p>
        </w:tc>
        <w:tc>
          <w:tcPr>
            <w:tcW w:w="1247" w:type="dxa"/>
            <w:vMerge/>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546"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I</w:t>
            </w:r>
          </w:p>
        </w:tc>
        <w:tc>
          <w:tcPr>
            <w:tcW w:w="388"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II</w:t>
            </w:r>
          </w:p>
        </w:tc>
        <w:tc>
          <w:tcPr>
            <w:tcW w:w="473"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III</w:t>
            </w:r>
          </w:p>
        </w:tc>
      </w:tr>
      <w:tr w:rsidR="00C374EA" w:rsidRPr="0066263B" w:rsidTr="00B47DEA">
        <w:trPr>
          <w:jc w:val="center"/>
        </w:trPr>
        <w:tc>
          <w:tcPr>
            <w:tcW w:w="656"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750"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1361</w:t>
            </w:r>
          </w:p>
        </w:tc>
        <w:tc>
          <w:tcPr>
            <w:tcW w:w="1202"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470</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46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247"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879</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r>
      <w:tr w:rsidR="00C374EA" w:rsidRPr="0066263B" w:rsidTr="00B47DEA">
        <w:trPr>
          <w:jc w:val="center"/>
        </w:trPr>
        <w:tc>
          <w:tcPr>
            <w:tcW w:w="656"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750"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964</w:t>
            </w:r>
          </w:p>
        </w:tc>
        <w:tc>
          <w:tcPr>
            <w:tcW w:w="1202"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499</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46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247"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455</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r>
      <w:tr w:rsidR="00C374EA" w:rsidRPr="0066263B" w:rsidTr="00B47DEA">
        <w:trPr>
          <w:jc w:val="center"/>
        </w:trPr>
        <w:tc>
          <w:tcPr>
            <w:tcW w:w="656"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750"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674</w:t>
            </w:r>
          </w:p>
        </w:tc>
        <w:tc>
          <w:tcPr>
            <w:tcW w:w="1202"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454</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46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247"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186</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r>
      <w:tr w:rsidR="00C374EA" w:rsidRPr="0066263B" w:rsidTr="00B47DEA">
        <w:trPr>
          <w:jc w:val="center"/>
        </w:trPr>
        <w:tc>
          <w:tcPr>
            <w:tcW w:w="656" w:type="dxa"/>
            <w:vAlign w:val="center"/>
          </w:tcPr>
          <w:p w:rsidR="00C374EA" w:rsidRPr="0066263B" w:rsidRDefault="00C374EA" w:rsidP="00DA7544">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750" w:type="dxa"/>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654</w:t>
            </w:r>
          </w:p>
        </w:tc>
        <w:tc>
          <w:tcPr>
            <w:tcW w:w="1202"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437</w:t>
            </w:r>
          </w:p>
        </w:tc>
        <w:tc>
          <w:tcPr>
            <w:tcW w:w="546"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388"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73"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463"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w:t>
            </w:r>
          </w:p>
        </w:tc>
        <w:tc>
          <w:tcPr>
            <w:tcW w:w="546"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388"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73"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247"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146</w:t>
            </w:r>
          </w:p>
        </w:tc>
        <w:tc>
          <w:tcPr>
            <w:tcW w:w="546"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388"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73"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DA7544" w:rsidRPr="0066263B" w:rsidRDefault="00DA7544" w:rsidP="00DA7544">
      <w:pPr>
        <w:spacing w:before="0" w:after="0"/>
        <w:ind w:firstLine="709"/>
        <w:jc w:val="right"/>
        <w:rPr>
          <w:rFonts w:ascii="Times New Roman" w:eastAsia="Calibri" w:hAnsi="Times New Roman" w:cs="Times New Roman"/>
        </w:rPr>
      </w:pPr>
    </w:p>
    <w:p w:rsidR="00DA7544" w:rsidRPr="0066263B" w:rsidRDefault="00DA7544" w:rsidP="00DA7544">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49</w:t>
      </w:r>
      <w:r w:rsidR="006C34E2" w:rsidRPr="0066263B">
        <w:rPr>
          <w:rFonts w:ascii="Times New Roman" w:eastAsia="Calibri" w:hAnsi="Times New Roman" w:cs="Times New Roman"/>
        </w:rPr>
        <w:fldChar w:fldCharType="end"/>
      </w:r>
    </w:p>
    <w:p w:rsidR="00DA7544" w:rsidRPr="0066263B" w:rsidRDefault="00DA7544" w:rsidP="00DA7544">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bCs/>
          <w:lang w:eastAsia="ru-RU"/>
        </w:rPr>
        <w:t xml:space="preserve">Количество исследованных проб </w:t>
      </w:r>
      <w:r w:rsidRPr="0066263B">
        <w:rPr>
          <w:rFonts w:ascii="Times New Roman" w:eastAsia="Times New Roman" w:hAnsi="Times New Roman" w:cs="Times New Roman"/>
          <w:b/>
          <w:lang w:eastAsia="ru-RU"/>
        </w:rPr>
        <w:t>минерального сырья и материалов</w:t>
      </w:r>
      <w:r w:rsidRPr="0066263B">
        <w:rPr>
          <w:rFonts w:ascii="Times New Roman" w:eastAsia="Times New Roman" w:hAnsi="Times New Roman" w:cs="Times New Roman"/>
          <w:b/>
          <w:lang w:eastAsia="ru-RU"/>
        </w:rPr>
        <w:br/>
        <w:t>с повышенным содержанием природных радионуклидов</w:t>
      </w:r>
    </w:p>
    <w:p w:rsidR="00DA7544" w:rsidRPr="0066263B" w:rsidRDefault="00DA7544" w:rsidP="00DA7544">
      <w:pPr>
        <w:spacing w:before="0" w:after="0"/>
        <w:jc w:val="center"/>
        <w:rPr>
          <w:rFonts w:ascii="Times New Roman" w:eastAsia="Times New Roman" w:hAnsi="Times New Roman" w:cs="Times New Roman"/>
          <w:b/>
          <w:bCs/>
          <w:lang w:eastAsia="ru-RU"/>
        </w:rPr>
      </w:pPr>
    </w:p>
    <w:tbl>
      <w:tblPr>
        <w:tblW w:w="9462"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750"/>
        <w:gridCol w:w="1202"/>
        <w:gridCol w:w="546"/>
        <w:gridCol w:w="388"/>
        <w:gridCol w:w="473"/>
        <w:gridCol w:w="1463"/>
        <w:gridCol w:w="449"/>
        <w:gridCol w:w="388"/>
        <w:gridCol w:w="473"/>
        <w:gridCol w:w="1247"/>
        <w:gridCol w:w="546"/>
        <w:gridCol w:w="388"/>
        <w:gridCol w:w="493"/>
      </w:tblGrid>
      <w:tr w:rsidR="00DA7544" w:rsidRPr="0066263B" w:rsidTr="00B47DEA">
        <w:trPr>
          <w:trHeight w:val="219"/>
          <w:jc w:val="center"/>
        </w:trPr>
        <w:tc>
          <w:tcPr>
            <w:tcW w:w="656" w:type="dxa"/>
            <w:vMerge w:val="restart"/>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750" w:type="dxa"/>
            <w:vMerge w:val="restart"/>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Всего</w:t>
            </w:r>
          </w:p>
        </w:tc>
        <w:tc>
          <w:tcPr>
            <w:tcW w:w="1202" w:type="dxa"/>
            <w:vMerge w:val="restart"/>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xml:space="preserve">Местного </w:t>
            </w:r>
            <w:proofErr w:type="spellStart"/>
            <w:proofErr w:type="gramStart"/>
            <w:r w:rsidRPr="0066263B">
              <w:rPr>
                <w:rFonts w:ascii="Times New Roman" w:eastAsia="Times New Roman" w:hAnsi="Times New Roman" w:cs="Times New Roman"/>
                <w:b/>
                <w:i/>
                <w:lang w:eastAsia="ru-RU"/>
              </w:rPr>
              <w:t>производ-ства</w:t>
            </w:r>
            <w:proofErr w:type="spellEnd"/>
            <w:proofErr w:type="gramEnd"/>
          </w:p>
        </w:tc>
        <w:tc>
          <w:tcPr>
            <w:tcW w:w="1407" w:type="dxa"/>
            <w:gridSpan w:val="3"/>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Уд</w:t>
            </w:r>
            <w:proofErr w:type="gramStart"/>
            <w:r w:rsidRPr="0066263B">
              <w:rPr>
                <w:rFonts w:ascii="Times New Roman" w:eastAsia="Times New Roman" w:hAnsi="Times New Roman" w:cs="Times New Roman"/>
                <w:b/>
                <w:i/>
                <w:lang w:eastAsia="ru-RU"/>
              </w:rPr>
              <w:t>.</w:t>
            </w:r>
            <w:proofErr w:type="gramEnd"/>
            <w:r w:rsidRPr="0066263B">
              <w:rPr>
                <w:rFonts w:ascii="Times New Roman" w:eastAsia="Times New Roman" w:hAnsi="Times New Roman" w:cs="Times New Roman"/>
                <w:b/>
                <w:i/>
                <w:lang w:eastAsia="ru-RU"/>
              </w:rPr>
              <w:t xml:space="preserve"> </w:t>
            </w:r>
            <w:proofErr w:type="gramStart"/>
            <w:r w:rsidRPr="0066263B">
              <w:rPr>
                <w:rFonts w:ascii="Times New Roman" w:eastAsia="Times New Roman" w:hAnsi="Times New Roman" w:cs="Times New Roman"/>
                <w:b/>
                <w:i/>
                <w:lang w:eastAsia="ru-RU"/>
              </w:rPr>
              <w:t>в</w:t>
            </w:r>
            <w:proofErr w:type="gramEnd"/>
            <w:r w:rsidRPr="0066263B">
              <w:rPr>
                <w:rFonts w:ascii="Times New Roman" w:eastAsia="Times New Roman" w:hAnsi="Times New Roman" w:cs="Times New Roman"/>
                <w:b/>
                <w:i/>
                <w:lang w:eastAsia="ru-RU"/>
              </w:rPr>
              <w:t>ес, %</w:t>
            </w:r>
          </w:p>
        </w:tc>
        <w:tc>
          <w:tcPr>
            <w:tcW w:w="1463" w:type="dxa"/>
            <w:vMerge w:val="restart"/>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Привозные из других территорий РФ</w:t>
            </w:r>
          </w:p>
        </w:tc>
        <w:tc>
          <w:tcPr>
            <w:tcW w:w="1310" w:type="dxa"/>
            <w:gridSpan w:val="3"/>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Уд</w:t>
            </w:r>
            <w:proofErr w:type="gramStart"/>
            <w:r w:rsidRPr="0066263B">
              <w:rPr>
                <w:rFonts w:ascii="Times New Roman" w:eastAsia="Times New Roman" w:hAnsi="Times New Roman" w:cs="Times New Roman"/>
                <w:b/>
                <w:i/>
                <w:lang w:eastAsia="ru-RU"/>
              </w:rPr>
              <w:t>.</w:t>
            </w:r>
            <w:proofErr w:type="gramEnd"/>
            <w:r w:rsidRPr="0066263B">
              <w:rPr>
                <w:rFonts w:ascii="Times New Roman" w:eastAsia="Times New Roman" w:hAnsi="Times New Roman" w:cs="Times New Roman"/>
                <w:b/>
                <w:i/>
                <w:lang w:eastAsia="ru-RU"/>
              </w:rPr>
              <w:t xml:space="preserve"> </w:t>
            </w:r>
            <w:proofErr w:type="gramStart"/>
            <w:r w:rsidRPr="0066263B">
              <w:rPr>
                <w:rFonts w:ascii="Times New Roman" w:eastAsia="Times New Roman" w:hAnsi="Times New Roman" w:cs="Times New Roman"/>
                <w:b/>
                <w:i/>
                <w:lang w:eastAsia="ru-RU"/>
              </w:rPr>
              <w:t>в</w:t>
            </w:r>
            <w:proofErr w:type="gramEnd"/>
            <w:r w:rsidRPr="0066263B">
              <w:rPr>
                <w:rFonts w:ascii="Times New Roman" w:eastAsia="Times New Roman" w:hAnsi="Times New Roman" w:cs="Times New Roman"/>
                <w:b/>
                <w:i/>
                <w:lang w:eastAsia="ru-RU"/>
              </w:rPr>
              <w:t>ес, %</w:t>
            </w:r>
          </w:p>
        </w:tc>
        <w:tc>
          <w:tcPr>
            <w:tcW w:w="1247" w:type="dxa"/>
            <w:vMerge w:val="restart"/>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roofErr w:type="spellStart"/>
            <w:proofErr w:type="gramStart"/>
            <w:r w:rsidRPr="0066263B">
              <w:rPr>
                <w:rFonts w:ascii="Times New Roman" w:eastAsia="Times New Roman" w:hAnsi="Times New Roman" w:cs="Times New Roman"/>
                <w:b/>
                <w:i/>
                <w:lang w:eastAsia="ru-RU"/>
              </w:rPr>
              <w:t>Импорти-руемые</w:t>
            </w:r>
            <w:proofErr w:type="spellEnd"/>
            <w:proofErr w:type="gramEnd"/>
          </w:p>
        </w:tc>
        <w:tc>
          <w:tcPr>
            <w:tcW w:w="1427" w:type="dxa"/>
            <w:gridSpan w:val="3"/>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Уд</w:t>
            </w:r>
            <w:proofErr w:type="gramStart"/>
            <w:r w:rsidRPr="0066263B">
              <w:rPr>
                <w:rFonts w:ascii="Times New Roman" w:eastAsia="Times New Roman" w:hAnsi="Times New Roman" w:cs="Times New Roman"/>
                <w:b/>
                <w:i/>
                <w:lang w:eastAsia="ru-RU"/>
              </w:rPr>
              <w:t>.</w:t>
            </w:r>
            <w:proofErr w:type="gramEnd"/>
            <w:r w:rsidRPr="0066263B">
              <w:rPr>
                <w:rFonts w:ascii="Times New Roman" w:eastAsia="Times New Roman" w:hAnsi="Times New Roman" w:cs="Times New Roman"/>
                <w:b/>
                <w:i/>
                <w:lang w:eastAsia="ru-RU"/>
              </w:rPr>
              <w:t xml:space="preserve"> </w:t>
            </w:r>
            <w:proofErr w:type="gramStart"/>
            <w:r w:rsidRPr="0066263B">
              <w:rPr>
                <w:rFonts w:ascii="Times New Roman" w:eastAsia="Times New Roman" w:hAnsi="Times New Roman" w:cs="Times New Roman"/>
                <w:b/>
                <w:i/>
                <w:lang w:eastAsia="ru-RU"/>
              </w:rPr>
              <w:t>в</w:t>
            </w:r>
            <w:proofErr w:type="gramEnd"/>
            <w:r w:rsidRPr="0066263B">
              <w:rPr>
                <w:rFonts w:ascii="Times New Roman" w:eastAsia="Times New Roman" w:hAnsi="Times New Roman" w:cs="Times New Roman"/>
                <w:b/>
                <w:i/>
                <w:lang w:eastAsia="ru-RU"/>
              </w:rPr>
              <w:t>ес, %</w:t>
            </w:r>
          </w:p>
        </w:tc>
      </w:tr>
      <w:tr w:rsidR="00DA7544" w:rsidRPr="0066263B" w:rsidTr="00B47DEA">
        <w:trPr>
          <w:trHeight w:val="507"/>
          <w:jc w:val="center"/>
        </w:trPr>
        <w:tc>
          <w:tcPr>
            <w:tcW w:w="656" w:type="dxa"/>
            <w:vMerge/>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750" w:type="dxa"/>
            <w:vMerge/>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1202" w:type="dxa"/>
            <w:vMerge/>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546"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I</w:t>
            </w:r>
          </w:p>
        </w:tc>
        <w:tc>
          <w:tcPr>
            <w:tcW w:w="388"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II</w:t>
            </w:r>
          </w:p>
        </w:tc>
        <w:tc>
          <w:tcPr>
            <w:tcW w:w="473"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III</w:t>
            </w:r>
          </w:p>
        </w:tc>
        <w:tc>
          <w:tcPr>
            <w:tcW w:w="1463" w:type="dxa"/>
            <w:vMerge/>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449"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I</w:t>
            </w:r>
          </w:p>
        </w:tc>
        <w:tc>
          <w:tcPr>
            <w:tcW w:w="388"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II</w:t>
            </w:r>
          </w:p>
        </w:tc>
        <w:tc>
          <w:tcPr>
            <w:tcW w:w="473"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III</w:t>
            </w:r>
          </w:p>
        </w:tc>
        <w:tc>
          <w:tcPr>
            <w:tcW w:w="1247" w:type="dxa"/>
            <w:vMerge/>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p>
        </w:tc>
        <w:tc>
          <w:tcPr>
            <w:tcW w:w="546"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I</w:t>
            </w:r>
          </w:p>
        </w:tc>
        <w:tc>
          <w:tcPr>
            <w:tcW w:w="388" w:type="dxa"/>
            <w:shd w:val="clear" w:color="auto" w:fill="auto"/>
            <w:vAlign w:val="center"/>
          </w:tcPr>
          <w:p w:rsidR="00DA7544" w:rsidRPr="0066263B" w:rsidRDefault="00DA7544" w:rsidP="00DA7544">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II</w:t>
            </w:r>
          </w:p>
        </w:tc>
        <w:tc>
          <w:tcPr>
            <w:tcW w:w="493" w:type="dxa"/>
            <w:shd w:val="clear" w:color="auto" w:fill="auto"/>
            <w:vAlign w:val="center"/>
          </w:tcPr>
          <w:p w:rsidR="00DA7544" w:rsidRPr="0066263B" w:rsidRDefault="00DA7544" w:rsidP="00DA7544">
            <w:pPr>
              <w:spacing w:before="20" w:after="20"/>
              <w:jc w:val="left"/>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III</w:t>
            </w:r>
          </w:p>
        </w:tc>
      </w:tr>
      <w:tr w:rsidR="00C374EA" w:rsidRPr="0066263B" w:rsidTr="00B47DEA">
        <w:trPr>
          <w:jc w:val="center"/>
        </w:trPr>
        <w:tc>
          <w:tcPr>
            <w:tcW w:w="656"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750"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202"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46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49"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247"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9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r>
      <w:tr w:rsidR="00C374EA" w:rsidRPr="0066263B" w:rsidTr="00B47DEA">
        <w:trPr>
          <w:jc w:val="center"/>
        </w:trPr>
        <w:tc>
          <w:tcPr>
            <w:tcW w:w="656"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750"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c>
          <w:tcPr>
            <w:tcW w:w="1202"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46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49"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247"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9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r>
      <w:tr w:rsidR="00C374EA" w:rsidRPr="0066263B" w:rsidTr="00B47DEA">
        <w:trPr>
          <w:jc w:val="center"/>
        </w:trPr>
        <w:tc>
          <w:tcPr>
            <w:tcW w:w="656"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750" w:type="dxa"/>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202"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46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49"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7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1247"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46"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8"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c>
          <w:tcPr>
            <w:tcW w:w="493" w:type="dxa"/>
            <w:shd w:val="clear" w:color="auto" w:fill="auto"/>
            <w:vAlign w:val="center"/>
          </w:tcPr>
          <w:p w:rsidR="00C374EA" w:rsidRPr="0066263B" w:rsidRDefault="00C374EA" w:rsidP="009E385A">
            <w:pPr>
              <w:spacing w:before="0" w:after="0"/>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val="en-US" w:eastAsia="ru-RU"/>
              </w:rPr>
              <w:t>-</w:t>
            </w:r>
          </w:p>
        </w:tc>
      </w:tr>
      <w:tr w:rsidR="00C374EA" w:rsidRPr="0066263B" w:rsidTr="00B47DEA">
        <w:trPr>
          <w:jc w:val="center"/>
        </w:trPr>
        <w:tc>
          <w:tcPr>
            <w:tcW w:w="656" w:type="dxa"/>
            <w:vAlign w:val="center"/>
          </w:tcPr>
          <w:p w:rsidR="00C374EA" w:rsidRPr="0066263B" w:rsidRDefault="00C374EA" w:rsidP="00DA7544">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750" w:type="dxa"/>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202"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46"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8"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73"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463"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49"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8"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73"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247"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46"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8"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93" w:type="dxa"/>
            <w:shd w:val="clear" w:color="auto" w:fill="auto"/>
            <w:vAlign w:val="center"/>
          </w:tcPr>
          <w:p w:rsidR="00C374EA" w:rsidRPr="0066263B" w:rsidRDefault="00C374EA" w:rsidP="00C374E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DA7544" w:rsidRPr="0066263B" w:rsidRDefault="00DA7544" w:rsidP="00324483">
      <w:pPr>
        <w:spacing w:before="0" w:after="0"/>
        <w:ind w:firstLine="709"/>
        <w:rPr>
          <w:rFonts w:ascii="Times New Roman" w:eastAsia="Times New Roman" w:hAnsi="Times New Roman" w:cs="Times New Roman"/>
          <w:sz w:val="24"/>
          <w:szCs w:val="24"/>
          <w:lang w:eastAsia="ru-RU"/>
        </w:rPr>
      </w:pPr>
    </w:p>
    <w:p w:rsidR="00FD721D" w:rsidRPr="0066263B" w:rsidRDefault="00FD721D" w:rsidP="00FD721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результатам ведения базы данных спектрометрических исследований стройматериалов за 202</w:t>
      </w:r>
      <w:r w:rsidR="00C374EA"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 установлено, что средняя эффективная удельная активность естественных (К-40, Ra-226, Th-232) радионуклидов (</w:t>
      </w:r>
      <w:proofErr w:type="spellStart"/>
      <w:r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vertAlign w:val="subscript"/>
          <w:lang w:eastAsia="ru-RU"/>
        </w:rPr>
        <w:t>эфф</w:t>
      </w:r>
      <w:proofErr w:type="gramStart"/>
      <w:r w:rsidRPr="0066263B">
        <w:rPr>
          <w:rFonts w:ascii="Times New Roman" w:eastAsia="Times New Roman" w:hAnsi="Times New Roman" w:cs="Times New Roman"/>
          <w:sz w:val="24"/>
          <w:szCs w:val="24"/>
          <w:vertAlign w:val="subscript"/>
          <w:lang w:eastAsia="ru-RU"/>
        </w:rPr>
        <w:t>.</w:t>
      </w:r>
      <w:r w:rsidRPr="0066263B">
        <w:rPr>
          <w:rFonts w:ascii="Times New Roman" w:eastAsia="Times New Roman" w:hAnsi="Times New Roman" w:cs="Times New Roman"/>
          <w:sz w:val="24"/>
          <w:szCs w:val="24"/>
          <w:lang w:eastAsia="ru-RU"/>
        </w:rPr>
        <w:t>Е</w:t>
      </w:r>
      <w:proofErr w:type="gramEnd"/>
      <w:r w:rsidRPr="0066263B">
        <w:rPr>
          <w:rFonts w:ascii="Times New Roman" w:eastAsia="Times New Roman" w:hAnsi="Times New Roman" w:cs="Times New Roman"/>
          <w:sz w:val="24"/>
          <w:szCs w:val="24"/>
          <w:lang w:eastAsia="ru-RU"/>
        </w:rPr>
        <w:t>РН</w:t>
      </w:r>
      <w:proofErr w:type="spellEnd"/>
      <w:r w:rsidRPr="0066263B">
        <w:rPr>
          <w:rFonts w:ascii="Times New Roman" w:eastAsia="Times New Roman" w:hAnsi="Times New Roman" w:cs="Times New Roman"/>
          <w:sz w:val="24"/>
          <w:szCs w:val="24"/>
          <w:lang w:eastAsia="ru-RU"/>
        </w:rPr>
        <w:t xml:space="preserve">) в местных строительных материалах (песок, мел, известь, трепел, глина, кирпич, цемент), используемых на территории Брянской области составляет </w:t>
      </w:r>
      <w:r w:rsidR="00C374EA" w:rsidRPr="0066263B">
        <w:rPr>
          <w:rFonts w:ascii="Times New Roman" w:eastAsia="Times New Roman" w:hAnsi="Times New Roman" w:cs="Times New Roman"/>
          <w:sz w:val="24"/>
          <w:szCs w:val="24"/>
          <w:lang w:eastAsia="ru-RU"/>
        </w:rPr>
        <w:t>62,6 </w:t>
      </w:r>
      <w:r w:rsidRPr="0066263B">
        <w:rPr>
          <w:rFonts w:ascii="Times New Roman" w:eastAsia="Times New Roman" w:hAnsi="Times New Roman" w:cs="Times New Roman"/>
          <w:sz w:val="24"/>
          <w:szCs w:val="24"/>
          <w:lang w:eastAsia="ru-RU"/>
        </w:rPr>
        <w:t>Бк/кг</w:t>
      </w:r>
      <w:r w:rsidR="00C374EA" w:rsidRPr="0066263B">
        <w:rPr>
          <w:rFonts w:ascii="Times New Roman" w:eastAsia="Times New Roman" w:hAnsi="Times New Roman" w:cs="Times New Roman"/>
          <w:sz w:val="24"/>
          <w:szCs w:val="24"/>
          <w:lang w:eastAsia="ru-RU"/>
        </w:rPr>
        <w:t xml:space="preserve"> (2020 – 54,4 Бк/кг)</w:t>
      </w:r>
      <w:r w:rsidRPr="0066263B">
        <w:rPr>
          <w:rFonts w:ascii="Times New Roman" w:eastAsia="Times New Roman" w:hAnsi="Times New Roman" w:cs="Times New Roman"/>
          <w:sz w:val="24"/>
          <w:szCs w:val="24"/>
          <w:lang w:eastAsia="ru-RU"/>
        </w:rPr>
        <w:t xml:space="preserve">. В строительных материалах (товарный бетон, ж/б плиты и изделия, конструкции, блоки и т.д.), где в качестве заполнителя используется ввозимый с территории Украины и Белоруссии гранитный щебень средняя </w:t>
      </w:r>
      <w:proofErr w:type="spellStart"/>
      <w:r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vertAlign w:val="subscript"/>
          <w:lang w:eastAsia="ru-RU"/>
        </w:rPr>
        <w:t>эфф</w:t>
      </w:r>
      <w:proofErr w:type="gramStart"/>
      <w:r w:rsidRPr="0066263B">
        <w:rPr>
          <w:rFonts w:ascii="Times New Roman" w:eastAsia="Times New Roman" w:hAnsi="Times New Roman" w:cs="Times New Roman"/>
          <w:sz w:val="24"/>
          <w:szCs w:val="24"/>
          <w:vertAlign w:val="subscript"/>
          <w:lang w:eastAsia="ru-RU"/>
        </w:rPr>
        <w:t>.</w:t>
      </w:r>
      <w:r w:rsidRPr="0066263B">
        <w:rPr>
          <w:rFonts w:ascii="Times New Roman" w:eastAsia="Times New Roman" w:hAnsi="Times New Roman" w:cs="Times New Roman"/>
          <w:sz w:val="24"/>
          <w:szCs w:val="24"/>
          <w:lang w:eastAsia="ru-RU"/>
        </w:rPr>
        <w:t>Е</w:t>
      </w:r>
      <w:proofErr w:type="gramEnd"/>
      <w:r w:rsidRPr="0066263B">
        <w:rPr>
          <w:rFonts w:ascii="Times New Roman" w:eastAsia="Times New Roman" w:hAnsi="Times New Roman" w:cs="Times New Roman"/>
          <w:sz w:val="24"/>
          <w:szCs w:val="24"/>
          <w:lang w:eastAsia="ru-RU"/>
        </w:rPr>
        <w:t>РН</w:t>
      </w:r>
      <w:proofErr w:type="spellEnd"/>
      <w:r w:rsidRPr="0066263B">
        <w:rPr>
          <w:rFonts w:ascii="Times New Roman" w:eastAsia="Times New Roman" w:hAnsi="Times New Roman" w:cs="Times New Roman"/>
          <w:sz w:val="24"/>
          <w:szCs w:val="24"/>
          <w:lang w:eastAsia="ru-RU"/>
        </w:rPr>
        <w:t xml:space="preserve"> – </w:t>
      </w:r>
      <w:r w:rsidR="00C374EA" w:rsidRPr="0066263B">
        <w:rPr>
          <w:rFonts w:ascii="Times New Roman" w:eastAsia="Times New Roman" w:hAnsi="Times New Roman" w:cs="Times New Roman"/>
          <w:sz w:val="24"/>
          <w:szCs w:val="24"/>
          <w:lang w:eastAsia="ru-RU"/>
        </w:rPr>
        <w:t>88,3</w:t>
      </w:r>
      <w:r w:rsidRPr="0066263B">
        <w:rPr>
          <w:rFonts w:ascii="Times New Roman" w:eastAsia="Times New Roman" w:hAnsi="Times New Roman" w:cs="Times New Roman"/>
          <w:sz w:val="24"/>
          <w:szCs w:val="24"/>
          <w:lang w:eastAsia="ru-RU"/>
        </w:rPr>
        <w:t> Бк/кг</w:t>
      </w:r>
      <w:r w:rsidR="00C374EA" w:rsidRPr="0066263B">
        <w:rPr>
          <w:rFonts w:ascii="Times New Roman" w:eastAsia="Times New Roman" w:hAnsi="Times New Roman" w:cs="Times New Roman"/>
          <w:sz w:val="24"/>
          <w:szCs w:val="24"/>
          <w:lang w:eastAsia="ru-RU"/>
        </w:rPr>
        <w:t xml:space="preserve"> (2020 – 79,1 Бк/кг)</w:t>
      </w:r>
      <w:r w:rsidRPr="0066263B">
        <w:rPr>
          <w:rFonts w:ascii="Times New Roman" w:eastAsia="Times New Roman" w:hAnsi="Times New Roman" w:cs="Times New Roman"/>
          <w:sz w:val="24"/>
          <w:szCs w:val="24"/>
          <w:lang w:eastAsia="ru-RU"/>
        </w:rPr>
        <w:t xml:space="preserve">, в импортируемом гранитном щебне с территории Украины и Белоруссии (месторождение Микашевичи) </w:t>
      </w:r>
      <w:proofErr w:type="spellStart"/>
      <w:r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vertAlign w:val="subscript"/>
          <w:lang w:eastAsia="ru-RU"/>
        </w:rPr>
        <w:t>эфф.</w:t>
      </w:r>
      <w:r w:rsidRPr="0066263B">
        <w:rPr>
          <w:rFonts w:ascii="Times New Roman" w:eastAsia="Times New Roman" w:hAnsi="Times New Roman" w:cs="Times New Roman"/>
          <w:sz w:val="24"/>
          <w:szCs w:val="24"/>
          <w:lang w:eastAsia="ru-RU"/>
        </w:rPr>
        <w:t>ЕРН</w:t>
      </w:r>
      <w:proofErr w:type="spellEnd"/>
      <w:r w:rsidRPr="0066263B">
        <w:rPr>
          <w:rFonts w:ascii="Times New Roman" w:eastAsia="Times New Roman" w:hAnsi="Times New Roman" w:cs="Times New Roman"/>
          <w:sz w:val="24"/>
          <w:szCs w:val="24"/>
          <w:lang w:eastAsia="ru-RU"/>
        </w:rPr>
        <w:t xml:space="preserve"> – </w:t>
      </w:r>
      <w:r w:rsidR="00C374EA"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0-350 Бк/кг</w:t>
      </w:r>
      <w:r w:rsidR="00C374EA" w:rsidRPr="0066263B">
        <w:rPr>
          <w:rFonts w:ascii="Times New Roman" w:eastAsia="Times New Roman" w:hAnsi="Times New Roman" w:cs="Times New Roman"/>
          <w:sz w:val="24"/>
          <w:szCs w:val="24"/>
          <w:lang w:eastAsia="ru-RU"/>
        </w:rPr>
        <w:t xml:space="preserve"> (2020 – 140-350 Бк/кг)</w:t>
      </w:r>
      <w:r w:rsidRPr="0066263B">
        <w:rPr>
          <w:rFonts w:ascii="Times New Roman" w:eastAsia="Times New Roman" w:hAnsi="Times New Roman" w:cs="Times New Roman"/>
          <w:sz w:val="24"/>
          <w:szCs w:val="24"/>
          <w:lang w:eastAsia="ru-RU"/>
        </w:rPr>
        <w:t xml:space="preserve">, что соответствует I классу строительных материалов. Строительные </w:t>
      </w:r>
      <w:r w:rsidRPr="0066263B">
        <w:rPr>
          <w:rFonts w:ascii="Times New Roman" w:eastAsia="Times New Roman" w:hAnsi="Times New Roman" w:cs="Times New Roman"/>
          <w:sz w:val="24"/>
          <w:szCs w:val="24"/>
          <w:lang w:eastAsia="ru-RU"/>
        </w:rPr>
        <w:lastRenderedPageBreak/>
        <w:t>материалы и сырь</w:t>
      </w:r>
      <w:r w:rsidR="00C374EA"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 xml:space="preserve"> II класса (</w:t>
      </w:r>
      <w:proofErr w:type="spellStart"/>
      <w:r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vertAlign w:val="subscript"/>
          <w:lang w:eastAsia="ru-RU"/>
        </w:rPr>
        <w:t>эфф</w:t>
      </w:r>
      <w:proofErr w:type="gramStart"/>
      <w:r w:rsidRPr="0066263B">
        <w:rPr>
          <w:rFonts w:ascii="Times New Roman" w:eastAsia="Times New Roman" w:hAnsi="Times New Roman" w:cs="Times New Roman"/>
          <w:sz w:val="24"/>
          <w:szCs w:val="24"/>
          <w:vertAlign w:val="subscript"/>
          <w:lang w:eastAsia="ru-RU"/>
        </w:rPr>
        <w:t>.</w:t>
      </w:r>
      <w:r w:rsidRPr="0066263B">
        <w:rPr>
          <w:rFonts w:ascii="Times New Roman" w:eastAsia="Times New Roman" w:hAnsi="Times New Roman" w:cs="Times New Roman"/>
          <w:sz w:val="24"/>
          <w:szCs w:val="24"/>
          <w:lang w:eastAsia="ru-RU"/>
        </w:rPr>
        <w:t>Е</w:t>
      </w:r>
      <w:proofErr w:type="gramEnd"/>
      <w:r w:rsidRPr="0066263B">
        <w:rPr>
          <w:rFonts w:ascii="Times New Roman" w:eastAsia="Times New Roman" w:hAnsi="Times New Roman" w:cs="Times New Roman"/>
          <w:sz w:val="24"/>
          <w:szCs w:val="24"/>
          <w:lang w:eastAsia="ru-RU"/>
        </w:rPr>
        <w:t>РН</w:t>
      </w:r>
      <w:proofErr w:type="spellEnd"/>
      <w:r w:rsidRPr="0066263B">
        <w:rPr>
          <w:rFonts w:ascii="Times New Roman" w:eastAsia="Times New Roman" w:hAnsi="Times New Roman" w:cs="Times New Roman"/>
          <w:sz w:val="24"/>
          <w:szCs w:val="24"/>
          <w:lang w:eastAsia="ru-RU"/>
        </w:rPr>
        <w:t xml:space="preserve"> &gt;740</w:t>
      </w:r>
      <w:r w:rsidR="00C374EA"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Бк/кг) по данным производственного контроля, на строительных предприятиях Брянской области не используется.</w:t>
      </w:r>
    </w:p>
    <w:p w:rsidR="00FD721D" w:rsidRPr="0066263B" w:rsidRDefault="00FD721D" w:rsidP="00FD721D">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 целью обеспечения радиационной безопасности при выборе участков территорий под строительство зданий жилищного и общественного назначения, налажен радиационный контроль за отводимыми под застройку объектами (МЭД гамма-излучения, </w:t>
      </w:r>
      <w:proofErr w:type="spellStart"/>
      <w:r w:rsidRPr="0066263B">
        <w:rPr>
          <w:rFonts w:ascii="Times New Roman" w:eastAsia="Times New Roman" w:hAnsi="Times New Roman" w:cs="Times New Roman"/>
          <w:sz w:val="24"/>
          <w:szCs w:val="24"/>
          <w:lang w:eastAsia="ru-RU"/>
        </w:rPr>
        <w:t>эксхоляция</w:t>
      </w:r>
      <w:proofErr w:type="spellEnd"/>
      <w:r w:rsidRPr="0066263B">
        <w:rPr>
          <w:rFonts w:ascii="Times New Roman" w:eastAsia="Times New Roman" w:hAnsi="Times New Roman" w:cs="Times New Roman"/>
          <w:sz w:val="24"/>
          <w:szCs w:val="24"/>
          <w:lang w:eastAsia="ru-RU"/>
        </w:rPr>
        <w:t xml:space="preserve"> радона (ППР) с поверхности почвы, содержание природных и те</w:t>
      </w:r>
      <w:r w:rsidR="00C374EA" w:rsidRPr="0066263B">
        <w:rPr>
          <w:rFonts w:ascii="Times New Roman" w:eastAsia="Times New Roman" w:hAnsi="Times New Roman" w:cs="Times New Roman"/>
          <w:sz w:val="24"/>
          <w:szCs w:val="24"/>
          <w:lang w:eastAsia="ru-RU"/>
        </w:rPr>
        <w:t xml:space="preserve">хногенных радионуклидов). В 2021 </w:t>
      </w:r>
      <w:r w:rsidRPr="0066263B">
        <w:rPr>
          <w:rFonts w:ascii="Times New Roman" w:eastAsia="Times New Roman" w:hAnsi="Times New Roman" w:cs="Times New Roman"/>
          <w:sz w:val="24"/>
          <w:szCs w:val="24"/>
          <w:lang w:eastAsia="ru-RU"/>
        </w:rPr>
        <w:t xml:space="preserve">году исследовано </w:t>
      </w:r>
      <w:r w:rsidR="00C374EA" w:rsidRPr="0066263B">
        <w:rPr>
          <w:rFonts w:ascii="Times New Roman" w:eastAsia="Times New Roman" w:hAnsi="Times New Roman" w:cs="Times New Roman"/>
          <w:sz w:val="24"/>
          <w:szCs w:val="24"/>
          <w:lang w:eastAsia="ru-RU"/>
        </w:rPr>
        <w:t>439</w:t>
      </w:r>
      <w:r w:rsidRPr="0066263B">
        <w:rPr>
          <w:rFonts w:ascii="Times New Roman" w:eastAsia="Times New Roman" w:hAnsi="Times New Roman" w:cs="Times New Roman"/>
          <w:sz w:val="24"/>
          <w:szCs w:val="24"/>
          <w:lang w:eastAsia="ru-RU"/>
        </w:rPr>
        <w:t xml:space="preserve"> различных проб почвы (</w:t>
      </w:r>
      <w:r w:rsidR="00C374EA" w:rsidRPr="0066263B">
        <w:rPr>
          <w:rFonts w:ascii="Times New Roman" w:eastAsia="Times New Roman" w:hAnsi="Times New Roman" w:cs="Times New Roman"/>
          <w:sz w:val="24"/>
          <w:szCs w:val="24"/>
          <w:lang w:eastAsia="ru-RU"/>
        </w:rPr>
        <w:t xml:space="preserve">2020 – 1 098; </w:t>
      </w:r>
      <w:r w:rsidRPr="0066263B">
        <w:rPr>
          <w:rFonts w:ascii="Times New Roman" w:eastAsia="Times New Roman" w:hAnsi="Times New Roman" w:cs="Times New Roman"/>
          <w:sz w:val="24"/>
          <w:szCs w:val="24"/>
          <w:lang w:eastAsia="ru-RU"/>
        </w:rPr>
        <w:t xml:space="preserve">2019 – 294; 2018 – 450). Земельные участки с плотностью потока радона с поверхности почвы более 80 </w:t>
      </w:r>
      <w:proofErr w:type="spellStart"/>
      <w:r w:rsidRPr="0066263B">
        <w:rPr>
          <w:rFonts w:ascii="Times New Roman" w:eastAsia="Times New Roman" w:hAnsi="Times New Roman" w:cs="Times New Roman"/>
          <w:sz w:val="24"/>
          <w:szCs w:val="24"/>
          <w:lang w:eastAsia="ru-RU"/>
        </w:rPr>
        <w:t>мБк</w:t>
      </w:r>
      <w:proofErr w:type="spellEnd"/>
      <w:r w:rsidRPr="0066263B">
        <w:rPr>
          <w:rFonts w:ascii="Times New Roman" w:eastAsia="Times New Roman" w:hAnsi="Times New Roman" w:cs="Times New Roman"/>
          <w:sz w:val="24"/>
          <w:szCs w:val="24"/>
          <w:lang w:eastAsia="ru-RU"/>
        </w:rPr>
        <w:t>/м</w:t>
      </w:r>
      <w:proofErr w:type="gramStart"/>
      <w:r w:rsidRPr="0066263B">
        <w:rPr>
          <w:rFonts w:ascii="Times New Roman" w:eastAsia="Times New Roman" w:hAnsi="Times New Roman" w:cs="Times New Roman"/>
          <w:sz w:val="24"/>
          <w:szCs w:val="24"/>
          <w:vertAlign w:val="superscript"/>
          <w:lang w:eastAsia="ru-RU"/>
        </w:rPr>
        <w:t>2</w:t>
      </w:r>
      <w:proofErr w:type="gramEnd"/>
      <w:r w:rsidRPr="0066263B">
        <w:rPr>
          <w:rFonts w:ascii="Times New Roman" w:eastAsia="Times New Roman" w:hAnsi="Times New Roman" w:cs="Times New Roman"/>
          <w:sz w:val="24"/>
          <w:szCs w:val="24"/>
          <w:lang w:eastAsia="ru-RU"/>
        </w:rPr>
        <w:t xml:space="preserve"> по результатам исследований за 201</w:t>
      </w:r>
      <w:r w:rsidR="00037164"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-202</w:t>
      </w:r>
      <w:r w:rsidR="0003716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г.г. на территории Брянской области не установлены.</w:t>
      </w:r>
    </w:p>
    <w:p w:rsidR="00FD721D" w:rsidRPr="0066263B" w:rsidRDefault="00FD721D" w:rsidP="00FD721D">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486400" cy="3200400"/>
            <wp:effectExtent l="19050" t="0" r="0" b="0"/>
            <wp:docPr id="6"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D721D" w:rsidRPr="0066263B" w:rsidRDefault="00FD721D" w:rsidP="00FD721D">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50</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lang w:eastAsia="ru-RU"/>
        </w:rPr>
        <w:t>Распределение эффективности удельной активности ЕРН</w:t>
      </w:r>
      <w:r w:rsidRPr="0066263B">
        <w:rPr>
          <w:rFonts w:ascii="Times New Roman" w:eastAsia="Times New Roman" w:hAnsi="Times New Roman" w:cs="Times New Roman"/>
          <w:lang w:eastAsia="ru-RU"/>
        </w:rPr>
        <w:br/>
        <w:t xml:space="preserve">в строительных материалах, </w:t>
      </w:r>
      <w:proofErr w:type="spellStart"/>
      <w:r w:rsidRPr="0066263B">
        <w:rPr>
          <w:rFonts w:ascii="Times New Roman" w:eastAsia="Times New Roman" w:hAnsi="Times New Roman" w:cs="Times New Roman"/>
          <w:lang w:eastAsia="ru-RU"/>
        </w:rPr>
        <w:t>А</w:t>
      </w:r>
      <w:r w:rsidRPr="0066263B">
        <w:rPr>
          <w:rFonts w:ascii="Times New Roman" w:eastAsia="Times New Roman" w:hAnsi="Times New Roman" w:cs="Times New Roman"/>
          <w:vertAlign w:val="subscript"/>
          <w:lang w:eastAsia="ru-RU"/>
        </w:rPr>
        <w:t>эфф</w:t>
      </w:r>
      <w:proofErr w:type="gramStart"/>
      <w:r w:rsidRPr="0066263B">
        <w:rPr>
          <w:rFonts w:ascii="Times New Roman" w:eastAsia="Times New Roman" w:hAnsi="Times New Roman" w:cs="Times New Roman"/>
          <w:vertAlign w:val="subscript"/>
          <w:lang w:eastAsia="ru-RU"/>
        </w:rPr>
        <w:t>.</w:t>
      </w:r>
      <w:r w:rsidRPr="0066263B">
        <w:rPr>
          <w:rFonts w:ascii="Times New Roman" w:eastAsia="Times New Roman" w:hAnsi="Times New Roman" w:cs="Times New Roman"/>
          <w:lang w:eastAsia="ru-RU"/>
        </w:rPr>
        <w:t>Е</w:t>
      </w:r>
      <w:proofErr w:type="gramEnd"/>
      <w:r w:rsidRPr="0066263B">
        <w:rPr>
          <w:rFonts w:ascii="Times New Roman" w:eastAsia="Times New Roman" w:hAnsi="Times New Roman" w:cs="Times New Roman"/>
          <w:lang w:eastAsia="ru-RU"/>
        </w:rPr>
        <w:t>РН</w:t>
      </w:r>
      <w:proofErr w:type="spellEnd"/>
      <w:r w:rsidRPr="0066263B">
        <w:rPr>
          <w:rFonts w:ascii="Times New Roman" w:eastAsia="Times New Roman" w:hAnsi="Times New Roman" w:cs="Times New Roman"/>
          <w:lang w:eastAsia="ru-RU"/>
        </w:rPr>
        <w:t>, Бк/кг</w:t>
      </w:r>
    </w:p>
    <w:p w:rsidR="00FD721D" w:rsidRPr="0066263B" w:rsidRDefault="00FD721D" w:rsidP="00FD721D">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Для оценки доз населения Брянской области от природного облучения за счёт внешнего гамма-излучения и за счёт радона проводился контроль МЭД гамма-излучения и среднегодовой эквивалентной равновесной объёмной активности радона (далее – СГЭРОА) в зданиях различных типов и назначений.</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Число помещений эксплуатируемых и строящихся жилых и общественных зданий, исследованных по мощности дозы гамма-излучения за 201</w:t>
      </w:r>
      <w:r w:rsidR="00A731BE"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544557" w:rsidRPr="0066263B">
        <w:rPr>
          <w:rFonts w:ascii="Times New Roman" w:eastAsia="Times New Roman" w:hAnsi="Times New Roman" w:cs="Times New Roman"/>
          <w:sz w:val="24"/>
          <w:szCs w:val="24"/>
          <w:lang w:eastAsia="ru-RU"/>
        </w:rPr>
        <w:t>2</w:t>
      </w:r>
      <w:r w:rsidR="00A731B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г.г. представлены в таблице </w:t>
      </w:r>
      <w:r w:rsidR="00765681" w:rsidRPr="0066263B">
        <w:rPr>
          <w:rFonts w:ascii="Times New Roman" w:eastAsia="Times New Roman" w:hAnsi="Times New Roman" w:cs="Times New Roman"/>
          <w:sz w:val="24"/>
          <w:szCs w:val="24"/>
          <w:lang w:eastAsia="ru-RU"/>
        </w:rPr>
        <w:t>50</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50</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Результаты контроля МЭД гамма-излучения в помещениях эксплуатируемых</w:t>
      </w:r>
      <w:r w:rsidRPr="0066263B">
        <w:rPr>
          <w:rFonts w:ascii="Times New Roman" w:eastAsia="Times New Roman" w:hAnsi="Times New Roman" w:cs="Times New Roman"/>
          <w:b/>
          <w:bCs/>
          <w:lang w:eastAsia="ru-RU"/>
        </w:rPr>
        <w:br/>
        <w:t>и строящихся жилых и общественных зданий</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
        <w:gridCol w:w="2097"/>
        <w:gridCol w:w="2099"/>
        <w:gridCol w:w="2099"/>
        <w:gridCol w:w="2100"/>
      </w:tblGrid>
      <w:tr w:rsidR="00544557" w:rsidRPr="0066263B" w:rsidTr="00544557">
        <w:trPr>
          <w:cantSplit/>
        </w:trPr>
        <w:tc>
          <w:tcPr>
            <w:tcW w:w="480" w:type="pct"/>
            <w:vMerge w:val="restart"/>
            <w:tcBorders>
              <w:top w:val="single" w:sz="4" w:space="0" w:color="auto"/>
              <w:left w:val="single" w:sz="4" w:space="0" w:color="auto"/>
              <w:bottom w:val="single" w:sz="4" w:space="0" w:color="auto"/>
              <w:right w:val="single" w:sz="4" w:space="0" w:color="auto"/>
            </w:tcBorders>
            <w:vAlign w:val="center"/>
          </w:tcPr>
          <w:p w:rsidR="00544557" w:rsidRPr="0066263B" w:rsidRDefault="00544557" w:rsidP="005445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4520" w:type="pct"/>
            <w:gridSpan w:val="4"/>
            <w:tcBorders>
              <w:top w:val="single" w:sz="4" w:space="0" w:color="auto"/>
              <w:left w:val="single" w:sz="4" w:space="0" w:color="auto"/>
              <w:bottom w:val="single" w:sz="4" w:space="0" w:color="auto"/>
              <w:right w:val="single" w:sz="4" w:space="0" w:color="auto"/>
            </w:tcBorders>
          </w:tcPr>
          <w:p w:rsidR="00544557" w:rsidRPr="0066263B" w:rsidRDefault="00544557" w:rsidP="005445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Количество точек контроля МЭД гамма-излучения</w:t>
            </w:r>
          </w:p>
        </w:tc>
      </w:tr>
      <w:tr w:rsidR="00544557" w:rsidRPr="0066263B" w:rsidTr="0054455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544557" w:rsidRPr="0066263B" w:rsidRDefault="00544557" w:rsidP="00544557">
            <w:pPr>
              <w:spacing w:before="20" w:after="20"/>
              <w:jc w:val="left"/>
              <w:rPr>
                <w:rFonts w:ascii="Times New Roman" w:eastAsia="Times New Roman" w:hAnsi="Times New Roman" w:cs="Times New Roman"/>
                <w:b/>
                <w:i/>
                <w:lang w:eastAsia="ru-RU"/>
              </w:rPr>
            </w:pPr>
          </w:p>
        </w:tc>
        <w:tc>
          <w:tcPr>
            <w:tcW w:w="1129" w:type="pct"/>
            <w:tcBorders>
              <w:top w:val="single" w:sz="4" w:space="0" w:color="auto"/>
              <w:left w:val="single" w:sz="4" w:space="0" w:color="auto"/>
              <w:bottom w:val="single" w:sz="4" w:space="0" w:color="auto"/>
              <w:right w:val="single" w:sz="4" w:space="0" w:color="auto"/>
            </w:tcBorders>
            <w:vAlign w:val="center"/>
          </w:tcPr>
          <w:p w:rsidR="00544557" w:rsidRPr="0066263B" w:rsidRDefault="00544557" w:rsidP="005445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Всего точек</w:t>
            </w:r>
            <w:r w:rsidRPr="0066263B">
              <w:rPr>
                <w:rFonts w:ascii="Times New Roman" w:eastAsia="Times New Roman" w:hAnsi="Times New Roman" w:cs="Times New Roman"/>
                <w:b/>
                <w:i/>
                <w:lang w:eastAsia="ru-RU"/>
              </w:rPr>
              <w:br/>
              <w:t>измерения</w:t>
            </w:r>
          </w:p>
        </w:tc>
        <w:tc>
          <w:tcPr>
            <w:tcW w:w="1130" w:type="pct"/>
            <w:tcBorders>
              <w:top w:val="single" w:sz="4" w:space="0" w:color="auto"/>
              <w:left w:val="single" w:sz="4" w:space="0" w:color="auto"/>
              <w:bottom w:val="single" w:sz="4" w:space="0" w:color="auto"/>
              <w:right w:val="single" w:sz="4" w:space="0" w:color="auto"/>
            </w:tcBorders>
            <w:vAlign w:val="center"/>
          </w:tcPr>
          <w:p w:rsidR="00544557" w:rsidRPr="0066263B" w:rsidRDefault="00544557" w:rsidP="00544557">
            <w:pPr>
              <w:spacing w:before="20" w:after="20"/>
              <w:jc w:val="center"/>
              <w:rPr>
                <w:rFonts w:ascii="Times New Roman" w:eastAsia="Times New Roman" w:hAnsi="Times New Roman" w:cs="Times New Roman"/>
                <w:b/>
                <w:i/>
                <w:vertAlign w:val="superscript"/>
                <w:lang w:eastAsia="ru-RU"/>
              </w:rPr>
            </w:pPr>
            <w:r w:rsidRPr="0066263B">
              <w:rPr>
                <w:rFonts w:ascii="Times New Roman" w:eastAsia="Times New Roman" w:hAnsi="Times New Roman" w:cs="Times New Roman"/>
                <w:b/>
                <w:i/>
                <w:lang w:eastAsia="ru-RU"/>
              </w:rPr>
              <w:t>Строящиеся дома</w:t>
            </w:r>
          </w:p>
        </w:tc>
        <w:tc>
          <w:tcPr>
            <w:tcW w:w="1130" w:type="pct"/>
            <w:tcBorders>
              <w:top w:val="single" w:sz="4" w:space="0" w:color="auto"/>
              <w:left w:val="single" w:sz="4" w:space="0" w:color="auto"/>
              <w:bottom w:val="single" w:sz="4" w:space="0" w:color="auto"/>
              <w:right w:val="single" w:sz="4" w:space="0" w:color="auto"/>
            </w:tcBorders>
            <w:vAlign w:val="center"/>
          </w:tcPr>
          <w:p w:rsidR="00544557" w:rsidRPr="0066263B" w:rsidRDefault="00544557" w:rsidP="00544557">
            <w:pPr>
              <w:spacing w:before="20" w:after="20"/>
              <w:jc w:val="center"/>
              <w:rPr>
                <w:rFonts w:ascii="Times New Roman" w:eastAsia="Times New Roman" w:hAnsi="Times New Roman" w:cs="Times New Roman"/>
                <w:b/>
                <w:i/>
                <w:vertAlign w:val="superscript"/>
                <w:lang w:eastAsia="ru-RU"/>
              </w:rPr>
            </w:pPr>
            <w:r w:rsidRPr="0066263B">
              <w:rPr>
                <w:rFonts w:ascii="Times New Roman" w:eastAsia="Times New Roman" w:hAnsi="Times New Roman" w:cs="Times New Roman"/>
                <w:b/>
                <w:i/>
                <w:lang w:eastAsia="ru-RU"/>
              </w:rPr>
              <w:t>Эксплуатируемые здания</w:t>
            </w:r>
          </w:p>
        </w:tc>
        <w:tc>
          <w:tcPr>
            <w:tcW w:w="1131" w:type="pct"/>
            <w:tcBorders>
              <w:top w:val="single" w:sz="4" w:space="0" w:color="auto"/>
              <w:left w:val="single" w:sz="4" w:space="0" w:color="auto"/>
              <w:bottom w:val="single" w:sz="4" w:space="0" w:color="auto"/>
              <w:right w:val="single" w:sz="4" w:space="0" w:color="auto"/>
            </w:tcBorders>
            <w:vAlign w:val="center"/>
          </w:tcPr>
          <w:p w:rsidR="00544557" w:rsidRPr="0066263B" w:rsidRDefault="00544557" w:rsidP="005445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ДДУ и школы</w:t>
            </w:r>
          </w:p>
        </w:tc>
      </w:tr>
      <w:tr w:rsidR="00A731BE" w:rsidRPr="0066263B" w:rsidTr="00544557">
        <w:tc>
          <w:tcPr>
            <w:tcW w:w="480" w:type="pct"/>
            <w:tcBorders>
              <w:top w:val="single" w:sz="4" w:space="0" w:color="auto"/>
              <w:left w:val="single" w:sz="4" w:space="0" w:color="auto"/>
              <w:bottom w:val="single" w:sz="4" w:space="0" w:color="auto"/>
              <w:right w:val="single" w:sz="4" w:space="0" w:color="auto"/>
            </w:tcBorders>
          </w:tcPr>
          <w:p w:rsidR="00A731BE" w:rsidRPr="0066263B" w:rsidRDefault="00A731BE" w:rsidP="009E385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1129"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13834</w:t>
            </w:r>
          </w:p>
        </w:tc>
        <w:tc>
          <w:tcPr>
            <w:tcW w:w="1130"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5238</w:t>
            </w:r>
          </w:p>
        </w:tc>
        <w:tc>
          <w:tcPr>
            <w:tcW w:w="1130" w:type="pct"/>
            <w:tcBorders>
              <w:top w:val="single" w:sz="4" w:space="0" w:color="auto"/>
              <w:left w:val="single" w:sz="4" w:space="0" w:color="auto"/>
              <w:bottom w:val="single" w:sz="4" w:space="0" w:color="auto"/>
              <w:right w:val="single" w:sz="4" w:space="0" w:color="auto"/>
            </w:tcBorders>
          </w:tcPr>
          <w:p w:rsidR="00A731BE" w:rsidRPr="0066263B" w:rsidRDefault="00A731BE"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2168</w:t>
            </w:r>
          </w:p>
        </w:tc>
        <w:tc>
          <w:tcPr>
            <w:tcW w:w="1131" w:type="pct"/>
            <w:tcBorders>
              <w:top w:val="single" w:sz="4" w:space="0" w:color="auto"/>
              <w:left w:val="single" w:sz="4" w:space="0" w:color="auto"/>
              <w:bottom w:val="single" w:sz="4" w:space="0" w:color="auto"/>
              <w:right w:val="single" w:sz="4" w:space="0" w:color="auto"/>
            </w:tcBorders>
          </w:tcPr>
          <w:p w:rsidR="00A731BE" w:rsidRPr="0066263B" w:rsidRDefault="00A731BE"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6428</w:t>
            </w:r>
          </w:p>
        </w:tc>
      </w:tr>
      <w:tr w:rsidR="00A731BE" w:rsidRPr="0066263B" w:rsidTr="00544557">
        <w:tc>
          <w:tcPr>
            <w:tcW w:w="480" w:type="pct"/>
            <w:tcBorders>
              <w:top w:val="single" w:sz="4" w:space="0" w:color="auto"/>
              <w:left w:val="single" w:sz="4" w:space="0" w:color="auto"/>
              <w:bottom w:val="single" w:sz="4" w:space="0" w:color="auto"/>
              <w:right w:val="single" w:sz="4" w:space="0" w:color="auto"/>
            </w:tcBorders>
          </w:tcPr>
          <w:p w:rsidR="00A731BE" w:rsidRPr="0066263B" w:rsidRDefault="00A731BE" w:rsidP="009E385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1129"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15876</w:t>
            </w:r>
          </w:p>
        </w:tc>
        <w:tc>
          <w:tcPr>
            <w:tcW w:w="1130"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6158</w:t>
            </w:r>
          </w:p>
        </w:tc>
        <w:tc>
          <w:tcPr>
            <w:tcW w:w="1130" w:type="pct"/>
            <w:tcBorders>
              <w:top w:val="single" w:sz="4" w:space="0" w:color="auto"/>
              <w:left w:val="single" w:sz="4" w:space="0" w:color="auto"/>
              <w:bottom w:val="single" w:sz="4" w:space="0" w:color="auto"/>
              <w:right w:val="single" w:sz="4" w:space="0" w:color="auto"/>
            </w:tcBorders>
          </w:tcPr>
          <w:p w:rsidR="00A731BE" w:rsidRPr="0066263B" w:rsidRDefault="00A731BE"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1883</w:t>
            </w:r>
          </w:p>
        </w:tc>
        <w:tc>
          <w:tcPr>
            <w:tcW w:w="1131" w:type="pct"/>
            <w:tcBorders>
              <w:top w:val="single" w:sz="4" w:space="0" w:color="auto"/>
              <w:left w:val="single" w:sz="4" w:space="0" w:color="auto"/>
              <w:bottom w:val="single" w:sz="4" w:space="0" w:color="auto"/>
              <w:right w:val="single" w:sz="4" w:space="0" w:color="auto"/>
            </w:tcBorders>
          </w:tcPr>
          <w:p w:rsidR="00A731BE" w:rsidRPr="0066263B" w:rsidRDefault="00A731BE"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7835</w:t>
            </w:r>
          </w:p>
        </w:tc>
      </w:tr>
      <w:tr w:rsidR="00A731BE" w:rsidRPr="0066263B" w:rsidTr="009E385A">
        <w:tc>
          <w:tcPr>
            <w:tcW w:w="480" w:type="pct"/>
            <w:tcBorders>
              <w:top w:val="single" w:sz="4" w:space="0" w:color="auto"/>
              <w:left w:val="single" w:sz="4" w:space="0" w:color="auto"/>
              <w:bottom w:val="single" w:sz="4" w:space="0" w:color="auto"/>
              <w:right w:val="single" w:sz="4" w:space="0" w:color="auto"/>
            </w:tcBorders>
          </w:tcPr>
          <w:p w:rsidR="00A731BE" w:rsidRPr="0066263B" w:rsidRDefault="00A731BE" w:rsidP="009E385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1129"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13535</w:t>
            </w:r>
          </w:p>
        </w:tc>
        <w:tc>
          <w:tcPr>
            <w:tcW w:w="1130"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4571</w:t>
            </w:r>
          </w:p>
        </w:tc>
        <w:tc>
          <w:tcPr>
            <w:tcW w:w="1130"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1156</w:t>
            </w:r>
          </w:p>
        </w:tc>
        <w:tc>
          <w:tcPr>
            <w:tcW w:w="1131"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7808</w:t>
            </w:r>
          </w:p>
        </w:tc>
      </w:tr>
      <w:tr w:rsidR="00A731BE" w:rsidRPr="0066263B" w:rsidTr="009E385A">
        <w:tc>
          <w:tcPr>
            <w:tcW w:w="480" w:type="pct"/>
            <w:tcBorders>
              <w:top w:val="single" w:sz="4" w:space="0" w:color="auto"/>
              <w:left w:val="single" w:sz="4" w:space="0" w:color="auto"/>
              <w:bottom w:val="single" w:sz="4" w:space="0" w:color="auto"/>
              <w:right w:val="single" w:sz="4" w:space="0" w:color="auto"/>
            </w:tcBorders>
          </w:tcPr>
          <w:p w:rsidR="00A731BE" w:rsidRPr="0066263B" w:rsidRDefault="00A731BE" w:rsidP="005445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1129"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11747</w:t>
            </w:r>
          </w:p>
        </w:tc>
        <w:tc>
          <w:tcPr>
            <w:tcW w:w="1130" w:type="pct"/>
            <w:tcBorders>
              <w:top w:val="single" w:sz="4" w:space="0" w:color="auto"/>
              <w:left w:val="single" w:sz="4" w:space="0" w:color="auto"/>
              <w:bottom w:val="single" w:sz="4" w:space="0" w:color="auto"/>
              <w:right w:val="single" w:sz="4" w:space="0" w:color="auto"/>
            </w:tcBorders>
            <w:vAlign w:val="center"/>
          </w:tcPr>
          <w:p w:rsidR="00A731BE" w:rsidRPr="0066263B" w:rsidRDefault="00A731BE"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4589</w:t>
            </w:r>
          </w:p>
        </w:tc>
        <w:tc>
          <w:tcPr>
            <w:tcW w:w="1130" w:type="pct"/>
            <w:tcBorders>
              <w:top w:val="single" w:sz="4" w:space="0" w:color="auto"/>
              <w:left w:val="single" w:sz="4" w:space="0" w:color="auto"/>
              <w:bottom w:val="single" w:sz="4" w:space="0" w:color="auto"/>
              <w:right w:val="single" w:sz="4" w:space="0" w:color="auto"/>
            </w:tcBorders>
          </w:tcPr>
          <w:p w:rsidR="00A731BE" w:rsidRPr="0066263B" w:rsidRDefault="00A731BE"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1521</w:t>
            </w:r>
          </w:p>
        </w:tc>
        <w:tc>
          <w:tcPr>
            <w:tcW w:w="1131" w:type="pct"/>
            <w:tcBorders>
              <w:top w:val="single" w:sz="4" w:space="0" w:color="auto"/>
              <w:left w:val="single" w:sz="4" w:space="0" w:color="auto"/>
              <w:bottom w:val="single" w:sz="4" w:space="0" w:color="auto"/>
              <w:right w:val="single" w:sz="4" w:space="0" w:color="auto"/>
            </w:tcBorders>
          </w:tcPr>
          <w:p w:rsidR="00A731BE" w:rsidRPr="0066263B" w:rsidRDefault="00A731BE"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5637</w:t>
            </w:r>
          </w:p>
        </w:tc>
      </w:tr>
    </w:tbl>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По результатам проведённых в 201</w:t>
      </w:r>
      <w:r w:rsidR="00A731BE"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-202</w:t>
      </w:r>
      <w:r w:rsidR="00A731B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г.г. дозиметрических измерений мощности эффективной дозы гамма-излучения, превышения нормативных значений </w:t>
      </w:r>
      <w:r w:rsidR="00A731BE" w:rsidRPr="0066263B">
        <w:rPr>
          <w:rFonts w:ascii="Times New Roman" w:eastAsia="Times New Roman" w:hAnsi="Times New Roman" w:cs="Times New Roman"/>
          <w:sz w:val="24"/>
          <w:szCs w:val="24"/>
          <w:lang w:eastAsia="ru-RU"/>
        </w:rPr>
        <w:t xml:space="preserve">НРБ-99/2009 </w:t>
      </w:r>
      <w:r w:rsidRPr="0066263B">
        <w:rPr>
          <w:rFonts w:ascii="Times New Roman" w:eastAsia="Times New Roman" w:hAnsi="Times New Roman" w:cs="Times New Roman"/>
          <w:sz w:val="24"/>
          <w:szCs w:val="24"/>
          <w:lang w:eastAsia="ru-RU"/>
        </w:rPr>
        <w:t>(более чем 0,2</w:t>
      </w:r>
      <w:r w:rsidR="00306846"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мкЗв</w:t>
      </w:r>
      <w:proofErr w:type="spellEnd"/>
      <w:r w:rsidRPr="0066263B">
        <w:rPr>
          <w:rFonts w:ascii="Times New Roman" w:eastAsia="Times New Roman" w:hAnsi="Times New Roman" w:cs="Times New Roman"/>
          <w:sz w:val="24"/>
          <w:szCs w:val="24"/>
          <w:lang w:eastAsia="ru-RU"/>
        </w:rPr>
        <w:t>/ч мощности дозы на отрытой местности) не установлено.</w:t>
      </w: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Согласно</w:t>
      </w:r>
      <w:proofErr w:type="gramEnd"/>
      <w:r w:rsidRPr="0066263B">
        <w:rPr>
          <w:rFonts w:ascii="Times New Roman" w:eastAsia="Times New Roman" w:hAnsi="Times New Roman" w:cs="Times New Roman"/>
          <w:sz w:val="24"/>
          <w:szCs w:val="24"/>
          <w:lang w:eastAsia="ru-RU"/>
        </w:rPr>
        <w:t xml:space="preserve"> проведённых измерений концентраций радона в воздухе помещений жилых, общественных и производственных зданий за 201</w:t>
      </w:r>
      <w:r w:rsidR="00A731BE"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-2020</w:t>
      </w:r>
      <w:r w:rsidR="00A731B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г.г. СГРЭОА радона более 100</w:t>
      </w:r>
      <w:r w:rsidR="00A731BE"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Бк/м</w:t>
      </w:r>
      <w:r w:rsidRPr="0066263B">
        <w:rPr>
          <w:rFonts w:ascii="Times New Roman" w:eastAsia="Times New Roman" w:hAnsi="Times New Roman" w:cs="Times New Roman"/>
          <w:sz w:val="24"/>
          <w:szCs w:val="24"/>
          <w:vertAlign w:val="superscript"/>
          <w:lang w:eastAsia="ru-RU"/>
        </w:rPr>
        <w:t>3</w:t>
      </w:r>
      <w:r w:rsidRPr="0066263B">
        <w:rPr>
          <w:rFonts w:ascii="Times New Roman" w:eastAsia="Times New Roman" w:hAnsi="Times New Roman" w:cs="Times New Roman"/>
          <w:sz w:val="24"/>
          <w:szCs w:val="24"/>
          <w:lang w:eastAsia="ru-RU"/>
        </w:rPr>
        <w:t xml:space="preserve"> на территории Брянской области не установлено.</w:t>
      </w: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Среднее значение СГЭРОА радона на территории Брянской области в 202</w:t>
      </w:r>
      <w:r w:rsidR="00A731B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 10,</w:t>
      </w:r>
      <w:r w:rsidR="00A731BE" w:rsidRPr="0066263B">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 xml:space="preserve"> Бк/м</w:t>
      </w:r>
      <w:r w:rsidRPr="0066263B">
        <w:rPr>
          <w:rFonts w:ascii="Times New Roman" w:eastAsia="Times New Roman" w:hAnsi="Times New Roman" w:cs="Times New Roman"/>
          <w:sz w:val="24"/>
          <w:szCs w:val="24"/>
          <w:vertAlign w:val="superscript"/>
          <w:lang w:eastAsia="ru-RU"/>
        </w:rPr>
        <w:t>3</w:t>
      </w:r>
      <w:r w:rsidRPr="0066263B">
        <w:rPr>
          <w:rFonts w:ascii="Times New Roman" w:eastAsia="Times New Roman" w:hAnsi="Times New Roman" w:cs="Times New Roman"/>
          <w:sz w:val="24"/>
          <w:szCs w:val="24"/>
          <w:lang w:eastAsia="ru-RU"/>
        </w:rPr>
        <w:t xml:space="preserve"> (</w:t>
      </w:r>
      <w:r w:rsidR="00A731BE" w:rsidRPr="0066263B">
        <w:rPr>
          <w:rFonts w:ascii="Times New Roman" w:eastAsia="Times New Roman" w:hAnsi="Times New Roman" w:cs="Times New Roman"/>
          <w:sz w:val="24"/>
          <w:szCs w:val="24"/>
          <w:lang w:eastAsia="ru-RU"/>
        </w:rPr>
        <w:t>2020 – 10,7 Бк/м</w:t>
      </w:r>
      <w:r w:rsidR="00A731BE" w:rsidRPr="0066263B">
        <w:rPr>
          <w:rFonts w:ascii="Times New Roman" w:eastAsia="Times New Roman" w:hAnsi="Times New Roman" w:cs="Times New Roman"/>
          <w:sz w:val="24"/>
          <w:szCs w:val="24"/>
          <w:vertAlign w:val="superscript"/>
          <w:lang w:eastAsia="ru-RU"/>
        </w:rPr>
        <w:t>3</w:t>
      </w:r>
      <w:r w:rsidR="00A731BE"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2019 – 10,9</w:t>
      </w:r>
      <w:r w:rsidR="00A731BE"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Бк/м</w:t>
      </w:r>
      <w:r w:rsidRPr="0066263B">
        <w:rPr>
          <w:rFonts w:ascii="Times New Roman" w:eastAsia="Times New Roman" w:hAnsi="Times New Roman" w:cs="Times New Roman"/>
          <w:sz w:val="24"/>
          <w:szCs w:val="24"/>
          <w:vertAlign w:val="superscript"/>
          <w:lang w:eastAsia="ru-RU"/>
        </w:rPr>
        <w:t>3</w:t>
      </w:r>
      <w:r w:rsidRPr="0066263B">
        <w:rPr>
          <w:rFonts w:ascii="Times New Roman" w:eastAsia="Times New Roman" w:hAnsi="Times New Roman" w:cs="Times New Roman"/>
          <w:sz w:val="24"/>
          <w:szCs w:val="24"/>
          <w:lang w:eastAsia="ru-RU"/>
        </w:rPr>
        <w:t>; 2018 – 11,2</w:t>
      </w:r>
      <w:r w:rsidR="00A731BE"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Бк/м</w:t>
      </w:r>
      <w:r w:rsidRPr="0066263B">
        <w:rPr>
          <w:rFonts w:ascii="Times New Roman" w:eastAsia="Times New Roman" w:hAnsi="Times New Roman" w:cs="Times New Roman"/>
          <w:sz w:val="24"/>
          <w:szCs w:val="24"/>
          <w:vertAlign w:val="superscript"/>
          <w:lang w:eastAsia="ru-RU"/>
        </w:rPr>
        <w:t>3</w:t>
      </w:r>
      <w:r w:rsidRPr="0066263B">
        <w:rPr>
          <w:rFonts w:ascii="Times New Roman" w:eastAsia="Times New Roman" w:hAnsi="Times New Roman" w:cs="Times New Roman"/>
          <w:sz w:val="24"/>
          <w:szCs w:val="24"/>
          <w:lang w:eastAsia="ru-RU"/>
        </w:rPr>
        <w:t>), максимальное значение СГЭРОА радона – 3</w:t>
      </w:r>
      <w:r w:rsidR="00A731BE" w:rsidRPr="0066263B">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,0</w:t>
      </w:r>
      <w:r w:rsidR="00A731BE"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Бк/м</w:t>
      </w:r>
      <w:r w:rsidRPr="0066263B">
        <w:rPr>
          <w:rFonts w:ascii="Times New Roman" w:eastAsia="Times New Roman" w:hAnsi="Times New Roman" w:cs="Times New Roman"/>
          <w:sz w:val="24"/>
          <w:szCs w:val="24"/>
          <w:vertAlign w:val="superscript"/>
          <w:lang w:eastAsia="ru-RU"/>
        </w:rPr>
        <w:t>3</w:t>
      </w:r>
      <w:r w:rsidRPr="0066263B">
        <w:rPr>
          <w:rFonts w:ascii="Times New Roman" w:eastAsia="Times New Roman" w:hAnsi="Times New Roman" w:cs="Times New Roman"/>
          <w:sz w:val="24"/>
          <w:szCs w:val="24"/>
          <w:lang w:eastAsia="ru-RU"/>
        </w:rPr>
        <w:t xml:space="preserve"> (</w:t>
      </w:r>
      <w:r w:rsidR="00A731BE" w:rsidRPr="0066263B">
        <w:rPr>
          <w:rFonts w:ascii="Times New Roman" w:eastAsia="Times New Roman" w:hAnsi="Times New Roman" w:cs="Times New Roman"/>
          <w:sz w:val="24"/>
          <w:szCs w:val="24"/>
          <w:lang w:eastAsia="ru-RU"/>
        </w:rPr>
        <w:t>2020 – 38,0 Бк/м</w:t>
      </w:r>
      <w:r w:rsidR="00A731BE" w:rsidRPr="0066263B">
        <w:rPr>
          <w:rFonts w:ascii="Times New Roman" w:eastAsia="Times New Roman" w:hAnsi="Times New Roman" w:cs="Times New Roman"/>
          <w:sz w:val="24"/>
          <w:szCs w:val="24"/>
          <w:vertAlign w:val="superscript"/>
          <w:lang w:eastAsia="ru-RU"/>
        </w:rPr>
        <w:t>3</w:t>
      </w:r>
      <w:r w:rsidR="00A731BE"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2019 – 69,0</w:t>
      </w:r>
      <w:r w:rsidR="00A731BE"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Бк/м</w:t>
      </w:r>
      <w:r w:rsidRPr="0066263B">
        <w:rPr>
          <w:rFonts w:ascii="Times New Roman" w:eastAsia="Times New Roman" w:hAnsi="Times New Roman" w:cs="Times New Roman"/>
          <w:sz w:val="24"/>
          <w:szCs w:val="24"/>
          <w:vertAlign w:val="superscript"/>
          <w:lang w:eastAsia="ru-RU"/>
        </w:rPr>
        <w:t>3</w:t>
      </w:r>
      <w:r w:rsidRPr="0066263B">
        <w:rPr>
          <w:rFonts w:ascii="Times New Roman" w:eastAsia="Times New Roman" w:hAnsi="Times New Roman" w:cs="Times New Roman"/>
          <w:sz w:val="24"/>
          <w:szCs w:val="24"/>
          <w:lang w:eastAsia="ru-RU"/>
        </w:rPr>
        <w:t>; 2018 – 42,0</w:t>
      </w:r>
      <w:r w:rsidR="00A731BE"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Бк/м</w:t>
      </w:r>
      <w:r w:rsidRPr="0066263B">
        <w:rPr>
          <w:rFonts w:ascii="Times New Roman" w:eastAsia="Times New Roman" w:hAnsi="Times New Roman" w:cs="Times New Roman"/>
          <w:sz w:val="24"/>
          <w:szCs w:val="24"/>
          <w:vertAlign w:val="superscript"/>
          <w:lang w:eastAsia="ru-RU"/>
        </w:rPr>
        <w:t>3</w:t>
      </w:r>
      <w:r w:rsidRPr="0066263B">
        <w:rPr>
          <w:rFonts w:ascii="Times New Roman" w:eastAsia="Times New Roman" w:hAnsi="Times New Roman" w:cs="Times New Roman"/>
          <w:sz w:val="24"/>
          <w:szCs w:val="24"/>
          <w:lang w:eastAsia="ru-RU"/>
        </w:rPr>
        <w:t>).</w:t>
      </w: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Превышения нормативных значений НРБ-99/2009 по содержанию радона в воздухе жилых помещений (более 200</w:t>
      </w:r>
      <w:r w:rsidR="00A731BE"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Бк/м</w:t>
      </w:r>
      <w:r w:rsidRPr="0066263B">
        <w:rPr>
          <w:rFonts w:ascii="Times New Roman" w:eastAsia="Times New Roman" w:hAnsi="Times New Roman" w:cs="Times New Roman"/>
          <w:sz w:val="24"/>
          <w:szCs w:val="24"/>
          <w:vertAlign w:val="superscript"/>
          <w:lang w:eastAsia="ru-RU"/>
        </w:rPr>
        <w:t>3</w:t>
      </w:r>
      <w:r w:rsidRPr="0066263B">
        <w:rPr>
          <w:rFonts w:ascii="Times New Roman" w:eastAsia="Times New Roman" w:hAnsi="Times New Roman" w:cs="Times New Roman"/>
          <w:sz w:val="24"/>
          <w:szCs w:val="24"/>
          <w:lang w:eastAsia="ru-RU"/>
        </w:rPr>
        <w:t>) на территории Брянской области за 201</w:t>
      </w:r>
      <w:r w:rsidR="00A731BE"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-202</w:t>
      </w:r>
      <w:r w:rsidR="00A731B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г.г. не зарегистрировано.</w:t>
      </w:r>
    </w:p>
    <w:p w:rsidR="00A731BE" w:rsidRPr="0066263B" w:rsidRDefault="00A731BE" w:rsidP="00544557">
      <w:pPr>
        <w:spacing w:before="0" w:after="0"/>
        <w:ind w:firstLine="708"/>
        <w:rPr>
          <w:rFonts w:ascii="Times New Roman" w:eastAsia="Times New Roman" w:hAnsi="Times New Roman" w:cs="Times New Roman"/>
          <w:sz w:val="24"/>
          <w:szCs w:val="24"/>
          <w:lang w:eastAsia="ru-RU"/>
        </w:rPr>
      </w:pPr>
    </w:p>
    <w:p w:rsidR="00324483" w:rsidRPr="0066263B" w:rsidRDefault="00324483" w:rsidP="00A731BE">
      <w:pPr>
        <w:spacing w:before="0" w:after="0"/>
        <w:ind w:firstLine="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 xml:space="preserve">Облучение </w:t>
      </w:r>
      <w:proofErr w:type="gramStart"/>
      <w:r w:rsidRPr="0066263B">
        <w:rPr>
          <w:rFonts w:ascii="Times New Roman" w:eastAsia="Times New Roman" w:hAnsi="Times New Roman" w:cs="Times New Roman"/>
          <w:i/>
          <w:sz w:val="24"/>
          <w:szCs w:val="24"/>
          <w:u w:val="single"/>
          <w:lang w:eastAsia="ru-RU"/>
        </w:rPr>
        <w:t>природными</w:t>
      </w:r>
      <w:proofErr w:type="gramEnd"/>
      <w:r w:rsidRPr="0066263B">
        <w:rPr>
          <w:rFonts w:ascii="Times New Roman" w:eastAsia="Times New Roman" w:hAnsi="Times New Roman" w:cs="Times New Roman"/>
          <w:i/>
          <w:sz w:val="24"/>
          <w:szCs w:val="24"/>
          <w:u w:val="single"/>
          <w:lang w:eastAsia="ru-RU"/>
        </w:rPr>
        <w:t xml:space="preserve"> ИИИ в производственных условиях</w:t>
      </w: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Согласно</w:t>
      </w:r>
      <w:proofErr w:type="gramEnd"/>
      <w:r w:rsidRPr="0066263B">
        <w:rPr>
          <w:rFonts w:ascii="Times New Roman" w:eastAsia="Times New Roman" w:hAnsi="Times New Roman" w:cs="Times New Roman"/>
          <w:sz w:val="24"/>
          <w:szCs w:val="24"/>
          <w:lang w:eastAsia="ru-RU"/>
        </w:rPr>
        <w:t xml:space="preserve"> информационного письма Роспотребнадзора от 29.11.2011 № 01/15070-1-32 «Об организации контроля и надзора за облучением работников природными ИИИ в производственных условиях» в 201</w:t>
      </w:r>
      <w:r w:rsidR="00532E3F"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532E3F"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 внесена информация в форму 4-ДОЗ «Сведения о дозах облучения населения за сч</w:t>
      </w:r>
      <w:r w:rsidR="004F5A16"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 xml:space="preserve">т естественного и </w:t>
      </w:r>
      <w:proofErr w:type="spellStart"/>
      <w:r w:rsidRPr="0066263B">
        <w:rPr>
          <w:rFonts w:ascii="Times New Roman" w:eastAsia="Times New Roman" w:hAnsi="Times New Roman" w:cs="Times New Roman"/>
          <w:sz w:val="24"/>
          <w:szCs w:val="24"/>
          <w:lang w:eastAsia="ru-RU"/>
        </w:rPr>
        <w:t>техногенноизмен</w:t>
      </w:r>
      <w:r w:rsidR="004F5A16"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нного</w:t>
      </w:r>
      <w:proofErr w:type="spellEnd"/>
      <w:r w:rsidRPr="0066263B">
        <w:rPr>
          <w:rFonts w:ascii="Times New Roman" w:eastAsia="Times New Roman" w:hAnsi="Times New Roman" w:cs="Times New Roman"/>
          <w:sz w:val="24"/>
          <w:szCs w:val="24"/>
          <w:lang w:eastAsia="ru-RU"/>
        </w:rPr>
        <w:t xml:space="preserve"> радиационного фона по Брянской области». На территории Брянской области 1</w:t>
      </w:r>
      <w:r w:rsidR="00532E3F"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 xml:space="preserve"> человек (по профессии: стерженщики – </w:t>
      </w:r>
      <w:r w:rsidR="00532E3F"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 xml:space="preserve"> человек, формовщики – </w:t>
      </w:r>
      <w:r w:rsidR="00532E3F" w:rsidRPr="0066263B">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 xml:space="preserve"> человек), работающих с </w:t>
      </w:r>
      <w:proofErr w:type="spellStart"/>
      <w:r w:rsidRPr="0066263B">
        <w:rPr>
          <w:rFonts w:ascii="Times New Roman" w:eastAsia="Times New Roman" w:hAnsi="Times New Roman" w:cs="Times New Roman"/>
          <w:sz w:val="24"/>
          <w:szCs w:val="24"/>
          <w:lang w:eastAsia="ru-RU"/>
        </w:rPr>
        <w:t>антипригарными</w:t>
      </w:r>
      <w:proofErr w:type="spellEnd"/>
      <w:r w:rsidRPr="0066263B">
        <w:rPr>
          <w:rFonts w:ascii="Times New Roman" w:eastAsia="Times New Roman" w:hAnsi="Times New Roman" w:cs="Times New Roman"/>
          <w:sz w:val="24"/>
          <w:szCs w:val="24"/>
          <w:lang w:eastAsia="ru-RU"/>
        </w:rPr>
        <w:t xml:space="preserve"> покрытиями в литейных цехах №№ 1, 2 АО «Производственное объединение «</w:t>
      </w:r>
      <w:proofErr w:type="spellStart"/>
      <w:r w:rsidRPr="0066263B">
        <w:rPr>
          <w:rFonts w:ascii="Times New Roman" w:eastAsia="Times New Roman" w:hAnsi="Times New Roman" w:cs="Times New Roman"/>
          <w:sz w:val="24"/>
          <w:szCs w:val="24"/>
          <w:lang w:eastAsia="ru-RU"/>
        </w:rPr>
        <w:t>Бежицкая</w:t>
      </w:r>
      <w:proofErr w:type="spellEnd"/>
      <w:r w:rsidRPr="0066263B">
        <w:rPr>
          <w:rFonts w:ascii="Times New Roman" w:eastAsia="Times New Roman" w:hAnsi="Times New Roman" w:cs="Times New Roman"/>
          <w:sz w:val="24"/>
          <w:szCs w:val="24"/>
          <w:lang w:eastAsia="ru-RU"/>
        </w:rPr>
        <w:t xml:space="preserve"> сталь», подвергаются воздействию природных источников излучения в производственных условиях. Средняя эффективная доза облучения </w:t>
      </w:r>
      <w:proofErr w:type="gramStart"/>
      <w:r w:rsidRPr="0066263B">
        <w:rPr>
          <w:rFonts w:ascii="Times New Roman" w:eastAsia="Times New Roman" w:hAnsi="Times New Roman" w:cs="Times New Roman"/>
          <w:sz w:val="24"/>
          <w:szCs w:val="24"/>
          <w:lang w:eastAsia="ru-RU"/>
        </w:rPr>
        <w:t>природными</w:t>
      </w:r>
      <w:proofErr w:type="gramEnd"/>
      <w:r w:rsidRPr="0066263B">
        <w:rPr>
          <w:rFonts w:ascii="Times New Roman" w:eastAsia="Times New Roman" w:hAnsi="Times New Roman" w:cs="Times New Roman"/>
          <w:sz w:val="24"/>
          <w:szCs w:val="24"/>
          <w:lang w:eastAsia="ru-RU"/>
        </w:rPr>
        <w:t xml:space="preserve"> ИИИ данных работников </w:t>
      </w:r>
      <w:r w:rsidR="00532E3F" w:rsidRPr="0066263B">
        <w:rPr>
          <w:rFonts w:ascii="Times New Roman" w:eastAsia="Times New Roman" w:hAnsi="Times New Roman" w:cs="Times New Roman"/>
          <w:sz w:val="24"/>
          <w:szCs w:val="24"/>
          <w:lang w:eastAsia="ru-RU"/>
        </w:rPr>
        <w:t xml:space="preserve">в 2020 году </w:t>
      </w:r>
      <w:r w:rsidRPr="0066263B">
        <w:rPr>
          <w:rFonts w:ascii="Times New Roman" w:eastAsia="Times New Roman" w:hAnsi="Times New Roman" w:cs="Times New Roman"/>
          <w:sz w:val="24"/>
          <w:szCs w:val="24"/>
          <w:lang w:eastAsia="ru-RU"/>
        </w:rPr>
        <w:t>составила 0,1</w:t>
      </w:r>
      <w:r w:rsidR="00532E3F" w:rsidRPr="0066263B">
        <w:rPr>
          <w:rFonts w:ascii="Times New Roman" w:eastAsia="Times New Roman" w:hAnsi="Times New Roman" w:cs="Times New Roman"/>
          <w:sz w:val="24"/>
          <w:szCs w:val="24"/>
          <w:lang w:eastAsia="ru-RU"/>
        </w:rPr>
        <w:t>2</w:t>
      </w:r>
      <w:r w:rsidR="004F5A16"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(максимальная 0,</w:t>
      </w:r>
      <w:r w:rsidR="00532E3F" w:rsidRPr="0066263B">
        <w:rPr>
          <w:rFonts w:ascii="Times New Roman" w:eastAsia="Times New Roman" w:hAnsi="Times New Roman" w:cs="Times New Roman"/>
          <w:sz w:val="24"/>
          <w:szCs w:val="24"/>
          <w:lang w:eastAsia="ru-RU"/>
        </w:rPr>
        <w:t>15</w:t>
      </w:r>
      <w:r w:rsidR="004F5A16"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За период наблюдения 201</w:t>
      </w:r>
      <w:r w:rsidR="00532E3F"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532E3F"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 за дозами облучения работников природными ИИИ в производственных условиях, превышения гигиенического норматива 5</w:t>
      </w:r>
      <w:r w:rsidR="004F5A16"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 xml:space="preserve">/год </w:t>
      </w:r>
      <w:proofErr w:type="gramStart"/>
      <w:r w:rsidRPr="0066263B">
        <w:rPr>
          <w:rFonts w:ascii="Times New Roman" w:eastAsia="Times New Roman" w:hAnsi="Times New Roman" w:cs="Times New Roman"/>
          <w:sz w:val="24"/>
          <w:szCs w:val="24"/>
          <w:lang w:eastAsia="ru-RU"/>
        </w:rPr>
        <w:t>согласно требований</w:t>
      </w:r>
      <w:proofErr w:type="gramEnd"/>
      <w:r w:rsidRPr="0066263B">
        <w:rPr>
          <w:rFonts w:ascii="Times New Roman" w:eastAsia="Times New Roman" w:hAnsi="Times New Roman" w:cs="Times New Roman"/>
          <w:sz w:val="24"/>
          <w:szCs w:val="24"/>
          <w:lang w:eastAsia="ru-RU"/>
        </w:rPr>
        <w:t xml:space="preserve"> СанПиН 2.6.1.2523-09 (НРБ-99/2009) не установлено.</w:t>
      </w:r>
    </w:p>
    <w:p w:rsidR="00A731BE" w:rsidRPr="0066263B" w:rsidRDefault="00A731BE" w:rsidP="00544557">
      <w:pPr>
        <w:spacing w:before="0" w:after="0"/>
        <w:ind w:firstLine="708"/>
        <w:rPr>
          <w:rFonts w:ascii="Times New Roman" w:eastAsia="Times New Roman" w:hAnsi="Times New Roman" w:cs="Times New Roman"/>
          <w:sz w:val="24"/>
          <w:szCs w:val="24"/>
          <w:lang w:eastAsia="ru-RU"/>
        </w:rPr>
      </w:pP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Групп населения и персонала с эффективной дозой за счёт природных источников выше гигиенического норматива 5</w:t>
      </w:r>
      <w:r w:rsidR="00532E3F"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 xml:space="preserve">/год, </w:t>
      </w:r>
      <w:proofErr w:type="gramStart"/>
      <w:r w:rsidRPr="0066263B">
        <w:rPr>
          <w:rFonts w:ascii="Times New Roman" w:eastAsia="Times New Roman" w:hAnsi="Times New Roman" w:cs="Times New Roman"/>
          <w:sz w:val="24"/>
          <w:szCs w:val="24"/>
          <w:lang w:eastAsia="ru-RU"/>
        </w:rPr>
        <w:t>согласно требований</w:t>
      </w:r>
      <w:proofErr w:type="gramEnd"/>
      <w:r w:rsidRPr="0066263B">
        <w:rPr>
          <w:rFonts w:ascii="Times New Roman" w:eastAsia="Times New Roman" w:hAnsi="Times New Roman" w:cs="Times New Roman"/>
          <w:sz w:val="24"/>
          <w:szCs w:val="24"/>
          <w:lang w:eastAsia="ru-RU"/>
        </w:rPr>
        <w:t xml:space="preserve"> СанПиН 2.6.1.2523-09 (НРБ-99/2009) на территории Брянской области по данным РГП за 20</w:t>
      </w:r>
      <w:r w:rsidR="00532E3F" w:rsidRPr="0066263B">
        <w:rPr>
          <w:rFonts w:ascii="Times New Roman" w:eastAsia="Times New Roman" w:hAnsi="Times New Roman" w:cs="Times New Roman"/>
          <w:sz w:val="24"/>
          <w:szCs w:val="24"/>
          <w:lang w:eastAsia="ru-RU"/>
        </w:rPr>
        <w:t xml:space="preserve">20 </w:t>
      </w:r>
      <w:r w:rsidRPr="0066263B">
        <w:rPr>
          <w:rFonts w:ascii="Times New Roman" w:eastAsia="Times New Roman" w:hAnsi="Times New Roman" w:cs="Times New Roman"/>
          <w:sz w:val="24"/>
          <w:szCs w:val="24"/>
          <w:lang w:eastAsia="ru-RU"/>
        </w:rPr>
        <w:t>год не зафиксировано. В 202</w:t>
      </w:r>
      <w:r w:rsidR="00532E3F"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продолжена работа по контролю доз облучения указанных работников.</w:t>
      </w:r>
    </w:p>
    <w:p w:rsidR="00532E3F" w:rsidRPr="0066263B" w:rsidRDefault="00532E3F" w:rsidP="00544557">
      <w:pPr>
        <w:spacing w:before="0" w:after="0"/>
        <w:ind w:firstLine="708"/>
        <w:rPr>
          <w:rFonts w:ascii="Times New Roman" w:eastAsia="Times New Roman" w:hAnsi="Times New Roman" w:cs="Times New Roman"/>
          <w:sz w:val="24"/>
          <w:szCs w:val="24"/>
          <w:lang w:eastAsia="ru-RU"/>
        </w:rPr>
      </w:pP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Таким образом, средняя доза облучения населения Брянской области в 201</w:t>
      </w:r>
      <w:r w:rsidR="00532E3F"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-20</w:t>
      </w:r>
      <w:r w:rsidR="00532E3F"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 за счёт ионизирующих источников природного происхождения (стройматериалы, радон, космическое излучение, вода, пищевые продукты, производственные условия) не превышает общероссийские показатели. В 20</w:t>
      </w:r>
      <w:r w:rsidR="00D439A0"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доза от ПИИИ составляет 2,3</w:t>
      </w:r>
      <w:r w:rsidR="00D439A0" w:rsidRPr="0066263B">
        <w:rPr>
          <w:rFonts w:ascii="Times New Roman" w:eastAsia="Times New Roman" w:hAnsi="Times New Roman" w:cs="Times New Roman"/>
          <w:sz w:val="24"/>
          <w:szCs w:val="24"/>
          <w:lang w:eastAsia="ru-RU"/>
        </w:rPr>
        <w:t>7</w:t>
      </w:r>
      <w:r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(72</w:t>
      </w:r>
      <w:r w:rsidR="00D439A0" w:rsidRPr="0066263B">
        <w:rPr>
          <w:rFonts w:ascii="Times New Roman" w:eastAsia="Times New Roman" w:hAnsi="Times New Roman" w:cs="Times New Roman"/>
          <w:sz w:val="24"/>
          <w:szCs w:val="24"/>
          <w:lang w:eastAsia="ru-RU"/>
        </w:rPr>
        <w:t>,81</w:t>
      </w:r>
      <w:r w:rsidRPr="0066263B">
        <w:rPr>
          <w:rFonts w:ascii="Times New Roman" w:eastAsia="Times New Roman" w:hAnsi="Times New Roman" w:cs="Times New Roman"/>
          <w:sz w:val="24"/>
          <w:szCs w:val="24"/>
          <w:lang w:eastAsia="ru-RU"/>
        </w:rPr>
        <w:t xml:space="preserve">%) от всей дозовой нагрузки </w:t>
      </w:r>
      <w:r w:rsidR="00D439A0" w:rsidRPr="0066263B">
        <w:rPr>
          <w:rFonts w:ascii="Times New Roman" w:eastAsia="Times New Roman" w:hAnsi="Times New Roman" w:cs="Times New Roman"/>
          <w:sz w:val="24"/>
          <w:szCs w:val="24"/>
          <w:lang w:eastAsia="ru-RU"/>
        </w:rPr>
        <w:t>3,26 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по Брянской области, что в 1,3</w:t>
      </w:r>
      <w:r w:rsidR="00D439A0"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 xml:space="preserve"> раза меньше, чем в среднем по России от </w:t>
      </w:r>
      <w:proofErr w:type="gramStart"/>
      <w:r w:rsidRPr="0066263B">
        <w:rPr>
          <w:rFonts w:ascii="Times New Roman" w:eastAsia="Times New Roman" w:hAnsi="Times New Roman" w:cs="Times New Roman"/>
          <w:sz w:val="24"/>
          <w:szCs w:val="24"/>
          <w:lang w:eastAsia="ru-RU"/>
        </w:rPr>
        <w:t>природных</w:t>
      </w:r>
      <w:proofErr w:type="gramEnd"/>
      <w:r w:rsidRPr="0066263B">
        <w:rPr>
          <w:rFonts w:ascii="Times New Roman" w:eastAsia="Times New Roman" w:hAnsi="Times New Roman" w:cs="Times New Roman"/>
          <w:sz w:val="24"/>
          <w:szCs w:val="24"/>
          <w:lang w:eastAsia="ru-RU"/>
        </w:rPr>
        <w:t xml:space="preserve"> ИИИ за 20</w:t>
      </w:r>
      <w:r w:rsidR="00D439A0"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 – 3,2</w:t>
      </w:r>
      <w:r w:rsidR="00D439A0" w:rsidRPr="0066263B">
        <w:rPr>
          <w:rFonts w:ascii="Times New Roman" w:eastAsia="Times New Roman" w:hAnsi="Times New Roman" w:cs="Times New Roman"/>
          <w:sz w:val="24"/>
          <w:szCs w:val="24"/>
          <w:lang w:eastAsia="ru-RU"/>
        </w:rPr>
        <w:t>0 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w:t>
      </w: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Согласно проведённых в 202</w:t>
      </w:r>
      <w:r w:rsidR="00D439A0"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результатов контроля за </w:t>
      </w:r>
      <w:proofErr w:type="gramStart"/>
      <w:r w:rsidRPr="0066263B">
        <w:rPr>
          <w:rFonts w:ascii="Times New Roman" w:eastAsia="Times New Roman" w:hAnsi="Times New Roman" w:cs="Times New Roman"/>
          <w:sz w:val="24"/>
          <w:szCs w:val="24"/>
          <w:lang w:eastAsia="ru-RU"/>
        </w:rPr>
        <w:t>природными</w:t>
      </w:r>
      <w:proofErr w:type="gramEnd"/>
      <w:r w:rsidRPr="0066263B">
        <w:rPr>
          <w:rFonts w:ascii="Times New Roman" w:eastAsia="Times New Roman" w:hAnsi="Times New Roman" w:cs="Times New Roman"/>
          <w:sz w:val="24"/>
          <w:szCs w:val="24"/>
          <w:lang w:eastAsia="ru-RU"/>
        </w:rPr>
        <w:t xml:space="preserve"> ИИИ, можно утверждать, что дозовая нагрузка от природных ИИИ на жителей Брянской области в сравнении с 20</w:t>
      </w:r>
      <w:r w:rsidR="00D439A0"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годом существенно не изменится.</w:t>
      </w:r>
    </w:p>
    <w:p w:rsidR="00324483" w:rsidRPr="0066263B" w:rsidRDefault="00324483" w:rsidP="00324483">
      <w:pPr>
        <w:spacing w:before="120" w:after="0" w:line="264" w:lineRule="auto"/>
        <w:ind w:firstLine="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Медицинское облучение</w:t>
      </w: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Медицинское облучение населения занимает второе место после природных источников и составляет </w:t>
      </w:r>
      <w:r w:rsidR="00D439A0" w:rsidRPr="0066263B">
        <w:rPr>
          <w:rFonts w:ascii="Times New Roman" w:eastAsia="Times New Roman" w:hAnsi="Times New Roman" w:cs="Times New Roman"/>
          <w:sz w:val="24"/>
          <w:szCs w:val="24"/>
          <w:lang w:eastAsia="ru-RU"/>
        </w:rPr>
        <w:t>23,37</w:t>
      </w:r>
      <w:r w:rsidRPr="0066263B">
        <w:rPr>
          <w:rFonts w:ascii="Times New Roman" w:eastAsia="Times New Roman" w:hAnsi="Times New Roman" w:cs="Times New Roman"/>
          <w:sz w:val="24"/>
          <w:szCs w:val="24"/>
          <w:lang w:eastAsia="ru-RU"/>
        </w:rPr>
        <w:t>% всей коллективной дозы в 20</w:t>
      </w:r>
      <w:r w:rsidR="00D439A0"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(201</w:t>
      </w:r>
      <w:r w:rsidR="00D439A0"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 xml:space="preserve"> – 1</w:t>
      </w:r>
      <w:r w:rsidR="00D439A0" w:rsidRPr="0066263B">
        <w:rPr>
          <w:rFonts w:ascii="Times New Roman" w:eastAsia="Times New Roman" w:hAnsi="Times New Roman" w:cs="Times New Roman"/>
          <w:sz w:val="24"/>
          <w:szCs w:val="24"/>
          <w:lang w:eastAsia="ru-RU"/>
        </w:rPr>
        <w:t>5,0</w:t>
      </w:r>
      <w:r w:rsidRPr="0066263B">
        <w:rPr>
          <w:rFonts w:ascii="Times New Roman" w:eastAsia="Times New Roman" w:hAnsi="Times New Roman" w:cs="Times New Roman"/>
          <w:sz w:val="24"/>
          <w:szCs w:val="24"/>
          <w:lang w:eastAsia="ru-RU"/>
        </w:rPr>
        <w:t xml:space="preserve">%). В </w:t>
      </w:r>
      <w:r w:rsidRPr="0066263B">
        <w:rPr>
          <w:rFonts w:ascii="Times New Roman" w:eastAsia="Times New Roman" w:hAnsi="Times New Roman" w:cs="Times New Roman"/>
          <w:sz w:val="24"/>
          <w:szCs w:val="24"/>
          <w:lang w:eastAsia="ru-RU"/>
        </w:rPr>
        <w:lastRenderedPageBreak/>
        <w:t>202</w:t>
      </w:r>
      <w:r w:rsidR="00D439A0"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проведён анализ результатов заполнения формы № 3-ДОЗ «Сведения о дозах облучения пациентов при проведении медицинских рентгенорадиологических исследований» за 201</w:t>
      </w:r>
      <w:r w:rsidR="00D439A0" w:rsidRPr="0066263B">
        <w:rPr>
          <w:rFonts w:ascii="Times New Roman" w:eastAsia="Times New Roman" w:hAnsi="Times New Roman" w:cs="Times New Roman"/>
          <w:sz w:val="24"/>
          <w:szCs w:val="24"/>
          <w:lang w:eastAsia="ru-RU"/>
        </w:rPr>
        <w:t>7</w:t>
      </w:r>
      <w:r w:rsidRPr="0066263B">
        <w:rPr>
          <w:rFonts w:ascii="Times New Roman" w:eastAsia="Times New Roman" w:hAnsi="Times New Roman" w:cs="Times New Roman"/>
          <w:sz w:val="24"/>
          <w:szCs w:val="24"/>
          <w:lang w:eastAsia="ru-RU"/>
        </w:rPr>
        <w:t>-20</w:t>
      </w:r>
      <w:r w:rsidR="00D439A0"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 на территории Брянской области. В 20</w:t>
      </w:r>
      <w:r w:rsidR="00D439A0"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информацию в форму № 3-ДОЗ представили 91 организация, проводившие медицинские рентгенорадиологические исследования.</w:t>
      </w:r>
    </w:p>
    <w:p w:rsidR="00D439A0" w:rsidRPr="0066263B" w:rsidRDefault="00D439A0" w:rsidP="00544557">
      <w:pPr>
        <w:spacing w:before="0" w:after="0"/>
        <w:ind w:firstLine="708"/>
        <w:rPr>
          <w:rFonts w:ascii="Times New Roman" w:eastAsia="Times New Roman" w:hAnsi="Times New Roman" w:cs="Times New Roman"/>
          <w:sz w:val="24"/>
          <w:szCs w:val="24"/>
          <w:lang w:eastAsia="ru-RU"/>
        </w:rPr>
      </w:pPr>
    </w:p>
    <w:p w:rsidR="00D439A0"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При оценке коллективной и индивидуальной дозы от всех видов медицинских облучений установлено, </w:t>
      </w:r>
      <w:r w:rsidR="00D439A0" w:rsidRPr="0066263B">
        <w:rPr>
          <w:rFonts w:ascii="Times New Roman" w:eastAsia="Times New Roman" w:hAnsi="Times New Roman" w:cs="Times New Roman"/>
          <w:sz w:val="24"/>
          <w:szCs w:val="24"/>
          <w:lang w:eastAsia="ru-RU"/>
        </w:rPr>
        <w:t xml:space="preserve">что в связи с COVID-19 произошло уменьшение на 15,1% общего числа медицинских рентгенорадиологических диагностических процедур на 1 жителя с 1,86 </w:t>
      </w:r>
      <w:proofErr w:type="spellStart"/>
      <w:proofErr w:type="gramStart"/>
      <w:r w:rsidR="00D439A0" w:rsidRPr="0066263B">
        <w:rPr>
          <w:rFonts w:ascii="Times New Roman" w:eastAsia="Times New Roman" w:hAnsi="Times New Roman" w:cs="Times New Roman"/>
          <w:sz w:val="24"/>
          <w:szCs w:val="24"/>
          <w:lang w:eastAsia="ru-RU"/>
        </w:rPr>
        <w:t>проц</w:t>
      </w:r>
      <w:proofErr w:type="spellEnd"/>
      <w:proofErr w:type="gramEnd"/>
      <w:r w:rsidR="00D439A0" w:rsidRPr="0066263B">
        <w:rPr>
          <w:rFonts w:ascii="Times New Roman" w:eastAsia="Times New Roman" w:hAnsi="Times New Roman" w:cs="Times New Roman"/>
          <w:sz w:val="24"/>
          <w:szCs w:val="24"/>
          <w:lang w:eastAsia="ru-RU"/>
        </w:rPr>
        <w:t xml:space="preserve">/чел в 2019 году до 1,58 </w:t>
      </w:r>
      <w:proofErr w:type="spellStart"/>
      <w:r w:rsidR="00D439A0" w:rsidRPr="0066263B">
        <w:rPr>
          <w:rFonts w:ascii="Times New Roman" w:eastAsia="Times New Roman" w:hAnsi="Times New Roman" w:cs="Times New Roman"/>
          <w:sz w:val="24"/>
          <w:szCs w:val="24"/>
          <w:lang w:eastAsia="ru-RU"/>
        </w:rPr>
        <w:t>проц</w:t>
      </w:r>
      <w:proofErr w:type="spellEnd"/>
      <w:r w:rsidR="00D439A0" w:rsidRPr="0066263B">
        <w:rPr>
          <w:rFonts w:ascii="Times New Roman" w:eastAsia="Times New Roman" w:hAnsi="Times New Roman" w:cs="Times New Roman"/>
          <w:sz w:val="24"/>
          <w:szCs w:val="24"/>
          <w:lang w:eastAsia="ru-RU"/>
        </w:rPr>
        <w:t xml:space="preserve">/чел в 2020 году </w:t>
      </w:r>
      <w:r w:rsidRPr="0066263B">
        <w:rPr>
          <w:rFonts w:ascii="Times New Roman" w:eastAsia="Times New Roman" w:hAnsi="Times New Roman" w:cs="Times New Roman"/>
          <w:sz w:val="24"/>
          <w:szCs w:val="24"/>
          <w:lang w:eastAsia="ru-RU"/>
        </w:rPr>
        <w:t xml:space="preserve">(РФ – </w:t>
      </w:r>
      <w:r w:rsidR="00D439A0" w:rsidRPr="0066263B">
        <w:rPr>
          <w:rFonts w:ascii="Times New Roman" w:eastAsia="Times New Roman" w:hAnsi="Times New Roman" w:cs="Times New Roman"/>
          <w:sz w:val="24"/>
          <w:szCs w:val="24"/>
          <w:lang w:eastAsia="ru-RU"/>
        </w:rPr>
        <w:t>1,81</w:t>
      </w:r>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проц</w:t>
      </w:r>
      <w:proofErr w:type="spellEnd"/>
      <w:r w:rsidRPr="0066263B">
        <w:rPr>
          <w:rFonts w:ascii="Times New Roman" w:eastAsia="Times New Roman" w:hAnsi="Times New Roman" w:cs="Times New Roman"/>
          <w:sz w:val="24"/>
          <w:szCs w:val="24"/>
          <w:lang w:eastAsia="ru-RU"/>
        </w:rPr>
        <w:t xml:space="preserve">/чел). </w:t>
      </w:r>
      <w:r w:rsidR="00D439A0" w:rsidRPr="0066263B">
        <w:rPr>
          <w:rFonts w:ascii="Times New Roman" w:eastAsia="Times New Roman" w:hAnsi="Times New Roman" w:cs="Times New Roman"/>
          <w:sz w:val="24"/>
          <w:szCs w:val="24"/>
          <w:lang w:eastAsia="ru-RU"/>
        </w:rPr>
        <w:t xml:space="preserve">Индивидуальные дозы облучения пациентов от </w:t>
      </w:r>
      <w:proofErr w:type="spellStart"/>
      <w:r w:rsidR="00D439A0" w:rsidRPr="0066263B">
        <w:rPr>
          <w:rFonts w:ascii="Times New Roman" w:eastAsia="Times New Roman" w:hAnsi="Times New Roman" w:cs="Times New Roman"/>
          <w:sz w:val="24"/>
          <w:szCs w:val="24"/>
          <w:lang w:eastAsia="ru-RU"/>
        </w:rPr>
        <w:t>рентгендиагностических</w:t>
      </w:r>
      <w:proofErr w:type="spellEnd"/>
      <w:r w:rsidR="00D439A0" w:rsidRPr="0066263B">
        <w:rPr>
          <w:rFonts w:ascii="Times New Roman" w:eastAsia="Times New Roman" w:hAnsi="Times New Roman" w:cs="Times New Roman"/>
          <w:sz w:val="24"/>
          <w:szCs w:val="24"/>
          <w:lang w:eastAsia="ru-RU"/>
        </w:rPr>
        <w:t xml:space="preserve"> процедур, обработанных измеренным методом, – 92,0% (РФ – 61,1%).</w:t>
      </w: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51</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Результаты периодических медосмотров</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6"/>
        <w:gridCol w:w="1785"/>
        <w:gridCol w:w="2751"/>
        <w:gridCol w:w="1375"/>
        <w:gridCol w:w="2305"/>
      </w:tblGrid>
      <w:tr w:rsidR="00544557" w:rsidRPr="0066263B" w:rsidTr="00544557">
        <w:trPr>
          <w:trHeight w:val="222"/>
        </w:trPr>
        <w:tc>
          <w:tcPr>
            <w:tcW w:w="526" w:type="pct"/>
            <w:vAlign w:val="center"/>
          </w:tcPr>
          <w:p w:rsidR="00544557" w:rsidRPr="0066263B" w:rsidRDefault="00544557" w:rsidP="005445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972" w:type="pct"/>
            <w:vAlign w:val="center"/>
          </w:tcPr>
          <w:p w:rsidR="00544557" w:rsidRPr="0066263B" w:rsidRDefault="00544557" w:rsidP="0054455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Количество</w:t>
            </w:r>
            <w:r w:rsidRPr="0066263B">
              <w:rPr>
                <w:rFonts w:ascii="Times New Roman" w:eastAsia="Times New Roman" w:hAnsi="Times New Roman" w:cs="Times New Roman"/>
                <w:b/>
                <w:bCs/>
                <w:i/>
                <w:iCs/>
                <w:lang w:eastAsia="ru-RU"/>
              </w:rPr>
              <w:br/>
              <w:t>исследований</w:t>
            </w:r>
          </w:p>
        </w:tc>
        <w:tc>
          <w:tcPr>
            <w:tcW w:w="1498" w:type="pct"/>
            <w:vAlign w:val="center"/>
          </w:tcPr>
          <w:p w:rsidR="00544557" w:rsidRPr="0066263B" w:rsidRDefault="00544557" w:rsidP="0054455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Количество исследований на 1 жителя</w:t>
            </w:r>
          </w:p>
        </w:tc>
        <w:tc>
          <w:tcPr>
            <w:tcW w:w="749" w:type="pct"/>
            <w:vAlign w:val="center"/>
          </w:tcPr>
          <w:p w:rsidR="00544557" w:rsidRPr="0066263B" w:rsidRDefault="00544557" w:rsidP="0054455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Е </w:t>
            </w:r>
            <w:proofErr w:type="spellStart"/>
            <w:r w:rsidRPr="0066263B">
              <w:rPr>
                <w:rFonts w:ascii="Times New Roman" w:eastAsia="Times New Roman" w:hAnsi="Times New Roman" w:cs="Times New Roman"/>
                <w:b/>
                <w:bCs/>
                <w:i/>
                <w:iCs/>
                <w:lang w:eastAsia="ru-RU"/>
              </w:rPr>
              <w:t>эфф</w:t>
            </w:r>
            <w:proofErr w:type="spellEnd"/>
            <w:r w:rsidRPr="0066263B">
              <w:rPr>
                <w:rFonts w:ascii="Times New Roman" w:eastAsia="Times New Roman" w:hAnsi="Times New Roman" w:cs="Times New Roman"/>
                <w:b/>
                <w:bCs/>
                <w:i/>
                <w:iCs/>
                <w:lang w:eastAsia="ru-RU"/>
              </w:rPr>
              <w:t>,</w:t>
            </w:r>
            <w:r w:rsidRPr="0066263B">
              <w:rPr>
                <w:rFonts w:ascii="Times New Roman" w:eastAsia="Times New Roman" w:hAnsi="Times New Roman" w:cs="Times New Roman"/>
                <w:b/>
                <w:bCs/>
                <w:i/>
                <w:iCs/>
                <w:lang w:eastAsia="ru-RU"/>
              </w:rPr>
              <w:br/>
              <w:t>чел-Зв</w:t>
            </w:r>
          </w:p>
        </w:tc>
        <w:tc>
          <w:tcPr>
            <w:tcW w:w="1255" w:type="pct"/>
            <w:vAlign w:val="center"/>
          </w:tcPr>
          <w:p w:rsidR="00544557" w:rsidRPr="0066263B" w:rsidRDefault="00544557" w:rsidP="0054455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D </w:t>
            </w:r>
            <w:proofErr w:type="spellStart"/>
            <w:r w:rsidRPr="0066263B">
              <w:rPr>
                <w:rFonts w:ascii="Times New Roman" w:eastAsia="Times New Roman" w:hAnsi="Times New Roman" w:cs="Times New Roman"/>
                <w:b/>
                <w:bCs/>
                <w:i/>
                <w:iCs/>
                <w:lang w:eastAsia="ru-RU"/>
              </w:rPr>
              <w:t>эфф</w:t>
            </w:r>
            <w:proofErr w:type="spellEnd"/>
            <w:r w:rsidRPr="0066263B">
              <w:rPr>
                <w:rFonts w:ascii="Times New Roman" w:eastAsia="Times New Roman" w:hAnsi="Times New Roman" w:cs="Times New Roman"/>
                <w:b/>
                <w:bCs/>
                <w:i/>
                <w:iCs/>
                <w:lang w:eastAsia="ru-RU"/>
              </w:rPr>
              <w:t xml:space="preserve"> на 1 жителя,</w:t>
            </w:r>
            <w:r w:rsidRPr="0066263B">
              <w:rPr>
                <w:rFonts w:ascii="Times New Roman" w:eastAsia="Times New Roman" w:hAnsi="Times New Roman" w:cs="Times New Roman"/>
                <w:b/>
                <w:bCs/>
                <w:i/>
                <w:iCs/>
                <w:lang w:eastAsia="ru-RU"/>
              </w:rPr>
              <w:br/>
            </w:r>
            <w:proofErr w:type="spellStart"/>
            <w:r w:rsidRPr="0066263B">
              <w:rPr>
                <w:rFonts w:ascii="Times New Roman" w:eastAsia="Times New Roman" w:hAnsi="Times New Roman" w:cs="Times New Roman"/>
                <w:b/>
                <w:bCs/>
                <w:i/>
                <w:iCs/>
                <w:lang w:eastAsia="ru-RU"/>
              </w:rPr>
              <w:t>мЗв</w:t>
            </w:r>
            <w:proofErr w:type="spellEnd"/>
            <w:r w:rsidRPr="0066263B">
              <w:rPr>
                <w:rFonts w:ascii="Times New Roman" w:eastAsia="Times New Roman" w:hAnsi="Times New Roman" w:cs="Times New Roman"/>
                <w:b/>
                <w:bCs/>
                <w:i/>
                <w:iCs/>
                <w:lang w:eastAsia="ru-RU"/>
              </w:rPr>
              <w:t>/чел.</w:t>
            </w:r>
          </w:p>
        </w:tc>
      </w:tr>
      <w:tr w:rsidR="00D439A0" w:rsidRPr="0066263B" w:rsidTr="00544557">
        <w:trPr>
          <w:trHeight w:val="225"/>
        </w:trPr>
        <w:tc>
          <w:tcPr>
            <w:tcW w:w="526" w:type="pct"/>
            <w:vAlign w:val="center"/>
          </w:tcPr>
          <w:p w:rsidR="00D439A0" w:rsidRPr="0066263B" w:rsidRDefault="00D439A0" w:rsidP="009E385A">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2017</w:t>
            </w:r>
          </w:p>
        </w:tc>
        <w:tc>
          <w:tcPr>
            <w:tcW w:w="972" w:type="pct"/>
            <w:vAlign w:val="center"/>
          </w:tcPr>
          <w:p w:rsidR="00D439A0" w:rsidRPr="0066263B" w:rsidRDefault="00D439A0"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1984358</w:t>
            </w:r>
          </w:p>
        </w:tc>
        <w:tc>
          <w:tcPr>
            <w:tcW w:w="1498" w:type="pct"/>
          </w:tcPr>
          <w:p w:rsidR="00D439A0" w:rsidRPr="0066263B" w:rsidRDefault="00D439A0"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1,62</w:t>
            </w:r>
          </w:p>
        </w:tc>
        <w:tc>
          <w:tcPr>
            <w:tcW w:w="749" w:type="pct"/>
            <w:vAlign w:val="center"/>
          </w:tcPr>
          <w:p w:rsidR="00D439A0" w:rsidRPr="0066263B" w:rsidRDefault="00D439A0"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509,25</w:t>
            </w:r>
          </w:p>
        </w:tc>
        <w:tc>
          <w:tcPr>
            <w:tcW w:w="1255" w:type="pct"/>
            <w:vAlign w:val="center"/>
          </w:tcPr>
          <w:p w:rsidR="00D439A0" w:rsidRPr="0066263B" w:rsidRDefault="00D439A0"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0,42</w:t>
            </w:r>
          </w:p>
        </w:tc>
      </w:tr>
      <w:tr w:rsidR="00D439A0" w:rsidRPr="0066263B" w:rsidTr="00544557">
        <w:trPr>
          <w:trHeight w:val="138"/>
        </w:trPr>
        <w:tc>
          <w:tcPr>
            <w:tcW w:w="526" w:type="pct"/>
            <w:vAlign w:val="center"/>
          </w:tcPr>
          <w:p w:rsidR="00D439A0" w:rsidRPr="0066263B" w:rsidRDefault="00D439A0" w:rsidP="009E385A">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972" w:type="pct"/>
            <w:vAlign w:val="center"/>
          </w:tcPr>
          <w:p w:rsidR="00D439A0" w:rsidRPr="0066263B" w:rsidRDefault="00D439A0" w:rsidP="009E385A">
            <w:pPr>
              <w:spacing w:before="0" w:after="0" w:line="264" w:lineRule="auto"/>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2129874</w:t>
            </w:r>
          </w:p>
        </w:tc>
        <w:tc>
          <w:tcPr>
            <w:tcW w:w="1498" w:type="pct"/>
          </w:tcPr>
          <w:p w:rsidR="00D439A0" w:rsidRPr="0066263B" w:rsidRDefault="00D439A0" w:rsidP="009E385A">
            <w:pPr>
              <w:spacing w:before="0" w:after="0" w:line="264" w:lineRule="auto"/>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1,77</w:t>
            </w:r>
          </w:p>
        </w:tc>
        <w:tc>
          <w:tcPr>
            <w:tcW w:w="749" w:type="pct"/>
            <w:vAlign w:val="center"/>
          </w:tcPr>
          <w:p w:rsidR="00D439A0" w:rsidRPr="0066263B" w:rsidRDefault="00D439A0" w:rsidP="009E385A">
            <w:pPr>
              <w:spacing w:before="0" w:after="0" w:line="264" w:lineRule="auto"/>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496,30</w:t>
            </w:r>
          </w:p>
        </w:tc>
        <w:tc>
          <w:tcPr>
            <w:tcW w:w="1255" w:type="pct"/>
            <w:vAlign w:val="center"/>
          </w:tcPr>
          <w:p w:rsidR="00D439A0" w:rsidRPr="0066263B" w:rsidRDefault="00D439A0" w:rsidP="009E385A">
            <w:pPr>
              <w:spacing w:before="0" w:after="0" w:line="264" w:lineRule="auto"/>
              <w:jc w:val="center"/>
              <w:rPr>
                <w:rFonts w:ascii="Times New Roman" w:eastAsia="Times New Roman" w:hAnsi="Times New Roman" w:cs="Times New Roman"/>
                <w:lang w:val="en-US" w:eastAsia="ru-RU"/>
              </w:rPr>
            </w:pPr>
            <w:r w:rsidRPr="0066263B">
              <w:rPr>
                <w:rFonts w:ascii="Times New Roman" w:eastAsia="Times New Roman" w:hAnsi="Times New Roman" w:cs="Times New Roman"/>
                <w:lang w:eastAsia="ru-RU"/>
              </w:rPr>
              <w:t>0,41</w:t>
            </w:r>
          </w:p>
        </w:tc>
      </w:tr>
      <w:tr w:rsidR="00D439A0" w:rsidRPr="0066263B" w:rsidTr="009E385A">
        <w:trPr>
          <w:trHeight w:val="138"/>
        </w:trPr>
        <w:tc>
          <w:tcPr>
            <w:tcW w:w="526" w:type="pct"/>
            <w:vAlign w:val="center"/>
          </w:tcPr>
          <w:p w:rsidR="00D439A0" w:rsidRPr="0066263B" w:rsidRDefault="00D439A0" w:rsidP="009E385A">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972" w:type="pct"/>
            <w:vAlign w:val="center"/>
          </w:tcPr>
          <w:p w:rsidR="00D439A0" w:rsidRPr="0066263B" w:rsidRDefault="00D439A0"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2212229</w:t>
            </w:r>
          </w:p>
        </w:tc>
        <w:tc>
          <w:tcPr>
            <w:tcW w:w="1498" w:type="pct"/>
            <w:vAlign w:val="center"/>
          </w:tcPr>
          <w:p w:rsidR="00D439A0" w:rsidRPr="0066263B" w:rsidRDefault="00D439A0"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1,86</w:t>
            </w:r>
          </w:p>
        </w:tc>
        <w:tc>
          <w:tcPr>
            <w:tcW w:w="749" w:type="pct"/>
            <w:vAlign w:val="center"/>
          </w:tcPr>
          <w:p w:rsidR="00D439A0" w:rsidRPr="0066263B" w:rsidRDefault="00D439A0"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526,67</w:t>
            </w:r>
          </w:p>
        </w:tc>
        <w:tc>
          <w:tcPr>
            <w:tcW w:w="1255" w:type="pct"/>
            <w:vAlign w:val="center"/>
          </w:tcPr>
          <w:p w:rsidR="00D439A0" w:rsidRPr="0066263B" w:rsidRDefault="00D439A0"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0,44</w:t>
            </w:r>
          </w:p>
        </w:tc>
      </w:tr>
      <w:tr w:rsidR="00D439A0" w:rsidRPr="0066263B" w:rsidTr="00D439A0">
        <w:trPr>
          <w:trHeight w:val="138"/>
        </w:trPr>
        <w:tc>
          <w:tcPr>
            <w:tcW w:w="526" w:type="pct"/>
            <w:vAlign w:val="center"/>
          </w:tcPr>
          <w:p w:rsidR="00D439A0" w:rsidRPr="0066263B" w:rsidRDefault="00D439A0" w:rsidP="00544557">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972" w:type="pct"/>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1885928</w:t>
            </w:r>
          </w:p>
        </w:tc>
        <w:tc>
          <w:tcPr>
            <w:tcW w:w="1498" w:type="pct"/>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1,58</w:t>
            </w:r>
          </w:p>
        </w:tc>
        <w:tc>
          <w:tcPr>
            <w:tcW w:w="749" w:type="pct"/>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900,32</w:t>
            </w:r>
          </w:p>
        </w:tc>
        <w:tc>
          <w:tcPr>
            <w:tcW w:w="1255" w:type="pct"/>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0,76</w:t>
            </w:r>
          </w:p>
        </w:tc>
      </w:tr>
    </w:tbl>
    <w:p w:rsidR="00324483" w:rsidRPr="0066263B" w:rsidRDefault="00324483" w:rsidP="00D439A0">
      <w:pPr>
        <w:spacing w:before="0" w:after="0"/>
        <w:ind w:firstLine="708"/>
        <w:rPr>
          <w:rFonts w:ascii="Times New Roman" w:eastAsia="Times New Roman" w:hAnsi="Times New Roman" w:cs="Times New Roman"/>
          <w:sz w:val="24"/>
          <w:szCs w:val="24"/>
          <w:lang w:eastAsia="ru-RU"/>
        </w:rPr>
      </w:pPr>
    </w:p>
    <w:p w:rsidR="00D439A0" w:rsidRPr="0066263B" w:rsidRDefault="00D439A0" w:rsidP="00D439A0">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Согласно информации формы № 3-ДОЗ годовая эффективная доза от всех медицинских рентгенорадиологических исследований на 1 жителя в Брянской области за 2020 год (0,76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 xml:space="preserve">/чел) в 1,05 раза меньше среднегодовой эффективной дозы на 1 жителя России (по данным раздела 5 радиационно-гигиенического паспорта России за 2020 год годовая эффективная доза в среднем на 1 жителя РФ, </w:t>
      </w:r>
      <w:proofErr w:type="spellStart"/>
      <w:proofErr w:type="gramStart"/>
      <w:r w:rsidRPr="0066263B">
        <w:rPr>
          <w:rFonts w:ascii="Times New Roman" w:eastAsia="Times New Roman" w:hAnsi="Times New Roman" w:cs="Times New Roman"/>
          <w:sz w:val="24"/>
          <w:szCs w:val="24"/>
          <w:lang w:eastAsia="ru-RU"/>
        </w:rPr>
        <w:t>D</w:t>
      </w:r>
      <w:proofErr w:type="gramEnd"/>
      <w:r w:rsidRPr="0066263B">
        <w:rPr>
          <w:rFonts w:ascii="Times New Roman" w:eastAsia="Times New Roman" w:hAnsi="Times New Roman" w:cs="Times New Roman"/>
          <w:sz w:val="24"/>
          <w:szCs w:val="24"/>
          <w:vertAlign w:val="subscript"/>
          <w:lang w:eastAsia="ru-RU"/>
        </w:rPr>
        <w:t>эфф</w:t>
      </w:r>
      <w:proofErr w:type="spellEnd"/>
      <w:r w:rsidRPr="0066263B">
        <w:rPr>
          <w:rFonts w:ascii="Times New Roman" w:eastAsia="Times New Roman" w:hAnsi="Times New Roman" w:cs="Times New Roman"/>
          <w:sz w:val="24"/>
          <w:szCs w:val="24"/>
          <w:lang w:eastAsia="ru-RU"/>
        </w:rPr>
        <w:t xml:space="preserve"> – 0,80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/чел).</w:t>
      </w:r>
    </w:p>
    <w:p w:rsidR="00D439A0" w:rsidRPr="0066263B" w:rsidRDefault="00D439A0"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Сведения о средних эффективных дозах облучения пациентов при проведении медицинских рентгенологических исследований за 201</w:t>
      </w:r>
      <w:r w:rsidR="00D439A0"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D439A0"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г.г. по результатам заполнения формы № 3-ДОЗ и радиационно-гигиенического паспорта Брянской области </w:t>
      </w:r>
      <w:proofErr w:type="gramStart"/>
      <w:r w:rsidRPr="0066263B">
        <w:rPr>
          <w:rFonts w:ascii="Times New Roman" w:eastAsia="Times New Roman" w:hAnsi="Times New Roman" w:cs="Times New Roman"/>
          <w:sz w:val="24"/>
          <w:szCs w:val="24"/>
          <w:lang w:eastAsia="ru-RU"/>
        </w:rPr>
        <w:t>представлена</w:t>
      </w:r>
      <w:proofErr w:type="gramEnd"/>
      <w:r w:rsidRPr="0066263B">
        <w:rPr>
          <w:rFonts w:ascii="Times New Roman" w:eastAsia="Times New Roman" w:hAnsi="Times New Roman" w:cs="Times New Roman"/>
          <w:sz w:val="24"/>
          <w:szCs w:val="24"/>
          <w:lang w:eastAsia="ru-RU"/>
        </w:rPr>
        <w:t xml:space="preserve"> в таблице 5</w:t>
      </w:r>
      <w:r w:rsidR="000D45BB"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w:t>
      </w:r>
    </w:p>
    <w:p w:rsidR="00544557" w:rsidRPr="0066263B" w:rsidRDefault="00544557"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 xml:space="preserve">Средняя эффективная доза за процедуру, </w:t>
      </w:r>
      <w:proofErr w:type="spellStart"/>
      <w:r w:rsidRPr="0066263B">
        <w:rPr>
          <w:rFonts w:ascii="Times New Roman" w:eastAsia="Times New Roman" w:hAnsi="Times New Roman" w:cs="Times New Roman"/>
          <w:b/>
          <w:bCs/>
          <w:lang w:eastAsia="ru-RU"/>
        </w:rPr>
        <w:t>мЗв</w:t>
      </w:r>
      <w:proofErr w:type="spellEnd"/>
      <w:r w:rsidRPr="0066263B">
        <w:rPr>
          <w:rFonts w:ascii="Times New Roman" w:eastAsia="Times New Roman" w:hAnsi="Times New Roman" w:cs="Times New Roman"/>
          <w:b/>
          <w:bCs/>
          <w:lang w:eastAsia="ru-RU"/>
        </w:rPr>
        <w:t>/процедуру</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07"/>
        <w:gridCol w:w="1032"/>
        <w:gridCol w:w="1032"/>
        <w:gridCol w:w="1033"/>
        <w:gridCol w:w="1032"/>
        <w:gridCol w:w="1033"/>
        <w:gridCol w:w="764"/>
      </w:tblGrid>
      <w:tr w:rsidR="00544557" w:rsidRPr="0066263B" w:rsidTr="00544557">
        <w:tc>
          <w:tcPr>
            <w:tcW w:w="1720" w:type="pct"/>
            <w:vMerge w:val="restart"/>
            <w:tcBorders>
              <w:top w:val="single" w:sz="4" w:space="0" w:color="auto"/>
              <w:left w:val="single" w:sz="4" w:space="0" w:color="auto"/>
              <w:bottom w:val="single" w:sz="4" w:space="0" w:color="auto"/>
              <w:right w:val="single" w:sz="4" w:space="0" w:color="auto"/>
            </w:tcBorders>
            <w:vAlign w:val="center"/>
          </w:tcPr>
          <w:p w:rsidR="00544557" w:rsidRPr="0066263B" w:rsidRDefault="00544557" w:rsidP="00544557">
            <w:pPr>
              <w:tabs>
                <w:tab w:val="left" w:pos="2865"/>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Виды процедур</w:t>
            </w:r>
          </w:p>
        </w:tc>
        <w:tc>
          <w:tcPr>
            <w:tcW w:w="1714" w:type="pct"/>
            <w:gridSpan w:val="3"/>
            <w:tcBorders>
              <w:top w:val="single" w:sz="4" w:space="0" w:color="auto"/>
              <w:left w:val="single" w:sz="4" w:space="0" w:color="auto"/>
              <w:bottom w:val="single" w:sz="4" w:space="0" w:color="auto"/>
              <w:right w:val="single" w:sz="4" w:space="0" w:color="auto"/>
            </w:tcBorders>
            <w:vAlign w:val="center"/>
          </w:tcPr>
          <w:p w:rsidR="00544557" w:rsidRPr="0066263B" w:rsidRDefault="00544557" w:rsidP="00544557">
            <w:pPr>
              <w:tabs>
                <w:tab w:val="left" w:pos="2865"/>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Брянская область</w:t>
            </w:r>
          </w:p>
        </w:tc>
        <w:tc>
          <w:tcPr>
            <w:tcW w:w="1566" w:type="pct"/>
            <w:gridSpan w:val="3"/>
            <w:tcBorders>
              <w:top w:val="single" w:sz="4" w:space="0" w:color="auto"/>
              <w:left w:val="single" w:sz="4" w:space="0" w:color="auto"/>
              <w:bottom w:val="single" w:sz="4" w:space="0" w:color="auto"/>
              <w:right w:val="single" w:sz="4" w:space="0" w:color="auto"/>
            </w:tcBorders>
            <w:vAlign w:val="center"/>
          </w:tcPr>
          <w:p w:rsidR="00544557" w:rsidRPr="0066263B" w:rsidRDefault="00544557" w:rsidP="00544557">
            <w:pPr>
              <w:tabs>
                <w:tab w:val="left" w:pos="2865"/>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Российская Федерация</w:t>
            </w:r>
          </w:p>
        </w:tc>
      </w:tr>
      <w:tr w:rsidR="00D439A0" w:rsidRPr="0066263B" w:rsidTr="00D439A0">
        <w:tc>
          <w:tcPr>
            <w:tcW w:w="1720" w:type="pct"/>
            <w:vMerge/>
            <w:tcBorders>
              <w:top w:val="single" w:sz="4" w:space="0" w:color="auto"/>
              <w:left w:val="single" w:sz="4" w:space="0" w:color="auto"/>
              <w:bottom w:val="single" w:sz="4" w:space="0" w:color="auto"/>
              <w:right w:val="single" w:sz="4" w:space="0" w:color="auto"/>
            </w:tcBorders>
          </w:tcPr>
          <w:p w:rsidR="00D439A0" w:rsidRPr="0066263B" w:rsidRDefault="00D439A0" w:rsidP="00544557">
            <w:pPr>
              <w:tabs>
                <w:tab w:val="left" w:pos="2865"/>
              </w:tabs>
              <w:spacing w:before="20" w:after="20"/>
              <w:jc w:val="left"/>
              <w:rPr>
                <w:rFonts w:ascii="Times New Roman" w:eastAsia="Times New Roman" w:hAnsi="Times New Roman" w:cs="Times New Roman"/>
                <w:b/>
                <w:i/>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tabs>
                <w:tab w:val="left" w:pos="2865"/>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tabs>
                <w:tab w:val="left" w:pos="2865"/>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tabs>
                <w:tab w:val="left" w:pos="2865"/>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tabs>
                <w:tab w:val="left" w:pos="2865"/>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tabs>
                <w:tab w:val="left" w:pos="2865"/>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423"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tabs>
                <w:tab w:val="left" w:pos="2865"/>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r>
      <w:tr w:rsidR="00D439A0" w:rsidRPr="0066263B" w:rsidTr="00D439A0">
        <w:tc>
          <w:tcPr>
            <w:tcW w:w="1720" w:type="pct"/>
            <w:tcBorders>
              <w:top w:val="single" w:sz="4" w:space="0" w:color="auto"/>
              <w:left w:val="single" w:sz="4" w:space="0" w:color="auto"/>
              <w:bottom w:val="single" w:sz="4" w:space="0" w:color="auto"/>
              <w:right w:val="single" w:sz="4" w:space="0" w:color="auto"/>
            </w:tcBorders>
          </w:tcPr>
          <w:p w:rsidR="00D439A0" w:rsidRPr="0066263B" w:rsidRDefault="00D439A0" w:rsidP="00544557">
            <w:pPr>
              <w:tabs>
                <w:tab w:val="left" w:pos="2865"/>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Флюорографические</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0,051</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bCs/>
                <w:lang w:eastAsia="ru-RU"/>
              </w:rPr>
            </w:pPr>
            <w:r w:rsidRPr="0066263B">
              <w:rPr>
                <w:rFonts w:ascii="Times New Roman" w:eastAsia="Times New Roman" w:hAnsi="Times New Roman" w:cs="Times New Roman"/>
                <w:bCs/>
                <w:lang w:eastAsia="ru-RU"/>
              </w:rPr>
              <w:t>0,050</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0,052</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0,07</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0,06</w:t>
            </w:r>
          </w:p>
        </w:tc>
        <w:tc>
          <w:tcPr>
            <w:tcW w:w="423"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0,06</w:t>
            </w:r>
          </w:p>
        </w:tc>
      </w:tr>
      <w:tr w:rsidR="00D439A0" w:rsidRPr="0066263B" w:rsidTr="00D439A0">
        <w:tc>
          <w:tcPr>
            <w:tcW w:w="1720" w:type="pct"/>
            <w:tcBorders>
              <w:top w:val="single" w:sz="4" w:space="0" w:color="auto"/>
              <w:left w:val="single" w:sz="4" w:space="0" w:color="auto"/>
              <w:bottom w:val="single" w:sz="4" w:space="0" w:color="auto"/>
              <w:right w:val="single" w:sz="4" w:space="0" w:color="auto"/>
            </w:tcBorders>
          </w:tcPr>
          <w:p w:rsidR="00D439A0" w:rsidRPr="0066263B" w:rsidRDefault="00D439A0" w:rsidP="00544557">
            <w:pPr>
              <w:tabs>
                <w:tab w:val="left" w:pos="2865"/>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Рентгенографические</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0,104</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0,093</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0,081</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0,10</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0,09</w:t>
            </w:r>
          </w:p>
        </w:tc>
        <w:tc>
          <w:tcPr>
            <w:tcW w:w="423"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0,08</w:t>
            </w:r>
          </w:p>
        </w:tc>
      </w:tr>
      <w:tr w:rsidR="00D439A0" w:rsidRPr="0066263B" w:rsidTr="00D439A0">
        <w:tc>
          <w:tcPr>
            <w:tcW w:w="1720" w:type="pct"/>
            <w:tcBorders>
              <w:top w:val="single" w:sz="4" w:space="0" w:color="auto"/>
              <w:left w:val="single" w:sz="4" w:space="0" w:color="auto"/>
              <w:bottom w:val="single" w:sz="4" w:space="0" w:color="auto"/>
              <w:right w:val="single" w:sz="4" w:space="0" w:color="auto"/>
            </w:tcBorders>
          </w:tcPr>
          <w:p w:rsidR="00D439A0" w:rsidRPr="0066263B" w:rsidRDefault="00D439A0" w:rsidP="00544557">
            <w:pPr>
              <w:tabs>
                <w:tab w:val="left" w:pos="2865"/>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Рентгеноскопические</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4,921</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2,856</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3,074</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2,56</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2,52</w:t>
            </w:r>
          </w:p>
        </w:tc>
        <w:tc>
          <w:tcPr>
            <w:tcW w:w="423"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2,46</w:t>
            </w:r>
          </w:p>
        </w:tc>
      </w:tr>
      <w:tr w:rsidR="00D439A0" w:rsidRPr="0066263B" w:rsidTr="00D439A0">
        <w:tc>
          <w:tcPr>
            <w:tcW w:w="1720" w:type="pct"/>
            <w:tcBorders>
              <w:top w:val="single" w:sz="4" w:space="0" w:color="auto"/>
              <w:left w:val="single" w:sz="4" w:space="0" w:color="auto"/>
              <w:bottom w:val="single" w:sz="4" w:space="0" w:color="auto"/>
              <w:right w:val="single" w:sz="4" w:space="0" w:color="auto"/>
            </w:tcBorders>
          </w:tcPr>
          <w:p w:rsidR="00D439A0" w:rsidRPr="0066263B" w:rsidRDefault="00D439A0" w:rsidP="00544557">
            <w:pPr>
              <w:tabs>
                <w:tab w:val="left" w:pos="2865"/>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Компьютерная томография</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3,725</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3,780</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4,891</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3,77</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3,67</w:t>
            </w:r>
          </w:p>
        </w:tc>
        <w:tc>
          <w:tcPr>
            <w:tcW w:w="423"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4,00</w:t>
            </w:r>
          </w:p>
        </w:tc>
      </w:tr>
      <w:tr w:rsidR="00D439A0" w:rsidRPr="0066263B" w:rsidTr="00D439A0">
        <w:tc>
          <w:tcPr>
            <w:tcW w:w="1720" w:type="pct"/>
            <w:tcBorders>
              <w:top w:val="single" w:sz="4" w:space="0" w:color="auto"/>
              <w:left w:val="single" w:sz="4" w:space="0" w:color="auto"/>
              <w:bottom w:val="single" w:sz="4" w:space="0" w:color="auto"/>
              <w:right w:val="single" w:sz="4" w:space="0" w:color="auto"/>
            </w:tcBorders>
          </w:tcPr>
          <w:p w:rsidR="00D439A0" w:rsidRPr="0066263B" w:rsidRDefault="00D439A0" w:rsidP="00544557">
            <w:pPr>
              <w:tabs>
                <w:tab w:val="left" w:pos="2865"/>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Радионуклид</w:t>
            </w:r>
            <w:proofErr w:type="gramStart"/>
            <w:r w:rsidRPr="0066263B">
              <w:rPr>
                <w:rFonts w:ascii="Times New Roman" w:eastAsia="Times New Roman" w:hAnsi="Times New Roman" w:cs="Times New Roman"/>
                <w:lang w:eastAsia="ru-RU"/>
              </w:rPr>
              <w:t>.</w:t>
            </w:r>
            <w:proofErr w:type="gramEnd"/>
            <w:r w:rsidRPr="0066263B">
              <w:rPr>
                <w:rFonts w:ascii="Times New Roman" w:eastAsia="Times New Roman" w:hAnsi="Times New Roman" w:cs="Times New Roman"/>
                <w:lang w:eastAsia="ru-RU"/>
              </w:rPr>
              <w:t xml:space="preserve"> </w:t>
            </w:r>
            <w:proofErr w:type="gramStart"/>
            <w:r w:rsidRPr="0066263B">
              <w:rPr>
                <w:rFonts w:ascii="Times New Roman" w:eastAsia="Times New Roman" w:hAnsi="Times New Roman" w:cs="Times New Roman"/>
                <w:lang w:eastAsia="ru-RU"/>
              </w:rPr>
              <w:t>и</w:t>
            </w:r>
            <w:proofErr w:type="gramEnd"/>
            <w:r w:rsidRPr="0066263B">
              <w:rPr>
                <w:rFonts w:ascii="Times New Roman" w:eastAsia="Times New Roman" w:hAnsi="Times New Roman" w:cs="Times New Roman"/>
                <w:lang w:eastAsia="ru-RU"/>
              </w:rPr>
              <w:t>сследования</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4,910</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1,017</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1,497</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4,26</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5,37</w:t>
            </w:r>
          </w:p>
        </w:tc>
        <w:tc>
          <w:tcPr>
            <w:tcW w:w="423"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6,68</w:t>
            </w:r>
          </w:p>
        </w:tc>
      </w:tr>
      <w:tr w:rsidR="00D439A0" w:rsidRPr="0066263B" w:rsidTr="00D439A0">
        <w:tc>
          <w:tcPr>
            <w:tcW w:w="1720" w:type="pct"/>
            <w:tcBorders>
              <w:top w:val="single" w:sz="4" w:space="0" w:color="auto"/>
              <w:left w:val="single" w:sz="4" w:space="0" w:color="auto"/>
              <w:bottom w:val="single" w:sz="4" w:space="0" w:color="auto"/>
              <w:right w:val="single" w:sz="4" w:space="0" w:color="auto"/>
            </w:tcBorders>
          </w:tcPr>
          <w:p w:rsidR="00D439A0" w:rsidRPr="0066263B" w:rsidRDefault="00D439A0" w:rsidP="00544557">
            <w:pPr>
              <w:tabs>
                <w:tab w:val="left" w:pos="2865"/>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Прочие</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4,942</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5,856</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4,762</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5,04</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3,58</w:t>
            </w:r>
          </w:p>
        </w:tc>
        <w:tc>
          <w:tcPr>
            <w:tcW w:w="423"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4,41</w:t>
            </w:r>
          </w:p>
        </w:tc>
      </w:tr>
      <w:tr w:rsidR="00D439A0" w:rsidRPr="0066263B" w:rsidTr="00D439A0">
        <w:tc>
          <w:tcPr>
            <w:tcW w:w="1720" w:type="pct"/>
            <w:tcBorders>
              <w:top w:val="single" w:sz="4" w:space="0" w:color="auto"/>
              <w:left w:val="single" w:sz="4" w:space="0" w:color="auto"/>
              <w:bottom w:val="single" w:sz="4" w:space="0" w:color="auto"/>
              <w:right w:val="single" w:sz="4" w:space="0" w:color="auto"/>
            </w:tcBorders>
          </w:tcPr>
          <w:p w:rsidR="00D439A0" w:rsidRPr="0066263B" w:rsidRDefault="00D439A0" w:rsidP="00544557">
            <w:pPr>
              <w:tabs>
                <w:tab w:val="left" w:pos="2865"/>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0,233</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0,238</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0,477</w:t>
            </w:r>
          </w:p>
        </w:tc>
        <w:tc>
          <w:tcPr>
            <w:tcW w:w="571"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0,29</w:t>
            </w:r>
          </w:p>
        </w:tc>
        <w:tc>
          <w:tcPr>
            <w:tcW w:w="572"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0,30</w:t>
            </w:r>
          </w:p>
        </w:tc>
        <w:tc>
          <w:tcPr>
            <w:tcW w:w="423" w:type="pct"/>
            <w:tcBorders>
              <w:top w:val="single" w:sz="4" w:space="0" w:color="auto"/>
              <w:left w:val="single" w:sz="4" w:space="0" w:color="auto"/>
              <w:bottom w:val="single" w:sz="4" w:space="0" w:color="auto"/>
              <w:right w:val="single" w:sz="4" w:space="0" w:color="auto"/>
            </w:tcBorders>
            <w:vAlign w:val="center"/>
          </w:tcPr>
          <w:p w:rsidR="00D439A0" w:rsidRPr="0066263B" w:rsidRDefault="00D439A0" w:rsidP="00D439A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0,44</w:t>
            </w:r>
          </w:p>
        </w:tc>
      </w:tr>
    </w:tbl>
    <w:p w:rsidR="00324483" w:rsidRPr="0066263B" w:rsidRDefault="00324483" w:rsidP="00324483">
      <w:pPr>
        <w:spacing w:before="0" w:after="0"/>
        <w:ind w:firstLine="709"/>
        <w:rPr>
          <w:rFonts w:ascii="Times New Roman" w:eastAsia="Times New Roman" w:hAnsi="Times New Roman" w:cs="Times New Roman"/>
          <w:bCs/>
          <w:sz w:val="24"/>
          <w:szCs w:val="24"/>
          <w:lang w:eastAsia="ru-RU"/>
        </w:rPr>
      </w:pP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При анализе результатов медицинского облучения за 201</w:t>
      </w:r>
      <w:r w:rsidR="00D439A0"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D439A0"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 на территории Брянской области установлено, что:</w:t>
      </w:r>
    </w:p>
    <w:p w:rsidR="00296E39" w:rsidRPr="0066263B" w:rsidRDefault="00544557" w:rsidP="00BE7104">
      <w:pPr>
        <w:numPr>
          <w:ilvl w:val="0"/>
          <w:numId w:val="51"/>
        </w:numPr>
        <w:tabs>
          <w:tab w:val="num" w:pos="-1418"/>
        </w:tabs>
        <w:spacing w:before="0" w:after="0"/>
        <w:ind w:left="851" w:hanging="142"/>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lastRenderedPageBreak/>
        <w:t xml:space="preserve">общее количество проведённых рентгенологических </w:t>
      </w:r>
      <w:r w:rsidR="00296E39" w:rsidRPr="0066263B">
        <w:rPr>
          <w:rFonts w:ascii="Times New Roman" w:eastAsia="Times New Roman" w:hAnsi="Times New Roman" w:cs="Times New Roman"/>
          <w:bCs/>
          <w:sz w:val="24"/>
          <w:szCs w:val="24"/>
          <w:lang w:eastAsia="ru-RU"/>
        </w:rPr>
        <w:t xml:space="preserve">исследований </w:t>
      </w:r>
      <w:r w:rsidRPr="0066263B">
        <w:rPr>
          <w:rFonts w:ascii="Times New Roman" w:eastAsia="Times New Roman" w:hAnsi="Times New Roman" w:cs="Times New Roman"/>
          <w:bCs/>
          <w:sz w:val="24"/>
          <w:szCs w:val="24"/>
          <w:lang w:eastAsia="ru-RU"/>
        </w:rPr>
        <w:t xml:space="preserve">(флюорографических и рентгенографических) </w:t>
      </w:r>
      <w:r w:rsidR="009E385A" w:rsidRPr="0066263B">
        <w:rPr>
          <w:rFonts w:ascii="Times New Roman" w:eastAsia="Times New Roman" w:hAnsi="Times New Roman" w:cs="Times New Roman"/>
          <w:bCs/>
          <w:sz w:val="24"/>
          <w:szCs w:val="24"/>
          <w:lang w:eastAsia="ru-RU"/>
        </w:rPr>
        <w:t xml:space="preserve">в 2020 году </w:t>
      </w:r>
      <w:r w:rsidR="00296E39" w:rsidRPr="0066263B">
        <w:rPr>
          <w:rFonts w:ascii="Times New Roman" w:eastAsia="Times New Roman" w:hAnsi="Times New Roman" w:cs="Times New Roman"/>
          <w:bCs/>
          <w:sz w:val="24"/>
          <w:szCs w:val="24"/>
          <w:lang w:eastAsia="ru-RU"/>
        </w:rPr>
        <w:t>в сравнении с 2018-2019 г.г. снизилось на 18,4%, что связано с уменьшением диспансеризации населения Брянской области в связи с COVID-19;</w:t>
      </w:r>
    </w:p>
    <w:p w:rsidR="00544557" w:rsidRPr="0066263B" w:rsidRDefault="00544557" w:rsidP="00BE7104">
      <w:pPr>
        <w:numPr>
          <w:ilvl w:val="0"/>
          <w:numId w:val="51"/>
        </w:numPr>
        <w:tabs>
          <w:tab w:val="num" w:pos="-1418"/>
        </w:tabs>
        <w:spacing w:before="0" w:after="0"/>
        <w:ind w:left="851" w:hanging="142"/>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коллективная доза в 20</w:t>
      </w:r>
      <w:r w:rsidR="00296E39" w:rsidRPr="0066263B">
        <w:rPr>
          <w:rFonts w:ascii="Times New Roman" w:eastAsia="Times New Roman" w:hAnsi="Times New Roman" w:cs="Times New Roman"/>
          <w:bCs/>
          <w:sz w:val="24"/>
          <w:szCs w:val="24"/>
          <w:lang w:eastAsia="ru-RU"/>
        </w:rPr>
        <w:t>20</w:t>
      </w:r>
      <w:r w:rsidRPr="0066263B">
        <w:rPr>
          <w:rFonts w:ascii="Times New Roman" w:eastAsia="Times New Roman" w:hAnsi="Times New Roman" w:cs="Times New Roman"/>
          <w:bCs/>
          <w:sz w:val="24"/>
          <w:szCs w:val="24"/>
          <w:lang w:eastAsia="ru-RU"/>
        </w:rPr>
        <w:t xml:space="preserve"> году увеличилась на </w:t>
      </w:r>
      <w:r w:rsidR="00296E39" w:rsidRPr="0066263B">
        <w:rPr>
          <w:rFonts w:ascii="Times New Roman" w:eastAsia="Times New Roman" w:hAnsi="Times New Roman" w:cs="Times New Roman"/>
          <w:bCs/>
          <w:sz w:val="24"/>
          <w:szCs w:val="24"/>
          <w:lang w:eastAsia="ru-RU"/>
        </w:rPr>
        <w:t>71,1</w:t>
      </w:r>
      <w:r w:rsidRPr="0066263B">
        <w:rPr>
          <w:rFonts w:ascii="Times New Roman" w:eastAsia="Times New Roman" w:hAnsi="Times New Roman" w:cs="Times New Roman"/>
          <w:bCs/>
          <w:sz w:val="24"/>
          <w:szCs w:val="24"/>
          <w:lang w:eastAsia="ru-RU"/>
        </w:rPr>
        <w:t>% в сравнении с 201</w:t>
      </w:r>
      <w:r w:rsidR="00296E39" w:rsidRPr="0066263B">
        <w:rPr>
          <w:rFonts w:ascii="Times New Roman" w:eastAsia="Times New Roman" w:hAnsi="Times New Roman" w:cs="Times New Roman"/>
          <w:bCs/>
          <w:sz w:val="24"/>
          <w:szCs w:val="24"/>
          <w:lang w:eastAsia="ru-RU"/>
        </w:rPr>
        <w:t>9</w:t>
      </w:r>
      <w:r w:rsidRPr="0066263B">
        <w:rPr>
          <w:rFonts w:ascii="Times New Roman" w:eastAsia="Times New Roman" w:hAnsi="Times New Roman" w:cs="Times New Roman"/>
          <w:bCs/>
          <w:sz w:val="24"/>
          <w:szCs w:val="24"/>
          <w:lang w:eastAsia="ru-RU"/>
        </w:rPr>
        <w:t xml:space="preserve"> год за счёт увеличение коллективной дозы от компьютерных томографий </w:t>
      </w:r>
      <w:r w:rsidR="00296E39" w:rsidRPr="0066263B">
        <w:rPr>
          <w:rFonts w:ascii="Times New Roman" w:eastAsia="Times New Roman" w:hAnsi="Times New Roman" w:cs="Times New Roman"/>
          <w:bCs/>
          <w:sz w:val="24"/>
          <w:szCs w:val="24"/>
          <w:lang w:eastAsia="ru-RU"/>
        </w:rPr>
        <w:t>на 134,4% в связи с COVID-19</w:t>
      </w:r>
      <w:r w:rsidRPr="0066263B">
        <w:rPr>
          <w:rFonts w:ascii="Times New Roman" w:eastAsia="Times New Roman" w:hAnsi="Times New Roman" w:cs="Times New Roman"/>
          <w:bCs/>
          <w:sz w:val="24"/>
          <w:szCs w:val="24"/>
          <w:lang w:eastAsia="ru-RU"/>
        </w:rPr>
        <w:t>;</w:t>
      </w:r>
    </w:p>
    <w:p w:rsidR="00544557" w:rsidRPr="0066263B" w:rsidRDefault="00296E39" w:rsidP="00BE7104">
      <w:pPr>
        <w:numPr>
          <w:ilvl w:val="0"/>
          <w:numId w:val="51"/>
        </w:numPr>
        <w:tabs>
          <w:tab w:val="num" w:pos="-1418"/>
        </w:tabs>
        <w:spacing w:before="0" w:after="0"/>
        <w:ind w:left="851" w:hanging="142"/>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sz w:val="24"/>
          <w:szCs w:val="24"/>
          <w:lang w:eastAsia="ru-RU"/>
        </w:rPr>
        <w:t xml:space="preserve">коллективная доза от высокотехнологичных процедур (компьютерная томография) в 2020 году в 5,6 раза превысила коллективную дозу от рентгенографических, флюорографических, рентгеноскопических и </w:t>
      </w:r>
      <w:proofErr w:type="spellStart"/>
      <w:r w:rsidRPr="0066263B">
        <w:rPr>
          <w:rFonts w:ascii="Times New Roman" w:eastAsia="Times New Roman" w:hAnsi="Times New Roman" w:cs="Times New Roman"/>
          <w:bCs/>
          <w:sz w:val="24"/>
          <w:szCs w:val="24"/>
          <w:lang w:eastAsia="ru-RU"/>
        </w:rPr>
        <w:t>радионуклидных</w:t>
      </w:r>
      <w:proofErr w:type="spellEnd"/>
      <w:r w:rsidRPr="0066263B">
        <w:rPr>
          <w:rFonts w:ascii="Times New Roman" w:eastAsia="Times New Roman" w:hAnsi="Times New Roman" w:cs="Times New Roman"/>
          <w:bCs/>
          <w:sz w:val="24"/>
          <w:szCs w:val="24"/>
          <w:lang w:eastAsia="ru-RU"/>
        </w:rPr>
        <w:t xml:space="preserve"> исследований вместе взятых</w:t>
      </w:r>
      <w:r w:rsidR="00544557" w:rsidRPr="0066263B">
        <w:rPr>
          <w:rFonts w:ascii="Times New Roman" w:eastAsia="Times New Roman" w:hAnsi="Times New Roman" w:cs="Times New Roman"/>
          <w:bCs/>
          <w:sz w:val="24"/>
          <w:szCs w:val="24"/>
          <w:lang w:eastAsia="ru-RU"/>
        </w:rPr>
        <w:t>.</w:t>
      </w:r>
    </w:p>
    <w:p w:rsidR="00D439A0" w:rsidRPr="0066263B" w:rsidRDefault="00D439A0" w:rsidP="00324483">
      <w:pPr>
        <w:spacing w:before="0" w:after="0"/>
        <w:ind w:firstLine="709"/>
        <w:rPr>
          <w:rFonts w:ascii="Times New Roman" w:eastAsia="Times New Roman" w:hAnsi="Times New Roman" w:cs="Times New Roman"/>
          <w:bCs/>
          <w:sz w:val="24"/>
          <w:szCs w:val="24"/>
          <w:lang w:eastAsia="ru-RU"/>
        </w:rPr>
      </w:pPr>
    </w:p>
    <w:p w:rsidR="00544557" w:rsidRPr="0066263B" w:rsidRDefault="00544557" w:rsidP="00544557">
      <w:pPr>
        <w:spacing w:before="0" w:after="0"/>
        <w:jc w:val="center"/>
        <w:rPr>
          <w:rFonts w:ascii="Times New Roman" w:eastAsia="Times New Roman" w:hAnsi="Times New Roman" w:cs="Times New Roman"/>
          <w:bCs/>
          <w:sz w:val="24"/>
          <w:szCs w:val="24"/>
          <w:lang w:eastAsia="ru-RU"/>
        </w:rPr>
      </w:pPr>
      <w:r w:rsidRPr="0066263B">
        <w:rPr>
          <w:rFonts w:ascii="Times New Roman" w:eastAsia="Times New Roman" w:hAnsi="Times New Roman" w:cs="Times New Roman"/>
          <w:bCs/>
          <w:noProof/>
          <w:sz w:val="24"/>
          <w:szCs w:val="24"/>
          <w:lang w:eastAsia="ru-RU"/>
        </w:rPr>
        <w:drawing>
          <wp:inline distT="0" distB="0" distL="0" distR="0">
            <wp:extent cx="5003326" cy="1958454"/>
            <wp:effectExtent l="19050" t="0" r="6824" b="0"/>
            <wp:docPr id="37"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51</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lang w:eastAsia="ru-RU"/>
        </w:rPr>
        <w:t>Вклад различных методов диагностики в дозу медицинского облучения</w:t>
      </w:r>
      <w:r w:rsidRPr="0066263B">
        <w:rPr>
          <w:rFonts w:ascii="Times New Roman" w:eastAsia="Times New Roman" w:hAnsi="Times New Roman" w:cs="Times New Roman"/>
          <w:lang w:eastAsia="ru-RU"/>
        </w:rPr>
        <w:br/>
        <w:t>населения в 20</w:t>
      </w:r>
      <w:r w:rsidR="00296E39" w:rsidRPr="0066263B">
        <w:rPr>
          <w:rFonts w:ascii="Times New Roman" w:eastAsia="Times New Roman" w:hAnsi="Times New Roman" w:cs="Times New Roman"/>
          <w:lang w:eastAsia="ru-RU"/>
        </w:rPr>
        <w:t>20</w:t>
      </w:r>
      <w:r w:rsidRPr="0066263B">
        <w:rPr>
          <w:rFonts w:ascii="Times New Roman" w:eastAsia="Times New Roman" w:hAnsi="Times New Roman" w:cs="Times New Roman"/>
          <w:lang w:eastAsia="ru-RU"/>
        </w:rPr>
        <w:t xml:space="preserve"> году</w:t>
      </w: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
    <w:p w:rsidR="00544557"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Средняя доза на 1 жителя Брянской области 0,</w:t>
      </w:r>
      <w:r w:rsidR="00296E39" w:rsidRPr="0066263B">
        <w:rPr>
          <w:rFonts w:ascii="Times New Roman" w:eastAsia="Times New Roman" w:hAnsi="Times New Roman" w:cs="Times New Roman"/>
          <w:sz w:val="24"/>
          <w:szCs w:val="24"/>
          <w:lang w:eastAsia="ru-RU"/>
        </w:rPr>
        <w:t>48</w:t>
      </w:r>
      <w:r w:rsidR="00306846"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w:t>
      </w:r>
      <w:proofErr w:type="spellStart"/>
      <w:proofErr w:type="gramStart"/>
      <w:r w:rsidRPr="0066263B">
        <w:rPr>
          <w:rFonts w:ascii="Times New Roman" w:eastAsia="Times New Roman" w:hAnsi="Times New Roman" w:cs="Times New Roman"/>
          <w:sz w:val="24"/>
          <w:szCs w:val="24"/>
          <w:lang w:eastAsia="ru-RU"/>
        </w:rPr>
        <w:t>проц</w:t>
      </w:r>
      <w:proofErr w:type="spellEnd"/>
      <w:proofErr w:type="gramEnd"/>
      <w:r w:rsidRPr="0066263B">
        <w:rPr>
          <w:rFonts w:ascii="Times New Roman" w:eastAsia="Times New Roman" w:hAnsi="Times New Roman" w:cs="Times New Roman"/>
          <w:sz w:val="24"/>
          <w:szCs w:val="24"/>
          <w:lang w:eastAsia="ru-RU"/>
        </w:rPr>
        <w:t xml:space="preserve"> от медицинских рентгенорадиологических процедур в 20</w:t>
      </w:r>
      <w:r w:rsidR="00296E39"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w:t>
      </w:r>
      <w:r w:rsidR="00296E39" w:rsidRPr="0066263B">
        <w:rPr>
          <w:rFonts w:ascii="Times New Roman" w:eastAsia="Times New Roman" w:hAnsi="Times New Roman" w:cs="Times New Roman"/>
          <w:sz w:val="24"/>
          <w:szCs w:val="24"/>
          <w:lang w:eastAsia="ru-RU"/>
        </w:rPr>
        <w:t>находится на уровне</w:t>
      </w:r>
      <w:r w:rsidRPr="0066263B">
        <w:rPr>
          <w:rFonts w:ascii="Times New Roman" w:eastAsia="Times New Roman" w:hAnsi="Times New Roman" w:cs="Times New Roman"/>
          <w:sz w:val="24"/>
          <w:szCs w:val="24"/>
          <w:lang w:eastAsia="ru-RU"/>
        </w:rPr>
        <w:t xml:space="preserve"> средни</w:t>
      </w:r>
      <w:r w:rsidR="00296E39" w:rsidRPr="0066263B">
        <w:rPr>
          <w:rFonts w:ascii="Times New Roman" w:eastAsia="Times New Roman" w:hAnsi="Times New Roman" w:cs="Times New Roman"/>
          <w:sz w:val="24"/>
          <w:szCs w:val="24"/>
          <w:lang w:eastAsia="ru-RU"/>
        </w:rPr>
        <w:t>х</w:t>
      </w:r>
      <w:r w:rsidRPr="0066263B">
        <w:rPr>
          <w:rFonts w:ascii="Times New Roman" w:eastAsia="Times New Roman" w:hAnsi="Times New Roman" w:cs="Times New Roman"/>
          <w:sz w:val="24"/>
          <w:szCs w:val="24"/>
          <w:lang w:eastAsia="ru-RU"/>
        </w:rPr>
        <w:t xml:space="preserve"> общероссийски</w:t>
      </w:r>
      <w:r w:rsidR="00296E39" w:rsidRPr="0066263B">
        <w:rPr>
          <w:rFonts w:ascii="Times New Roman" w:eastAsia="Times New Roman" w:hAnsi="Times New Roman" w:cs="Times New Roman"/>
          <w:sz w:val="24"/>
          <w:szCs w:val="24"/>
          <w:lang w:eastAsia="ru-RU"/>
        </w:rPr>
        <w:t>х</w:t>
      </w:r>
      <w:r w:rsidRPr="0066263B">
        <w:rPr>
          <w:rFonts w:ascii="Times New Roman" w:eastAsia="Times New Roman" w:hAnsi="Times New Roman" w:cs="Times New Roman"/>
          <w:sz w:val="24"/>
          <w:szCs w:val="24"/>
          <w:lang w:eastAsia="ru-RU"/>
        </w:rPr>
        <w:t xml:space="preserve"> показател</w:t>
      </w:r>
      <w:r w:rsidR="00296E39" w:rsidRPr="0066263B">
        <w:rPr>
          <w:rFonts w:ascii="Times New Roman" w:eastAsia="Times New Roman" w:hAnsi="Times New Roman" w:cs="Times New Roman"/>
          <w:sz w:val="24"/>
          <w:szCs w:val="24"/>
          <w:lang w:eastAsia="ru-RU"/>
        </w:rPr>
        <w:t>ей</w:t>
      </w:r>
      <w:r w:rsidRPr="0066263B">
        <w:rPr>
          <w:rFonts w:ascii="Times New Roman" w:eastAsia="Times New Roman" w:hAnsi="Times New Roman" w:cs="Times New Roman"/>
          <w:sz w:val="24"/>
          <w:szCs w:val="24"/>
          <w:lang w:eastAsia="ru-RU"/>
        </w:rPr>
        <w:t xml:space="preserve"> – 0,</w:t>
      </w:r>
      <w:r w:rsidR="00296E39" w:rsidRPr="0066263B">
        <w:rPr>
          <w:rFonts w:ascii="Times New Roman" w:eastAsia="Times New Roman" w:hAnsi="Times New Roman" w:cs="Times New Roman"/>
          <w:sz w:val="24"/>
          <w:szCs w:val="24"/>
          <w:lang w:eastAsia="ru-RU"/>
        </w:rPr>
        <w:t>44</w:t>
      </w:r>
      <w:r w:rsidR="00306846"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/проц. Лучевых патологий населения в 201</w:t>
      </w:r>
      <w:r w:rsidR="00296E39"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296E39" w:rsidRPr="0066263B">
        <w:rPr>
          <w:rFonts w:ascii="Times New Roman" w:eastAsia="Times New Roman" w:hAnsi="Times New Roman" w:cs="Times New Roman"/>
          <w:sz w:val="24"/>
          <w:szCs w:val="24"/>
          <w:lang w:eastAsia="ru-RU"/>
        </w:rPr>
        <w:t>21</w:t>
      </w:r>
      <w:r w:rsidRPr="0066263B">
        <w:rPr>
          <w:rFonts w:ascii="Times New Roman" w:eastAsia="Times New Roman" w:hAnsi="Times New Roman" w:cs="Times New Roman"/>
          <w:sz w:val="24"/>
          <w:szCs w:val="24"/>
          <w:lang w:eastAsia="ru-RU"/>
        </w:rPr>
        <w:t> г.г. при медицинских рентгенологических процедурах на территории Брянской области не зафиксировано.</w:t>
      </w:r>
    </w:p>
    <w:p w:rsidR="007D2C1D" w:rsidRPr="0066263B" w:rsidRDefault="007D2C1D" w:rsidP="00544557">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Техногенные источники</w:t>
      </w: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Техногенное облучение персонала от ИИИ составляет 0,02% коллективной дозы (0,</w:t>
      </w:r>
      <w:r w:rsidR="009E385A" w:rsidRPr="0066263B">
        <w:rPr>
          <w:rFonts w:ascii="Times New Roman" w:eastAsia="Times New Roman" w:hAnsi="Times New Roman" w:cs="Times New Roman"/>
          <w:sz w:val="24"/>
          <w:szCs w:val="24"/>
          <w:lang w:eastAsia="ru-RU"/>
        </w:rPr>
        <w:t>63</w:t>
      </w:r>
      <w:r w:rsidRPr="0066263B">
        <w:rPr>
          <w:rFonts w:ascii="Times New Roman" w:eastAsia="Times New Roman" w:hAnsi="Times New Roman" w:cs="Times New Roman"/>
          <w:sz w:val="24"/>
          <w:szCs w:val="24"/>
          <w:lang w:eastAsia="ru-RU"/>
        </w:rPr>
        <w:t xml:space="preserve"> чел-Зв/год) жителей Брянской области. На 11</w:t>
      </w:r>
      <w:r w:rsidR="00296E39"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 xml:space="preserve"> радиационных объектах (</w:t>
      </w:r>
      <w:r w:rsidR="009E385A"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 xml:space="preserve"> – III категории, 10</w:t>
      </w:r>
      <w:r w:rsidR="009E385A"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 xml:space="preserve"> – IV категории), использующих 6</w:t>
      </w:r>
      <w:r w:rsidR="00296E39" w:rsidRPr="0066263B">
        <w:rPr>
          <w:rFonts w:ascii="Times New Roman" w:eastAsia="Times New Roman" w:hAnsi="Times New Roman" w:cs="Times New Roman"/>
          <w:sz w:val="24"/>
          <w:szCs w:val="24"/>
          <w:lang w:eastAsia="ru-RU"/>
        </w:rPr>
        <w:t>12</w:t>
      </w:r>
      <w:r w:rsidRPr="0066263B">
        <w:rPr>
          <w:rFonts w:ascii="Times New Roman" w:eastAsia="Times New Roman" w:hAnsi="Times New Roman" w:cs="Times New Roman"/>
          <w:sz w:val="24"/>
          <w:szCs w:val="24"/>
          <w:lang w:eastAsia="ru-RU"/>
        </w:rPr>
        <w:t xml:space="preserve"> различных установок с ИИИ, работают </w:t>
      </w:r>
      <w:r w:rsidR="00296E39" w:rsidRPr="0066263B">
        <w:rPr>
          <w:rFonts w:ascii="Times New Roman" w:eastAsia="Times New Roman" w:hAnsi="Times New Roman" w:cs="Times New Roman"/>
          <w:sz w:val="24"/>
          <w:szCs w:val="24"/>
          <w:lang w:eastAsia="ru-RU"/>
        </w:rPr>
        <w:t>1 013</w:t>
      </w:r>
      <w:r w:rsidRPr="0066263B">
        <w:rPr>
          <w:rFonts w:ascii="Times New Roman" w:eastAsia="Times New Roman" w:hAnsi="Times New Roman" w:cs="Times New Roman"/>
          <w:sz w:val="24"/>
          <w:szCs w:val="24"/>
          <w:lang w:eastAsia="ru-RU"/>
        </w:rPr>
        <w:t xml:space="preserve"> человек персонала группы</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 xml:space="preserve"> и </w:t>
      </w:r>
      <w:r w:rsidR="00296E39"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 xml:space="preserve"> человек персонала группы Б.</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Коллективные и индивидуальные дозы облучения персонала группы</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 Б за 201</w:t>
      </w:r>
      <w:r w:rsidR="007D2C1D">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7D2C1D">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 представлены в таблице 5</w:t>
      </w:r>
      <w:r w:rsidR="000D45BB"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53</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Дозы облучения персонала</w:t>
      </w:r>
      <w:proofErr w:type="gramStart"/>
      <w:r w:rsidRPr="0066263B">
        <w:rPr>
          <w:rFonts w:ascii="Times New Roman" w:eastAsia="Times New Roman" w:hAnsi="Times New Roman" w:cs="Times New Roman"/>
          <w:b/>
          <w:bCs/>
          <w:lang w:eastAsia="ru-RU"/>
        </w:rPr>
        <w:t xml:space="preserve"> А</w:t>
      </w:r>
      <w:proofErr w:type="gramEnd"/>
      <w:r w:rsidRPr="0066263B">
        <w:rPr>
          <w:rFonts w:ascii="Times New Roman" w:eastAsia="Times New Roman" w:hAnsi="Times New Roman" w:cs="Times New Roman"/>
          <w:b/>
          <w:bCs/>
          <w:lang w:eastAsia="ru-RU"/>
        </w:rPr>
        <w:t>, Б</w:t>
      </w:r>
    </w:p>
    <w:p w:rsidR="00544557" w:rsidRPr="0066263B" w:rsidRDefault="00544557" w:rsidP="00324483">
      <w:pPr>
        <w:spacing w:before="0" w:after="0"/>
        <w:jc w:val="center"/>
        <w:rPr>
          <w:rFonts w:ascii="Times New Roman" w:eastAsia="Times New Roman" w:hAnsi="Times New Roman" w:cs="Times New Roman"/>
          <w:b/>
          <w:bCs/>
          <w:lang w:eastAsia="ru-RU"/>
        </w:rPr>
      </w:pPr>
    </w:p>
    <w:tbl>
      <w:tblPr>
        <w:tblW w:w="9213" w:type="dxa"/>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2"/>
        <w:gridCol w:w="1465"/>
        <w:gridCol w:w="796"/>
        <w:gridCol w:w="796"/>
        <w:gridCol w:w="797"/>
        <w:gridCol w:w="1134"/>
        <w:gridCol w:w="993"/>
        <w:gridCol w:w="1559"/>
        <w:gridCol w:w="991"/>
      </w:tblGrid>
      <w:tr w:rsidR="00324483" w:rsidRPr="0066263B" w:rsidTr="0097318F">
        <w:trPr>
          <w:jc w:val="center"/>
        </w:trPr>
        <w:tc>
          <w:tcPr>
            <w:tcW w:w="682" w:type="dxa"/>
            <w:vMerge w:val="restart"/>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1465" w:type="dxa"/>
            <w:vMerge w:val="restart"/>
            <w:vAlign w:val="center"/>
          </w:tcPr>
          <w:p w:rsidR="00324483" w:rsidRPr="0066263B" w:rsidRDefault="00324483" w:rsidP="00324483">
            <w:pPr>
              <w:spacing w:before="20" w:after="20"/>
              <w:jc w:val="center"/>
              <w:rPr>
                <w:rFonts w:ascii="Times New Roman" w:eastAsia="Times New Roman" w:hAnsi="Times New Roman" w:cs="Times New Roman"/>
                <w:b/>
                <w:i/>
                <w:lang w:val="en-US" w:eastAsia="ru-RU"/>
              </w:rPr>
            </w:pPr>
            <w:r w:rsidRPr="0066263B">
              <w:rPr>
                <w:rFonts w:ascii="Times New Roman" w:eastAsia="Times New Roman" w:hAnsi="Times New Roman" w:cs="Times New Roman"/>
                <w:b/>
                <w:i/>
                <w:lang w:eastAsia="ru-RU"/>
              </w:rPr>
              <w:t>Количество персонала</w:t>
            </w:r>
          </w:p>
        </w:tc>
        <w:tc>
          <w:tcPr>
            <w:tcW w:w="3523" w:type="dxa"/>
            <w:gridSpan w:val="4"/>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xml:space="preserve">В том числе, в интервале доз, </w:t>
            </w:r>
            <w:proofErr w:type="spellStart"/>
            <w:r w:rsidRPr="0066263B">
              <w:rPr>
                <w:rFonts w:ascii="Times New Roman" w:eastAsia="Times New Roman" w:hAnsi="Times New Roman" w:cs="Times New Roman"/>
                <w:b/>
                <w:i/>
                <w:lang w:eastAsia="ru-RU"/>
              </w:rPr>
              <w:t>мЗв</w:t>
            </w:r>
            <w:proofErr w:type="spellEnd"/>
            <w:r w:rsidRPr="0066263B">
              <w:rPr>
                <w:rFonts w:ascii="Times New Roman" w:eastAsia="Times New Roman" w:hAnsi="Times New Roman" w:cs="Times New Roman"/>
                <w:b/>
                <w:i/>
                <w:lang w:eastAsia="ru-RU"/>
              </w:rPr>
              <w:t xml:space="preserve"> /год</w:t>
            </w:r>
          </w:p>
        </w:tc>
        <w:tc>
          <w:tcPr>
            <w:tcW w:w="993" w:type="dxa"/>
            <w:vMerge w:val="restart"/>
            <w:shd w:val="clear" w:color="auto" w:fill="auto"/>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GB" w:eastAsia="ru-RU"/>
              </w:rPr>
              <w:t>D,</w:t>
            </w:r>
            <w:r w:rsidRPr="0066263B">
              <w:rPr>
                <w:rFonts w:ascii="Times New Roman" w:eastAsia="Times New Roman" w:hAnsi="Times New Roman" w:cs="Times New Roman"/>
                <w:b/>
                <w:i/>
                <w:lang w:eastAsia="ru-RU"/>
              </w:rPr>
              <w:br/>
            </w:r>
            <w:proofErr w:type="spellStart"/>
            <w:r w:rsidRPr="0066263B">
              <w:rPr>
                <w:rFonts w:ascii="Times New Roman" w:eastAsia="Times New Roman" w:hAnsi="Times New Roman" w:cs="Times New Roman"/>
                <w:b/>
                <w:i/>
                <w:lang w:eastAsia="ru-RU"/>
              </w:rPr>
              <w:t>мЗв</w:t>
            </w:r>
            <w:proofErr w:type="spellEnd"/>
            <w:r w:rsidRPr="0066263B">
              <w:rPr>
                <w:rFonts w:ascii="Times New Roman" w:eastAsia="Times New Roman" w:hAnsi="Times New Roman" w:cs="Times New Roman"/>
                <w:b/>
                <w:i/>
                <w:lang w:eastAsia="ru-RU"/>
              </w:rPr>
              <w:t>/год</w:t>
            </w:r>
          </w:p>
        </w:tc>
        <w:tc>
          <w:tcPr>
            <w:tcW w:w="1559" w:type="dxa"/>
            <w:vMerge w:val="restart"/>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GB" w:eastAsia="ru-RU"/>
              </w:rPr>
              <w:t>D</w:t>
            </w:r>
            <w:r w:rsidRPr="0066263B">
              <w:rPr>
                <w:rFonts w:ascii="Times New Roman" w:eastAsia="Times New Roman" w:hAnsi="Times New Roman" w:cs="Times New Roman"/>
                <w:b/>
                <w:i/>
                <w:lang w:eastAsia="ru-RU"/>
              </w:rPr>
              <w:t>перс. по РФ</w:t>
            </w:r>
            <w:r w:rsidRPr="0066263B">
              <w:rPr>
                <w:rFonts w:ascii="Times New Roman" w:eastAsia="Times New Roman" w:hAnsi="Times New Roman" w:cs="Times New Roman"/>
                <w:b/>
                <w:i/>
                <w:lang w:eastAsia="ru-RU"/>
              </w:rPr>
              <w:br/>
            </w:r>
            <w:proofErr w:type="spellStart"/>
            <w:r w:rsidRPr="0066263B">
              <w:rPr>
                <w:rFonts w:ascii="Times New Roman" w:eastAsia="Times New Roman" w:hAnsi="Times New Roman" w:cs="Times New Roman"/>
                <w:b/>
                <w:i/>
                <w:lang w:eastAsia="ru-RU"/>
              </w:rPr>
              <w:t>мЗв</w:t>
            </w:r>
            <w:proofErr w:type="spellEnd"/>
            <w:r w:rsidRPr="0066263B">
              <w:rPr>
                <w:rFonts w:ascii="Times New Roman" w:eastAsia="Times New Roman" w:hAnsi="Times New Roman" w:cs="Times New Roman"/>
                <w:b/>
                <w:i/>
                <w:lang w:eastAsia="ru-RU"/>
              </w:rPr>
              <w:t xml:space="preserve"> / год</w:t>
            </w:r>
          </w:p>
        </w:tc>
        <w:tc>
          <w:tcPr>
            <w:tcW w:w="991" w:type="dxa"/>
            <w:vMerge w:val="restart"/>
            <w:shd w:val="clear" w:color="auto" w:fill="auto"/>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val="en-US" w:eastAsia="ru-RU"/>
              </w:rPr>
              <w:t>E</w:t>
            </w:r>
            <w:r w:rsidRPr="0066263B">
              <w:rPr>
                <w:rFonts w:ascii="Times New Roman" w:eastAsia="Times New Roman" w:hAnsi="Times New Roman" w:cs="Times New Roman"/>
                <w:b/>
                <w:i/>
                <w:lang w:eastAsia="ru-RU"/>
              </w:rPr>
              <w:t>,</w:t>
            </w:r>
            <w:r w:rsidRPr="0066263B">
              <w:rPr>
                <w:rFonts w:ascii="Times New Roman" w:eastAsia="Times New Roman" w:hAnsi="Times New Roman" w:cs="Times New Roman"/>
                <w:b/>
                <w:i/>
                <w:lang w:eastAsia="ru-RU"/>
              </w:rPr>
              <w:br/>
            </w:r>
            <w:proofErr w:type="spellStart"/>
            <w:r w:rsidRPr="0066263B">
              <w:rPr>
                <w:rFonts w:ascii="Times New Roman" w:eastAsia="Times New Roman" w:hAnsi="Times New Roman" w:cs="Times New Roman"/>
                <w:b/>
                <w:i/>
                <w:lang w:eastAsia="ru-RU"/>
              </w:rPr>
              <w:t>чел.-Зв</w:t>
            </w:r>
            <w:proofErr w:type="spellEnd"/>
          </w:p>
        </w:tc>
      </w:tr>
      <w:tr w:rsidR="00324483" w:rsidRPr="0066263B" w:rsidTr="0097318F">
        <w:trPr>
          <w:jc w:val="center"/>
        </w:trPr>
        <w:tc>
          <w:tcPr>
            <w:tcW w:w="682" w:type="dxa"/>
            <w:vMerge/>
            <w:vAlign w:val="center"/>
          </w:tcPr>
          <w:p w:rsidR="00324483" w:rsidRPr="0066263B" w:rsidRDefault="00324483" w:rsidP="00324483">
            <w:pPr>
              <w:spacing w:before="20" w:after="20"/>
              <w:jc w:val="center"/>
              <w:rPr>
                <w:rFonts w:ascii="Times New Roman" w:eastAsia="Times New Roman" w:hAnsi="Times New Roman" w:cs="Times New Roman"/>
                <w:lang w:eastAsia="ru-RU"/>
              </w:rPr>
            </w:pPr>
          </w:p>
        </w:tc>
        <w:tc>
          <w:tcPr>
            <w:tcW w:w="1465" w:type="dxa"/>
            <w:vMerge/>
            <w:vAlign w:val="center"/>
          </w:tcPr>
          <w:p w:rsidR="00324483" w:rsidRPr="0066263B" w:rsidRDefault="00324483" w:rsidP="00324483">
            <w:pPr>
              <w:spacing w:before="20" w:after="20"/>
              <w:jc w:val="center"/>
              <w:rPr>
                <w:rFonts w:ascii="Times New Roman" w:eastAsia="Times New Roman" w:hAnsi="Times New Roman" w:cs="Times New Roman"/>
                <w:lang w:eastAsia="ru-RU"/>
              </w:rPr>
            </w:pPr>
          </w:p>
        </w:tc>
        <w:tc>
          <w:tcPr>
            <w:tcW w:w="796" w:type="dxa"/>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0 – 1</w:t>
            </w:r>
          </w:p>
        </w:tc>
        <w:tc>
          <w:tcPr>
            <w:tcW w:w="796" w:type="dxa"/>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1 – 2</w:t>
            </w:r>
          </w:p>
        </w:tc>
        <w:tc>
          <w:tcPr>
            <w:tcW w:w="797" w:type="dxa"/>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 – 5</w:t>
            </w:r>
          </w:p>
        </w:tc>
        <w:tc>
          <w:tcPr>
            <w:tcW w:w="1134" w:type="dxa"/>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5 – 12,5</w:t>
            </w:r>
          </w:p>
        </w:tc>
        <w:tc>
          <w:tcPr>
            <w:tcW w:w="993" w:type="dxa"/>
            <w:vMerge/>
            <w:shd w:val="clear" w:color="auto" w:fill="auto"/>
            <w:vAlign w:val="center"/>
          </w:tcPr>
          <w:p w:rsidR="00324483" w:rsidRPr="0066263B" w:rsidRDefault="00324483" w:rsidP="00324483">
            <w:pPr>
              <w:spacing w:before="20" w:after="20"/>
              <w:jc w:val="center"/>
              <w:rPr>
                <w:rFonts w:ascii="Times New Roman" w:eastAsia="Times New Roman" w:hAnsi="Times New Roman" w:cs="Times New Roman"/>
                <w:lang w:eastAsia="ru-RU"/>
              </w:rPr>
            </w:pPr>
          </w:p>
        </w:tc>
        <w:tc>
          <w:tcPr>
            <w:tcW w:w="1559" w:type="dxa"/>
            <w:vMerge/>
          </w:tcPr>
          <w:p w:rsidR="00324483" w:rsidRPr="0066263B" w:rsidRDefault="00324483" w:rsidP="00324483">
            <w:pPr>
              <w:spacing w:before="20" w:after="20"/>
              <w:jc w:val="center"/>
              <w:rPr>
                <w:rFonts w:ascii="Times New Roman" w:eastAsia="Times New Roman" w:hAnsi="Times New Roman" w:cs="Times New Roman"/>
                <w:lang w:eastAsia="ru-RU"/>
              </w:rPr>
            </w:pPr>
          </w:p>
        </w:tc>
        <w:tc>
          <w:tcPr>
            <w:tcW w:w="991" w:type="dxa"/>
            <w:vMerge/>
            <w:shd w:val="clear" w:color="auto" w:fill="auto"/>
            <w:vAlign w:val="center"/>
          </w:tcPr>
          <w:p w:rsidR="00324483" w:rsidRPr="0066263B" w:rsidRDefault="00324483" w:rsidP="00324483">
            <w:pPr>
              <w:spacing w:before="20" w:after="20"/>
              <w:jc w:val="center"/>
              <w:rPr>
                <w:rFonts w:ascii="Times New Roman" w:eastAsia="Times New Roman" w:hAnsi="Times New Roman" w:cs="Times New Roman"/>
                <w:lang w:eastAsia="ru-RU"/>
              </w:rPr>
            </w:pPr>
          </w:p>
        </w:tc>
      </w:tr>
      <w:tr w:rsidR="00296E39" w:rsidRPr="0066263B" w:rsidTr="0097318F">
        <w:trPr>
          <w:jc w:val="center"/>
        </w:trPr>
        <w:tc>
          <w:tcPr>
            <w:tcW w:w="682" w:type="dxa"/>
            <w:vAlign w:val="center"/>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1465" w:type="dxa"/>
            <w:vAlign w:val="center"/>
          </w:tcPr>
          <w:p w:rsidR="00296E39" w:rsidRPr="0066263B" w:rsidRDefault="00296E3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980</w:t>
            </w:r>
          </w:p>
        </w:tc>
        <w:tc>
          <w:tcPr>
            <w:tcW w:w="796" w:type="dxa"/>
            <w:vAlign w:val="center"/>
          </w:tcPr>
          <w:p w:rsidR="00296E39" w:rsidRPr="0066263B" w:rsidRDefault="00296E3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668</w:t>
            </w:r>
          </w:p>
        </w:tc>
        <w:tc>
          <w:tcPr>
            <w:tcW w:w="796" w:type="dxa"/>
            <w:vAlign w:val="center"/>
          </w:tcPr>
          <w:p w:rsidR="00296E39" w:rsidRPr="0066263B" w:rsidRDefault="00296E3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311</w:t>
            </w:r>
          </w:p>
        </w:tc>
        <w:tc>
          <w:tcPr>
            <w:tcW w:w="797" w:type="dxa"/>
            <w:vAlign w:val="center"/>
          </w:tcPr>
          <w:p w:rsidR="00296E39" w:rsidRPr="0066263B" w:rsidRDefault="00296E3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1134" w:type="dxa"/>
            <w:vAlign w:val="center"/>
          </w:tcPr>
          <w:p w:rsidR="00296E39" w:rsidRPr="0066263B" w:rsidRDefault="00296E3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93" w:type="dxa"/>
            <w:shd w:val="clear" w:color="auto" w:fill="auto"/>
            <w:vAlign w:val="center"/>
          </w:tcPr>
          <w:p w:rsidR="00296E39" w:rsidRPr="0066263B" w:rsidRDefault="00296E3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0,722</w:t>
            </w:r>
          </w:p>
        </w:tc>
        <w:tc>
          <w:tcPr>
            <w:tcW w:w="1559" w:type="dxa"/>
            <w:vAlign w:val="center"/>
          </w:tcPr>
          <w:p w:rsidR="00296E39" w:rsidRPr="0066263B" w:rsidRDefault="00296E3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1,21</w:t>
            </w:r>
          </w:p>
        </w:tc>
        <w:tc>
          <w:tcPr>
            <w:tcW w:w="991" w:type="dxa"/>
            <w:shd w:val="clear" w:color="auto" w:fill="auto"/>
            <w:vAlign w:val="center"/>
          </w:tcPr>
          <w:p w:rsidR="00296E39" w:rsidRPr="0066263B" w:rsidRDefault="00296E3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0,707</w:t>
            </w:r>
          </w:p>
        </w:tc>
      </w:tr>
      <w:tr w:rsidR="00296E39" w:rsidRPr="0066263B" w:rsidTr="009E385A">
        <w:trPr>
          <w:jc w:val="center"/>
        </w:trPr>
        <w:tc>
          <w:tcPr>
            <w:tcW w:w="682" w:type="dxa"/>
            <w:vAlign w:val="center"/>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1465" w:type="dxa"/>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983</w:t>
            </w:r>
          </w:p>
        </w:tc>
        <w:tc>
          <w:tcPr>
            <w:tcW w:w="796" w:type="dxa"/>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865</w:t>
            </w:r>
          </w:p>
        </w:tc>
        <w:tc>
          <w:tcPr>
            <w:tcW w:w="796" w:type="dxa"/>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115</w:t>
            </w:r>
          </w:p>
        </w:tc>
        <w:tc>
          <w:tcPr>
            <w:tcW w:w="797" w:type="dxa"/>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1134" w:type="dxa"/>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93" w:type="dxa"/>
            <w:shd w:val="clear" w:color="auto" w:fill="auto"/>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0,574</w:t>
            </w:r>
          </w:p>
        </w:tc>
        <w:tc>
          <w:tcPr>
            <w:tcW w:w="1559" w:type="dxa"/>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1,27</w:t>
            </w:r>
          </w:p>
        </w:tc>
        <w:tc>
          <w:tcPr>
            <w:tcW w:w="991" w:type="dxa"/>
            <w:shd w:val="clear" w:color="auto" w:fill="auto"/>
          </w:tcPr>
          <w:p w:rsidR="00296E39" w:rsidRPr="0066263B" w:rsidRDefault="00296E39" w:rsidP="009E385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0,565</w:t>
            </w:r>
          </w:p>
        </w:tc>
      </w:tr>
      <w:tr w:rsidR="00296E39" w:rsidRPr="0066263B" w:rsidTr="00544557">
        <w:trPr>
          <w:jc w:val="center"/>
        </w:trPr>
        <w:tc>
          <w:tcPr>
            <w:tcW w:w="682" w:type="dxa"/>
            <w:vAlign w:val="center"/>
          </w:tcPr>
          <w:p w:rsidR="00296E39" w:rsidRPr="0066263B" w:rsidRDefault="00296E39" w:rsidP="005445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1465" w:type="dxa"/>
          </w:tcPr>
          <w:p w:rsidR="00296E39" w:rsidRPr="0066263B" w:rsidRDefault="00296E39" w:rsidP="00296E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1021</w:t>
            </w:r>
          </w:p>
        </w:tc>
        <w:tc>
          <w:tcPr>
            <w:tcW w:w="796" w:type="dxa"/>
          </w:tcPr>
          <w:p w:rsidR="00296E39" w:rsidRPr="0066263B" w:rsidRDefault="00296E39" w:rsidP="00296E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862</w:t>
            </w:r>
          </w:p>
        </w:tc>
        <w:tc>
          <w:tcPr>
            <w:tcW w:w="796" w:type="dxa"/>
          </w:tcPr>
          <w:p w:rsidR="00296E39" w:rsidRPr="0066263B" w:rsidRDefault="00296E39" w:rsidP="00296E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156</w:t>
            </w:r>
          </w:p>
        </w:tc>
        <w:tc>
          <w:tcPr>
            <w:tcW w:w="797" w:type="dxa"/>
          </w:tcPr>
          <w:p w:rsidR="00296E39" w:rsidRPr="0066263B" w:rsidRDefault="00296E39" w:rsidP="00296E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1134" w:type="dxa"/>
          </w:tcPr>
          <w:p w:rsidR="00296E39" w:rsidRPr="0066263B" w:rsidRDefault="00296E39" w:rsidP="00296E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93" w:type="dxa"/>
            <w:shd w:val="clear" w:color="auto" w:fill="auto"/>
          </w:tcPr>
          <w:p w:rsidR="00296E39" w:rsidRPr="0066263B" w:rsidRDefault="00296E39" w:rsidP="00296E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0,619</w:t>
            </w:r>
          </w:p>
        </w:tc>
        <w:tc>
          <w:tcPr>
            <w:tcW w:w="1559" w:type="dxa"/>
          </w:tcPr>
          <w:p w:rsidR="00296E39" w:rsidRPr="0066263B" w:rsidRDefault="00296E39" w:rsidP="00296E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1,19</w:t>
            </w:r>
          </w:p>
        </w:tc>
        <w:tc>
          <w:tcPr>
            <w:tcW w:w="991" w:type="dxa"/>
            <w:shd w:val="clear" w:color="auto" w:fill="auto"/>
          </w:tcPr>
          <w:p w:rsidR="00296E39" w:rsidRPr="0066263B" w:rsidRDefault="00296E39" w:rsidP="00296E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0,632</w:t>
            </w:r>
          </w:p>
        </w:tc>
      </w:tr>
    </w:tbl>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Анализируя данные, представленные в таблице </w:t>
      </w:r>
      <w:r w:rsidR="00B93C7E" w:rsidRPr="0066263B">
        <w:rPr>
          <w:rFonts w:ascii="Times New Roman" w:eastAsia="Times New Roman" w:hAnsi="Times New Roman" w:cs="Times New Roman"/>
          <w:sz w:val="24"/>
          <w:szCs w:val="24"/>
          <w:lang w:eastAsia="ru-RU"/>
        </w:rPr>
        <w:t>53</w:t>
      </w:r>
      <w:r w:rsidR="007D2C1D">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можно сказать, что в 201</w:t>
      </w:r>
      <w:r w:rsidR="00684DE9"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684DE9"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г.г. среднегодовая индивидуальная доза облучения (D) и коллективная доза (Е) не превышают 1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/год и 1 чел-Зв соответственно.</w:t>
      </w:r>
    </w:p>
    <w:p w:rsidR="00684DE9" w:rsidRPr="0066263B" w:rsidRDefault="00684DE9" w:rsidP="00684DE9">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 целью недопущения </w:t>
      </w:r>
      <w:proofErr w:type="spellStart"/>
      <w:r w:rsidRPr="0066263B">
        <w:rPr>
          <w:rFonts w:ascii="Times New Roman" w:eastAsia="Times New Roman" w:hAnsi="Times New Roman" w:cs="Times New Roman"/>
          <w:sz w:val="24"/>
          <w:szCs w:val="24"/>
          <w:lang w:eastAsia="ru-RU"/>
        </w:rPr>
        <w:t>переоблучения</w:t>
      </w:r>
      <w:proofErr w:type="spellEnd"/>
      <w:r w:rsidRPr="0066263B">
        <w:rPr>
          <w:rFonts w:ascii="Times New Roman" w:eastAsia="Times New Roman" w:hAnsi="Times New Roman" w:cs="Times New Roman"/>
          <w:sz w:val="24"/>
          <w:szCs w:val="24"/>
          <w:lang w:eastAsia="ru-RU"/>
        </w:rPr>
        <w:t xml:space="preserve"> персонала, работающего с ИИИ, возникновения радиационных аварий, связанных с потерей контроля над ИИИ, на территории Брянской области 100% налажен радиационный контроль за ИИИ, в части производственного и планового контроля на предприятиях и ЛПУ. Оценка суммарного облучения персонала проводится с учётом работы по совместительству в нескольких организациях.</w:t>
      </w:r>
    </w:p>
    <w:p w:rsidR="00684DE9" w:rsidRPr="0066263B" w:rsidRDefault="00684DE9" w:rsidP="00684DE9">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2020 году проведено 6 283 измерения МЭД гамма-излучения, в т.ч. рентгеновского гамма-излучения, на рабочих местах персонала и радиационно-защитных зонах предприятий и ЛПУ (2020 – 5 604; 2019 – 6 950; 2018 – 8 317).</w:t>
      </w:r>
    </w:p>
    <w:p w:rsidR="00684DE9" w:rsidRPr="0066263B" w:rsidRDefault="00684DE9" w:rsidP="00684DE9">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Превышений уровней МЭД гамма-излучения в 2019-2021 г.г. на рабочих местах персонала группы</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 xml:space="preserve"> не установлено.</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Средние годовые дозы облучения персонала группы</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 работающего на предприятиях и в ЛПУ Брянской области, наиболее распространённых профессий и должностей в 20</w:t>
      </w:r>
      <w:r w:rsidR="00684DE9"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представлены в таблице 5</w:t>
      </w:r>
      <w:r w:rsidR="000D45BB"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lang w:eastAsia="ru-RU"/>
        </w:rPr>
        <w:t>Средние годовые дозы облучения персонала наиболее распространённых</w:t>
      </w:r>
      <w:r w:rsidRPr="0066263B">
        <w:rPr>
          <w:rFonts w:ascii="Times New Roman" w:eastAsia="Times New Roman" w:hAnsi="Times New Roman" w:cs="Times New Roman"/>
          <w:b/>
          <w:lang w:eastAsia="ru-RU"/>
        </w:rPr>
        <w:br/>
        <w:t>профессий и должностей</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0" w:type="auto"/>
        <w:jc w:val="center"/>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2940"/>
        <w:gridCol w:w="2169"/>
      </w:tblGrid>
      <w:tr w:rsidR="00544557" w:rsidRPr="0066263B" w:rsidTr="00544557">
        <w:trPr>
          <w:jc w:val="center"/>
        </w:trPr>
        <w:tc>
          <w:tcPr>
            <w:tcW w:w="4261" w:type="dxa"/>
            <w:shd w:val="clear" w:color="auto" w:fill="auto"/>
          </w:tcPr>
          <w:p w:rsidR="00544557" w:rsidRPr="0066263B" w:rsidRDefault="00544557" w:rsidP="005445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Профессия (должность)</w:t>
            </w:r>
            <w:r w:rsidRPr="0066263B">
              <w:rPr>
                <w:rFonts w:ascii="Times New Roman" w:eastAsia="Times New Roman" w:hAnsi="Times New Roman" w:cs="Times New Roman"/>
                <w:b/>
                <w:i/>
                <w:lang w:eastAsia="ru-RU"/>
              </w:rPr>
              <w:br/>
              <w:t>персонала группы</w:t>
            </w:r>
            <w:proofErr w:type="gramStart"/>
            <w:r w:rsidRPr="0066263B">
              <w:rPr>
                <w:rFonts w:ascii="Times New Roman" w:eastAsia="Times New Roman" w:hAnsi="Times New Roman" w:cs="Times New Roman"/>
                <w:b/>
                <w:i/>
                <w:lang w:eastAsia="ru-RU"/>
              </w:rPr>
              <w:t xml:space="preserve"> А</w:t>
            </w:r>
            <w:proofErr w:type="gramEnd"/>
          </w:p>
        </w:tc>
        <w:tc>
          <w:tcPr>
            <w:tcW w:w="2940" w:type="dxa"/>
            <w:shd w:val="clear" w:color="auto" w:fill="auto"/>
          </w:tcPr>
          <w:p w:rsidR="00544557" w:rsidRPr="0066263B" w:rsidRDefault="00544557" w:rsidP="005445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Численность персонала,</w:t>
            </w:r>
            <w:r w:rsidRPr="0066263B">
              <w:rPr>
                <w:rFonts w:ascii="Times New Roman" w:eastAsia="Times New Roman" w:hAnsi="Times New Roman" w:cs="Times New Roman"/>
                <w:b/>
                <w:i/>
                <w:lang w:eastAsia="ru-RU"/>
              </w:rPr>
              <w:br/>
              <w:t>чел.</w:t>
            </w:r>
          </w:p>
        </w:tc>
        <w:tc>
          <w:tcPr>
            <w:tcW w:w="2169" w:type="dxa"/>
            <w:shd w:val="clear" w:color="auto" w:fill="auto"/>
          </w:tcPr>
          <w:p w:rsidR="00544557" w:rsidRPr="0066263B" w:rsidRDefault="00544557" w:rsidP="005445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xml:space="preserve">Средняя доза, </w:t>
            </w:r>
            <w:proofErr w:type="spellStart"/>
            <w:r w:rsidRPr="0066263B">
              <w:rPr>
                <w:rFonts w:ascii="Times New Roman" w:eastAsia="Times New Roman" w:hAnsi="Times New Roman" w:cs="Times New Roman"/>
                <w:b/>
                <w:i/>
                <w:lang w:eastAsia="ru-RU"/>
              </w:rPr>
              <w:t>мЗв</w:t>
            </w:r>
            <w:proofErr w:type="spellEnd"/>
            <w:r w:rsidRPr="0066263B">
              <w:rPr>
                <w:rFonts w:ascii="Times New Roman" w:eastAsia="Times New Roman" w:hAnsi="Times New Roman" w:cs="Times New Roman"/>
                <w:b/>
                <w:i/>
                <w:lang w:eastAsia="ru-RU"/>
              </w:rPr>
              <w:t>/год</w:t>
            </w:r>
          </w:p>
        </w:tc>
      </w:tr>
      <w:tr w:rsidR="00684DE9" w:rsidRPr="0066263B" w:rsidTr="009E385A">
        <w:trPr>
          <w:jc w:val="center"/>
        </w:trPr>
        <w:tc>
          <w:tcPr>
            <w:tcW w:w="4261" w:type="dxa"/>
            <w:shd w:val="clear" w:color="auto" w:fill="auto"/>
          </w:tcPr>
          <w:p w:rsidR="00684DE9" w:rsidRPr="0066263B" w:rsidRDefault="00684DE9" w:rsidP="00544557">
            <w:pPr>
              <w:spacing w:before="0" w:after="0"/>
              <w:jc w:val="left"/>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Дефектоскописты</w:t>
            </w:r>
            <w:proofErr w:type="spellEnd"/>
          </w:p>
        </w:tc>
        <w:tc>
          <w:tcPr>
            <w:tcW w:w="2940"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58</w:t>
            </w:r>
          </w:p>
        </w:tc>
        <w:tc>
          <w:tcPr>
            <w:tcW w:w="2169"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0,79</w:t>
            </w:r>
          </w:p>
        </w:tc>
      </w:tr>
      <w:tr w:rsidR="00684DE9" w:rsidRPr="0066263B" w:rsidTr="009E385A">
        <w:trPr>
          <w:jc w:val="center"/>
        </w:trPr>
        <w:tc>
          <w:tcPr>
            <w:tcW w:w="4261" w:type="dxa"/>
            <w:shd w:val="clear" w:color="auto" w:fill="auto"/>
          </w:tcPr>
          <w:p w:rsidR="00684DE9" w:rsidRPr="0066263B" w:rsidRDefault="00684DE9" w:rsidP="00544557">
            <w:pPr>
              <w:spacing w:before="0" w:after="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Инженеры</w:t>
            </w:r>
          </w:p>
        </w:tc>
        <w:tc>
          <w:tcPr>
            <w:tcW w:w="2940"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73</w:t>
            </w:r>
          </w:p>
        </w:tc>
        <w:tc>
          <w:tcPr>
            <w:tcW w:w="2169"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0,22</w:t>
            </w:r>
          </w:p>
        </w:tc>
      </w:tr>
      <w:tr w:rsidR="00684DE9" w:rsidRPr="0066263B" w:rsidTr="009E385A">
        <w:trPr>
          <w:jc w:val="center"/>
        </w:trPr>
        <w:tc>
          <w:tcPr>
            <w:tcW w:w="4261" w:type="dxa"/>
            <w:shd w:val="clear" w:color="auto" w:fill="auto"/>
          </w:tcPr>
          <w:p w:rsidR="00684DE9" w:rsidRPr="0066263B" w:rsidRDefault="00684DE9" w:rsidP="00544557">
            <w:pPr>
              <w:spacing w:before="0" w:after="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Сотрудники таможни</w:t>
            </w:r>
          </w:p>
        </w:tc>
        <w:tc>
          <w:tcPr>
            <w:tcW w:w="2940"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273</w:t>
            </w:r>
          </w:p>
        </w:tc>
        <w:tc>
          <w:tcPr>
            <w:tcW w:w="2169"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0,98</w:t>
            </w:r>
          </w:p>
        </w:tc>
      </w:tr>
      <w:tr w:rsidR="00684DE9" w:rsidRPr="0066263B" w:rsidTr="009E385A">
        <w:trPr>
          <w:trHeight w:val="216"/>
          <w:jc w:val="center"/>
        </w:trPr>
        <w:tc>
          <w:tcPr>
            <w:tcW w:w="4261" w:type="dxa"/>
            <w:shd w:val="clear" w:color="auto" w:fill="auto"/>
          </w:tcPr>
          <w:p w:rsidR="00684DE9" w:rsidRPr="0066263B" w:rsidRDefault="00684DE9" w:rsidP="00544557">
            <w:pPr>
              <w:spacing w:before="0" w:after="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Врач-рентгенолог</w:t>
            </w:r>
          </w:p>
        </w:tc>
        <w:tc>
          <w:tcPr>
            <w:tcW w:w="2940"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147</w:t>
            </w:r>
          </w:p>
        </w:tc>
        <w:tc>
          <w:tcPr>
            <w:tcW w:w="2169"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0,45</w:t>
            </w:r>
          </w:p>
        </w:tc>
      </w:tr>
      <w:tr w:rsidR="00684DE9" w:rsidRPr="0066263B" w:rsidTr="009E385A">
        <w:trPr>
          <w:jc w:val="center"/>
        </w:trPr>
        <w:tc>
          <w:tcPr>
            <w:tcW w:w="4261" w:type="dxa"/>
            <w:shd w:val="clear" w:color="auto" w:fill="auto"/>
          </w:tcPr>
          <w:p w:rsidR="00684DE9" w:rsidRPr="0066263B" w:rsidRDefault="00684DE9" w:rsidP="00544557">
            <w:pPr>
              <w:spacing w:before="0" w:after="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Врач-радиолог</w:t>
            </w:r>
          </w:p>
        </w:tc>
        <w:tc>
          <w:tcPr>
            <w:tcW w:w="2940"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2169"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0,48</w:t>
            </w:r>
          </w:p>
        </w:tc>
      </w:tr>
      <w:tr w:rsidR="00684DE9" w:rsidRPr="0066263B" w:rsidTr="009E385A">
        <w:trPr>
          <w:jc w:val="center"/>
        </w:trPr>
        <w:tc>
          <w:tcPr>
            <w:tcW w:w="4261" w:type="dxa"/>
            <w:shd w:val="clear" w:color="auto" w:fill="auto"/>
          </w:tcPr>
          <w:p w:rsidR="00684DE9" w:rsidRPr="0066263B" w:rsidRDefault="00684DE9" w:rsidP="00544557">
            <w:pPr>
              <w:spacing w:before="0" w:after="0"/>
              <w:jc w:val="left"/>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Рентгенолаборант</w:t>
            </w:r>
            <w:proofErr w:type="spellEnd"/>
          </w:p>
        </w:tc>
        <w:tc>
          <w:tcPr>
            <w:tcW w:w="2940"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308</w:t>
            </w:r>
          </w:p>
        </w:tc>
        <w:tc>
          <w:tcPr>
            <w:tcW w:w="2169"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0,49</w:t>
            </w:r>
          </w:p>
        </w:tc>
      </w:tr>
      <w:tr w:rsidR="00684DE9" w:rsidRPr="0066263B" w:rsidTr="009E385A">
        <w:trPr>
          <w:jc w:val="center"/>
        </w:trPr>
        <w:tc>
          <w:tcPr>
            <w:tcW w:w="4261" w:type="dxa"/>
            <w:shd w:val="clear" w:color="auto" w:fill="auto"/>
          </w:tcPr>
          <w:p w:rsidR="00684DE9" w:rsidRPr="0066263B" w:rsidRDefault="00684DE9" w:rsidP="00544557">
            <w:pPr>
              <w:spacing w:before="0" w:after="0"/>
              <w:jc w:val="left"/>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Рентгенолаборант</w:t>
            </w:r>
            <w:proofErr w:type="spellEnd"/>
            <w:r w:rsidRPr="0066263B">
              <w:rPr>
                <w:rFonts w:ascii="Times New Roman" w:eastAsia="Times New Roman" w:hAnsi="Times New Roman" w:cs="Times New Roman"/>
                <w:lang w:eastAsia="ru-RU"/>
              </w:rPr>
              <w:t xml:space="preserve"> (стоматолог)</w:t>
            </w:r>
          </w:p>
        </w:tc>
        <w:tc>
          <w:tcPr>
            <w:tcW w:w="2940"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w:t>
            </w:r>
          </w:p>
        </w:tc>
        <w:tc>
          <w:tcPr>
            <w:tcW w:w="2169"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0,31</w:t>
            </w:r>
          </w:p>
        </w:tc>
      </w:tr>
      <w:tr w:rsidR="00684DE9" w:rsidRPr="0066263B" w:rsidTr="009E385A">
        <w:trPr>
          <w:jc w:val="center"/>
        </w:trPr>
        <w:tc>
          <w:tcPr>
            <w:tcW w:w="4261" w:type="dxa"/>
            <w:shd w:val="clear" w:color="auto" w:fill="auto"/>
          </w:tcPr>
          <w:p w:rsidR="00684DE9" w:rsidRPr="0066263B" w:rsidRDefault="00684DE9" w:rsidP="00544557">
            <w:pPr>
              <w:spacing w:before="0" w:after="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Медицинская сестра</w:t>
            </w:r>
          </w:p>
        </w:tc>
        <w:tc>
          <w:tcPr>
            <w:tcW w:w="2940"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w:t>
            </w:r>
          </w:p>
        </w:tc>
        <w:tc>
          <w:tcPr>
            <w:tcW w:w="2169"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0,73</w:t>
            </w:r>
          </w:p>
        </w:tc>
      </w:tr>
      <w:tr w:rsidR="00684DE9" w:rsidRPr="0066263B" w:rsidTr="009E385A">
        <w:trPr>
          <w:jc w:val="center"/>
        </w:trPr>
        <w:tc>
          <w:tcPr>
            <w:tcW w:w="4261" w:type="dxa"/>
            <w:shd w:val="clear" w:color="auto" w:fill="auto"/>
          </w:tcPr>
          <w:p w:rsidR="00684DE9" w:rsidRPr="0066263B" w:rsidRDefault="00684DE9" w:rsidP="00544557">
            <w:pPr>
              <w:spacing w:before="0" w:after="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Персонала группы</w:t>
            </w:r>
            <w:proofErr w:type="gramStart"/>
            <w:r w:rsidRPr="0066263B">
              <w:rPr>
                <w:rFonts w:ascii="Times New Roman" w:eastAsia="Times New Roman" w:hAnsi="Times New Roman" w:cs="Times New Roman"/>
                <w:lang w:eastAsia="ru-RU"/>
              </w:rPr>
              <w:t xml:space="preserve"> А</w:t>
            </w:r>
            <w:proofErr w:type="gramEnd"/>
            <w:r w:rsidRPr="0066263B">
              <w:rPr>
                <w:rFonts w:ascii="Times New Roman" w:eastAsia="Times New Roman" w:hAnsi="Times New Roman" w:cs="Times New Roman"/>
                <w:lang w:eastAsia="ru-RU"/>
              </w:rPr>
              <w:t xml:space="preserve"> РФ</w:t>
            </w:r>
          </w:p>
        </w:tc>
        <w:tc>
          <w:tcPr>
            <w:tcW w:w="2940"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214599</w:t>
            </w:r>
          </w:p>
        </w:tc>
        <w:tc>
          <w:tcPr>
            <w:tcW w:w="2169" w:type="dxa"/>
            <w:shd w:val="clear" w:color="auto" w:fill="auto"/>
          </w:tcPr>
          <w:p w:rsidR="00684DE9" w:rsidRPr="0066263B" w:rsidRDefault="00684DE9" w:rsidP="009E385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1,19</w:t>
            </w:r>
          </w:p>
        </w:tc>
      </w:tr>
    </w:tbl>
    <w:p w:rsidR="00324483" w:rsidRPr="0066263B" w:rsidRDefault="00324483" w:rsidP="00684DE9">
      <w:pPr>
        <w:spacing w:before="0" w:after="0"/>
        <w:ind w:firstLine="708"/>
        <w:rPr>
          <w:rFonts w:ascii="Times New Roman" w:eastAsia="Times New Roman" w:hAnsi="Times New Roman" w:cs="Times New Roman"/>
          <w:sz w:val="24"/>
          <w:szCs w:val="24"/>
          <w:lang w:eastAsia="ru-RU"/>
        </w:rPr>
      </w:pP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Анализируя данные, представленные в таблице </w:t>
      </w:r>
      <w:r w:rsidR="00B93C7E" w:rsidRPr="0066263B">
        <w:rPr>
          <w:rFonts w:ascii="Times New Roman" w:eastAsia="Times New Roman" w:hAnsi="Times New Roman" w:cs="Times New Roman"/>
          <w:sz w:val="24"/>
          <w:szCs w:val="24"/>
          <w:lang w:eastAsia="ru-RU"/>
        </w:rPr>
        <w:t>54</w:t>
      </w:r>
      <w:r w:rsidRPr="0066263B">
        <w:rPr>
          <w:rFonts w:ascii="Times New Roman" w:eastAsia="Times New Roman" w:hAnsi="Times New Roman" w:cs="Times New Roman"/>
          <w:sz w:val="24"/>
          <w:szCs w:val="24"/>
          <w:lang w:eastAsia="ru-RU"/>
        </w:rPr>
        <w:t>, можно сделать вывод, что в средние годовые дозы облучения 100% персонала группы</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 работающего с ИИИ, существенно меньше общероссийских показателей.</w:t>
      </w:r>
    </w:p>
    <w:p w:rsidR="004F5A16" w:rsidRPr="0066263B" w:rsidRDefault="004F5A16" w:rsidP="00544557">
      <w:pPr>
        <w:spacing w:before="0" w:after="0"/>
        <w:ind w:firstLine="708"/>
        <w:rPr>
          <w:rFonts w:ascii="Times New Roman" w:eastAsia="Times New Roman" w:hAnsi="Times New Roman" w:cs="Times New Roman"/>
          <w:sz w:val="24"/>
          <w:szCs w:val="24"/>
          <w:lang w:eastAsia="ru-RU"/>
        </w:rPr>
      </w:pP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Созданная система контроля и оценка индивидуальных доз облучения персонала позволяет своевременно принимать меры по их снижению и предотвращать случаи превышения гигиенических нормативов. Средняя индивидуальная годовая эффективная доза персонала Брянской области за 201</w:t>
      </w:r>
      <w:r w:rsidR="00684DE9"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684DE9"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г.г. не превысила основные пределы доз, регламентированные НРБ-99/2009, в 1,</w:t>
      </w:r>
      <w:r w:rsidR="00684DE9"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 xml:space="preserve"> раза меньше средней индивидуальной эффективной персонала по всей России. Лучевых патологий среди персонала, находящегося под воздействием ИИИ, в 201</w:t>
      </w:r>
      <w:r w:rsidR="00684DE9"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w:t>
      </w:r>
      <w:r w:rsidR="00684DE9"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годах по результатам заполнения формы № 1-ДОЗ на территории Брянской области не зафиксировано.</w:t>
      </w: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p>
    <w:p w:rsidR="00544557" w:rsidRPr="0066263B" w:rsidRDefault="00544557"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201</w:t>
      </w:r>
      <w:r w:rsidR="00684DE9"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-202</w:t>
      </w:r>
      <w:r w:rsidR="00684DE9"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г.г. на территории Брянской области радиационных аварий зафиксировано не было.</w:t>
      </w:r>
    </w:p>
    <w:p w:rsidR="00684DE9" w:rsidRPr="0066263B" w:rsidRDefault="00684DE9" w:rsidP="00324483">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i/>
          <w:sz w:val="24"/>
          <w:szCs w:val="24"/>
          <w:lang w:eastAsia="ru-RU"/>
        </w:rPr>
      </w:pPr>
      <w:r w:rsidRPr="0066263B">
        <w:rPr>
          <w:rFonts w:ascii="Times New Roman" w:eastAsia="Times New Roman" w:hAnsi="Times New Roman" w:cs="Times New Roman"/>
          <w:i/>
          <w:sz w:val="24"/>
          <w:szCs w:val="24"/>
          <w:lang w:eastAsia="ru-RU"/>
        </w:rPr>
        <w:br w:type="page"/>
      </w:r>
    </w:p>
    <w:p w:rsidR="00324483" w:rsidRPr="0066263B" w:rsidRDefault="00324483" w:rsidP="00324483">
      <w:pPr>
        <w:spacing w:before="0" w:after="0"/>
        <w:ind w:firstLine="709"/>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i/>
          <w:sz w:val="24"/>
          <w:szCs w:val="24"/>
          <w:lang w:eastAsia="ru-RU"/>
        </w:rPr>
        <w:lastRenderedPageBreak/>
        <w:t>Состояние надзора за детскими дошкольными и учебными заведениями</w:t>
      </w:r>
    </w:p>
    <w:p w:rsidR="00F80B97" w:rsidRPr="0066263B" w:rsidRDefault="00F80B97" w:rsidP="00F80B9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Брянской области на надзоре службы находится 1 508 учреждений для детей и подростков (2020 – 1 500; 2019 – 1 547; 2018 – 1 545).</w:t>
      </w:r>
    </w:p>
    <w:p w:rsidR="00F80B97" w:rsidRPr="0066263B" w:rsidRDefault="00F80B97" w:rsidP="00F80B9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2021 год в рамках контрольно-надзорной деятельности были обследованы:</w:t>
      </w:r>
    </w:p>
    <w:p w:rsidR="00F80B97" w:rsidRPr="0066263B" w:rsidRDefault="00F80B97" w:rsidP="00BE7104">
      <w:pPr>
        <w:numPr>
          <w:ilvl w:val="0"/>
          <w:numId w:val="53"/>
        </w:numPr>
        <w:tabs>
          <w:tab w:val="left" w:pos="-2268"/>
        </w:tabs>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486 объектов общеобразовательных организаций, из них 357 обследований проведено с использованием лабораторно-инструментальных исследований. Кроме того, проверено 5 поставщиков продуктов в школьные столовые.</w:t>
      </w:r>
    </w:p>
    <w:p w:rsidR="00F80B97" w:rsidRPr="0066263B" w:rsidRDefault="00F80B97" w:rsidP="00BE7104">
      <w:pPr>
        <w:numPr>
          <w:ilvl w:val="0"/>
          <w:numId w:val="53"/>
        </w:numPr>
        <w:tabs>
          <w:tab w:val="left" w:pos="-2268"/>
        </w:tabs>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105 объектов дошкольных образовательных организаций, из них 94 </w:t>
      </w:r>
      <w:r w:rsidR="00F715D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с использованием лабораторно-инструментальных исследований.</w:t>
      </w:r>
    </w:p>
    <w:p w:rsidR="00F80B97" w:rsidRPr="0066263B" w:rsidRDefault="00F80B97" w:rsidP="00BE7104">
      <w:pPr>
        <w:numPr>
          <w:ilvl w:val="0"/>
          <w:numId w:val="53"/>
        </w:numPr>
        <w:tabs>
          <w:tab w:val="left" w:pos="-2268"/>
        </w:tabs>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 объект профессиональных образовательных организаций.</w:t>
      </w:r>
    </w:p>
    <w:p w:rsidR="00F715D5" w:rsidRPr="0066263B" w:rsidRDefault="00F715D5" w:rsidP="00F715D5">
      <w:pPr>
        <w:spacing w:before="0" w:after="0"/>
        <w:ind w:firstLine="708"/>
        <w:rPr>
          <w:rFonts w:ascii="Times New Roman" w:eastAsia="Times New Roman" w:hAnsi="Times New Roman" w:cs="Times New Roman"/>
          <w:sz w:val="24"/>
          <w:szCs w:val="24"/>
          <w:lang w:eastAsia="ru-RU"/>
        </w:rPr>
      </w:pPr>
    </w:p>
    <w:p w:rsidR="00F80B97" w:rsidRPr="0066263B" w:rsidRDefault="00F80B97" w:rsidP="00F715D5">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ходе проверок выявлено 699 нарушений санитарных правил, из которых – 262 нарушения выявлено на объектах дошкольного образования, 436 нарушений выявлено в общеобразовательных организациях, на объектах СПО выявлено 1 нарушение санитарного законодательства.</w:t>
      </w:r>
    </w:p>
    <w:p w:rsidR="00F715D5" w:rsidRPr="0066263B" w:rsidRDefault="00F715D5" w:rsidP="00F715D5">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За выявленные нарушения составлено 311 протоколов об административных правонарушениях (92 протокола – в ДОУ, 218 протоколов – в общеобразовательных организациях, 1 прокол </w:t>
      </w:r>
      <w:r w:rsidR="007D2C1D"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в СПО).</w:t>
      </w:r>
    </w:p>
    <w:p w:rsidR="00F715D5" w:rsidRPr="0066263B" w:rsidRDefault="00F715D5" w:rsidP="00F715D5">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числе наиболее часто встречающихся нарушений санитарных правил в части неисполнения обязательных требований следует отметить:</w:t>
      </w:r>
    </w:p>
    <w:p w:rsidR="00F715D5" w:rsidRPr="0066263B" w:rsidRDefault="00F715D5" w:rsidP="00BE7104">
      <w:pPr>
        <w:pStyle w:val="aff9"/>
        <w:numPr>
          <w:ilvl w:val="0"/>
          <w:numId w:val="67"/>
        </w:numPr>
        <w:tabs>
          <w:tab w:val="left" w:pos="2602"/>
        </w:tabs>
        <w:ind w:left="709" w:hanging="283"/>
        <w:jc w:val="both"/>
      </w:pPr>
      <w:r w:rsidRPr="0066263B">
        <w:t>нарушение требований к санитарно-противоэпидемическому режиму в организациях, в том числе на пищеблоках,</w:t>
      </w:r>
    </w:p>
    <w:p w:rsidR="00F715D5" w:rsidRPr="0066263B" w:rsidRDefault="00F715D5" w:rsidP="00BE7104">
      <w:pPr>
        <w:pStyle w:val="aff9"/>
        <w:numPr>
          <w:ilvl w:val="0"/>
          <w:numId w:val="67"/>
        </w:numPr>
        <w:tabs>
          <w:tab w:val="left" w:pos="2602"/>
        </w:tabs>
        <w:ind w:left="709" w:hanging="283"/>
        <w:jc w:val="both"/>
      </w:pPr>
      <w:r w:rsidRPr="0066263B">
        <w:t>использование разделочного инвентаря в нарушении маркировки,</w:t>
      </w:r>
    </w:p>
    <w:p w:rsidR="00F715D5" w:rsidRPr="0066263B" w:rsidRDefault="00F715D5" w:rsidP="00BE7104">
      <w:pPr>
        <w:pStyle w:val="aff9"/>
        <w:numPr>
          <w:ilvl w:val="0"/>
          <w:numId w:val="67"/>
        </w:numPr>
        <w:tabs>
          <w:tab w:val="left" w:pos="2602"/>
        </w:tabs>
        <w:ind w:left="709" w:hanging="283"/>
        <w:jc w:val="both"/>
      </w:pPr>
      <w:r w:rsidRPr="0066263B">
        <w:t>использование уборочного инвентаря в нарушении маркировки,</w:t>
      </w:r>
    </w:p>
    <w:p w:rsidR="00F715D5" w:rsidRPr="0066263B" w:rsidRDefault="00F715D5" w:rsidP="00BE7104">
      <w:pPr>
        <w:pStyle w:val="aff9"/>
        <w:numPr>
          <w:ilvl w:val="0"/>
          <w:numId w:val="67"/>
        </w:numPr>
        <w:tabs>
          <w:tab w:val="left" w:pos="2602"/>
        </w:tabs>
        <w:ind w:left="709" w:hanging="283"/>
        <w:jc w:val="both"/>
      </w:pPr>
      <w:r w:rsidRPr="0066263B">
        <w:t>несоблюдение гигиенических требований к условиям и температурному режиму хранения сырья на пищеблоках образовательных организаций,</w:t>
      </w:r>
    </w:p>
    <w:p w:rsidR="00F715D5" w:rsidRPr="0066263B" w:rsidRDefault="00F715D5" w:rsidP="00BE7104">
      <w:pPr>
        <w:pStyle w:val="aff9"/>
        <w:numPr>
          <w:ilvl w:val="0"/>
          <w:numId w:val="67"/>
        </w:numPr>
        <w:tabs>
          <w:tab w:val="left" w:pos="2602"/>
        </w:tabs>
        <w:ind w:left="709" w:hanging="283"/>
        <w:jc w:val="both"/>
      </w:pPr>
      <w:r w:rsidRPr="0066263B">
        <w:t>несоблюдение требований к мытью, обработке, дезинфекции столовой и кухонной посуды.</w:t>
      </w:r>
    </w:p>
    <w:p w:rsidR="00F715D5" w:rsidRPr="0066263B" w:rsidRDefault="00F715D5" w:rsidP="00F715D5">
      <w:pPr>
        <w:spacing w:before="0" w:after="0"/>
        <w:ind w:firstLine="708"/>
        <w:rPr>
          <w:rFonts w:ascii="Times New Roman" w:eastAsia="Times New Roman" w:hAnsi="Times New Roman" w:cs="Times New Roman"/>
          <w:sz w:val="24"/>
          <w:szCs w:val="24"/>
          <w:lang w:eastAsia="ru-RU"/>
        </w:rPr>
      </w:pPr>
    </w:p>
    <w:p w:rsidR="00F715D5" w:rsidRPr="0066263B" w:rsidRDefault="00F715D5" w:rsidP="00F715D5">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Также отмечается невысокий уровень </w:t>
      </w:r>
      <w:proofErr w:type="gramStart"/>
      <w:r w:rsidRPr="0066263B">
        <w:rPr>
          <w:rFonts w:ascii="Times New Roman" w:eastAsia="Times New Roman" w:hAnsi="Times New Roman" w:cs="Times New Roman"/>
          <w:sz w:val="24"/>
          <w:szCs w:val="24"/>
          <w:lang w:eastAsia="ru-RU"/>
        </w:rPr>
        <w:t>знаний обязательных требований санитарных правил работников пищеблоков</w:t>
      </w:r>
      <w:proofErr w:type="gramEnd"/>
      <w:r w:rsidRPr="0066263B">
        <w:rPr>
          <w:rFonts w:ascii="Times New Roman" w:eastAsia="Times New Roman" w:hAnsi="Times New Roman" w:cs="Times New Roman"/>
          <w:sz w:val="24"/>
          <w:szCs w:val="24"/>
          <w:lang w:eastAsia="ru-RU"/>
        </w:rPr>
        <w:t xml:space="preserve"> и технических работников организаций.</w:t>
      </w:r>
    </w:p>
    <w:p w:rsidR="00F715D5" w:rsidRPr="0066263B" w:rsidRDefault="00F715D5" w:rsidP="00F715D5">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Всем организациям, при проведении проверок которых были выявлены нарушения санитарного законодательства, выданы предписания об устранении выявленных нарушений. Сроки и полнота исполнения предписаний находятся на контроле ответственных должностных лиц Управления Роспотребнадзора по Брянской области.</w:t>
      </w:r>
    </w:p>
    <w:p w:rsidR="00F80B97" w:rsidRPr="0066263B" w:rsidRDefault="00F80B97" w:rsidP="00F715D5">
      <w:pPr>
        <w:spacing w:before="0" w:after="0"/>
        <w:ind w:firstLine="708"/>
        <w:rPr>
          <w:rFonts w:ascii="Times New Roman" w:eastAsia="Times New Roman" w:hAnsi="Times New Roman" w:cs="Times New Roman"/>
          <w:sz w:val="24"/>
          <w:szCs w:val="24"/>
          <w:lang w:eastAsia="ru-RU"/>
        </w:rPr>
      </w:pPr>
    </w:p>
    <w:p w:rsidR="00F715D5" w:rsidRPr="0066263B" w:rsidRDefault="00F715D5" w:rsidP="00F715D5">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Ежегодно Управлением Роспотребнадзора по Брянской области ведётся </w:t>
      </w:r>
      <w:proofErr w:type="gramStart"/>
      <w:r w:rsidRPr="0066263B">
        <w:rPr>
          <w:rFonts w:ascii="Times New Roman" w:eastAsia="Times New Roman" w:hAnsi="Times New Roman" w:cs="Times New Roman"/>
          <w:sz w:val="24"/>
          <w:szCs w:val="24"/>
          <w:lang w:eastAsia="ru-RU"/>
        </w:rPr>
        <w:t>контроль за</w:t>
      </w:r>
      <w:proofErr w:type="gramEnd"/>
      <w:r w:rsidRPr="0066263B">
        <w:rPr>
          <w:rFonts w:ascii="Times New Roman" w:eastAsia="Times New Roman" w:hAnsi="Times New Roman" w:cs="Times New Roman"/>
          <w:sz w:val="24"/>
          <w:szCs w:val="24"/>
          <w:lang w:eastAsia="ru-RU"/>
        </w:rPr>
        <w:t xml:space="preserve"> состоянием питьевого водоснабжения образовательных организаций.</w:t>
      </w:r>
    </w:p>
    <w:p w:rsidR="00F715D5" w:rsidRPr="0066263B" w:rsidRDefault="00F715D5" w:rsidP="00F715D5">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Так, в 2021 году в общеобразовательных учреждениях (дошкольных, общеобразовательных, учреждений СПО) Брянской области отобрано и исследовано:</w:t>
      </w:r>
    </w:p>
    <w:p w:rsidR="00F715D5" w:rsidRPr="0066263B" w:rsidRDefault="00F715D5" w:rsidP="00BE7104">
      <w:pPr>
        <w:numPr>
          <w:ilvl w:val="0"/>
          <w:numId w:val="53"/>
        </w:numPr>
        <w:tabs>
          <w:tab w:val="left" w:pos="-2268"/>
        </w:tabs>
        <w:spacing w:before="0" w:after="0"/>
        <w:ind w:left="993"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воды питьевой на санитарно-химические показатели – 405 проб, из них 25 проб или 6,2% не соответствовали гигиеническим нормативам (2020 – 1,5%); воды питьевой на микробиологические показатели – 913 проб, </w:t>
      </w:r>
      <w:r w:rsidR="00C6458E" w:rsidRPr="0066263B">
        <w:rPr>
          <w:rFonts w:ascii="Times New Roman" w:eastAsia="Times New Roman" w:hAnsi="Times New Roman" w:cs="Times New Roman"/>
          <w:sz w:val="24"/>
          <w:szCs w:val="24"/>
          <w:lang w:eastAsia="ru-RU"/>
        </w:rPr>
        <w:t xml:space="preserve">из них </w:t>
      </w:r>
      <w:r w:rsidRPr="0066263B">
        <w:rPr>
          <w:rFonts w:ascii="Times New Roman" w:eastAsia="Times New Roman" w:hAnsi="Times New Roman" w:cs="Times New Roman"/>
          <w:sz w:val="24"/>
          <w:szCs w:val="24"/>
          <w:lang w:eastAsia="ru-RU"/>
        </w:rPr>
        <w:t xml:space="preserve">15 проб </w:t>
      </w:r>
      <w:r w:rsidR="00C6458E" w:rsidRPr="0066263B">
        <w:rPr>
          <w:rFonts w:ascii="Times New Roman" w:eastAsia="Times New Roman" w:hAnsi="Times New Roman" w:cs="Times New Roman"/>
          <w:sz w:val="24"/>
          <w:szCs w:val="24"/>
          <w:lang w:eastAsia="ru-RU"/>
        </w:rPr>
        <w:t xml:space="preserve">или </w:t>
      </w:r>
      <w:r w:rsidRPr="0066263B">
        <w:rPr>
          <w:rFonts w:ascii="Times New Roman" w:eastAsia="Times New Roman" w:hAnsi="Times New Roman" w:cs="Times New Roman"/>
          <w:sz w:val="24"/>
          <w:szCs w:val="24"/>
          <w:lang w:eastAsia="ru-RU"/>
        </w:rPr>
        <w:t xml:space="preserve">1,6% не </w:t>
      </w:r>
      <w:r w:rsidR="00631F68" w:rsidRPr="0066263B">
        <w:rPr>
          <w:rFonts w:ascii="Times New Roman" w:eastAsia="Times New Roman" w:hAnsi="Times New Roman" w:cs="Times New Roman"/>
          <w:sz w:val="24"/>
          <w:szCs w:val="24"/>
          <w:lang w:eastAsia="ru-RU"/>
        </w:rPr>
        <w:t xml:space="preserve">соответствовали </w:t>
      </w:r>
      <w:r w:rsidRPr="0066263B">
        <w:rPr>
          <w:rFonts w:ascii="Times New Roman" w:eastAsia="Times New Roman" w:hAnsi="Times New Roman" w:cs="Times New Roman"/>
          <w:sz w:val="24"/>
          <w:szCs w:val="24"/>
          <w:lang w:eastAsia="ru-RU"/>
        </w:rPr>
        <w:t>гигиеническим нормативам</w:t>
      </w:r>
      <w:r w:rsidR="00C6458E"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2020 </w:t>
      </w:r>
      <w:r w:rsidR="00C6458E"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0,9%</w:t>
      </w:r>
      <w:r w:rsidR="00C6458E" w:rsidRPr="0066263B">
        <w:rPr>
          <w:rFonts w:ascii="Times New Roman" w:eastAsia="Times New Roman" w:hAnsi="Times New Roman" w:cs="Times New Roman"/>
          <w:sz w:val="24"/>
          <w:szCs w:val="24"/>
          <w:lang w:eastAsia="ru-RU"/>
        </w:rPr>
        <w:t>)</w:t>
      </w:r>
      <w:r w:rsidR="00FC152E" w:rsidRPr="0066263B">
        <w:rPr>
          <w:rFonts w:ascii="Times New Roman" w:eastAsia="Times New Roman" w:hAnsi="Times New Roman" w:cs="Times New Roman"/>
          <w:sz w:val="24"/>
          <w:szCs w:val="24"/>
          <w:lang w:eastAsia="ru-RU"/>
        </w:rPr>
        <w:t>.</w:t>
      </w:r>
    </w:p>
    <w:p w:rsidR="006854FF" w:rsidRPr="0066263B" w:rsidRDefault="006854FF" w:rsidP="006854FF">
      <w:pPr>
        <w:tabs>
          <w:tab w:val="left" w:pos="2602"/>
        </w:tabs>
        <w:spacing w:before="0" w:after="0"/>
        <w:ind w:firstLine="709"/>
        <w:contextualSpacing/>
        <w:rPr>
          <w:rFonts w:ascii="Times New Roman" w:eastAsia="Times New Roman" w:hAnsi="Times New Roman" w:cs="Times New Roman"/>
          <w:sz w:val="24"/>
          <w:szCs w:val="24"/>
          <w:lang w:eastAsia="ru-RU"/>
        </w:rPr>
      </w:pPr>
    </w:p>
    <w:p w:rsidR="006854FF" w:rsidRPr="0066263B" w:rsidRDefault="006854FF" w:rsidP="006854FF">
      <w:pPr>
        <w:tabs>
          <w:tab w:val="left" w:pos="2602"/>
        </w:tabs>
        <w:spacing w:before="0" w:after="0"/>
        <w:ind w:firstLine="709"/>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Приоритетами в работе службы по разделу организации надзора за учреждениями для детей и подростков в 202</w:t>
      </w:r>
      <w:r w:rsidR="00C6458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являлись:</w:t>
      </w:r>
    </w:p>
    <w:p w:rsidR="006854FF" w:rsidRPr="0066263B" w:rsidRDefault="006854FF" w:rsidP="00160BD2">
      <w:pPr>
        <w:numPr>
          <w:ilvl w:val="0"/>
          <w:numId w:val="31"/>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Улучшение санитарного состояния объектов для детей и подростков.</w:t>
      </w:r>
    </w:p>
    <w:p w:rsidR="006854FF" w:rsidRPr="0066263B" w:rsidRDefault="006854FF" w:rsidP="00160BD2">
      <w:pPr>
        <w:numPr>
          <w:ilvl w:val="0"/>
          <w:numId w:val="31"/>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Организация надзора за ходом подготовки и проведения летней оздоровительной кампании.</w:t>
      </w:r>
    </w:p>
    <w:p w:rsidR="006854FF" w:rsidRPr="0066263B" w:rsidRDefault="006854FF" w:rsidP="00160BD2">
      <w:pPr>
        <w:numPr>
          <w:ilvl w:val="0"/>
          <w:numId w:val="31"/>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Организация надзора за качеством и безопасностью школьного питания.</w:t>
      </w:r>
    </w:p>
    <w:p w:rsidR="00C6458E" w:rsidRPr="0066263B" w:rsidRDefault="00C6458E" w:rsidP="00C6458E">
      <w:pPr>
        <w:numPr>
          <w:ilvl w:val="0"/>
          <w:numId w:val="31"/>
        </w:numPr>
        <w:spacing w:before="0" w:after="0"/>
        <w:ind w:left="993" w:hanging="142"/>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Надзор за исполнением образовательными организациями области противоэпидемических требований в условиях сохранения риска распространения коронавирусной инфекции.</w:t>
      </w:r>
    </w:p>
    <w:p w:rsidR="006854FF" w:rsidRPr="0066263B" w:rsidRDefault="006854FF" w:rsidP="00160BD2">
      <w:pPr>
        <w:numPr>
          <w:ilvl w:val="0"/>
          <w:numId w:val="31"/>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Участие Управления Роспотребнадзора по Брянской области в реализации Национального проекта «Демография».</w:t>
      </w:r>
    </w:p>
    <w:p w:rsidR="00C6458E" w:rsidRPr="0066263B" w:rsidRDefault="00C6458E"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 xml:space="preserve">О результатах </w:t>
      </w:r>
      <w:proofErr w:type="gramStart"/>
      <w:r w:rsidRPr="0066263B">
        <w:rPr>
          <w:rFonts w:ascii="Times New Roman" w:eastAsia="Times New Roman" w:hAnsi="Times New Roman" w:cs="Times New Roman"/>
          <w:i/>
          <w:sz w:val="24"/>
          <w:szCs w:val="24"/>
          <w:u w:val="single"/>
          <w:lang w:eastAsia="ru-RU"/>
        </w:rPr>
        <w:t>федерального</w:t>
      </w:r>
      <w:proofErr w:type="gramEnd"/>
      <w:r w:rsidRPr="0066263B">
        <w:rPr>
          <w:rFonts w:ascii="Times New Roman" w:eastAsia="Times New Roman" w:hAnsi="Times New Roman" w:cs="Times New Roman"/>
          <w:i/>
          <w:sz w:val="24"/>
          <w:szCs w:val="24"/>
          <w:u w:val="single"/>
          <w:lang w:eastAsia="ru-RU"/>
        </w:rPr>
        <w:t xml:space="preserve"> государственного санитарно-</w:t>
      </w: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эпидемиологического надзора в дошкольных образовательных учреждениях</w:t>
      </w:r>
    </w:p>
    <w:p w:rsidR="00C6458E" w:rsidRPr="0066263B" w:rsidRDefault="00C6458E" w:rsidP="00C6458E">
      <w:pPr>
        <w:tabs>
          <w:tab w:val="left" w:pos="2602"/>
        </w:tabs>
        <w:spacing w:before="0" w:after="0"/>
        <w:ind w:firstLine="709"/>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контроле в 2021 году находилось 360 субъектов (369 объектов) дошкольных организаций.</w:t>
      </w:r>
    </w:p>
    <w:p w:rsidR="00C6458E" w:rsidRPr="0066263B" w:rsidRDefault="00C6458E" w:rsidP="00C6458E">
      <w:pPr>
        <w:tabs>
          <w:tab w:val="left" w:pos="2602"/>
        </w:tabs>
        <w:spacing w:before="0" w:after="0"/>
        <w:ind w:firstLine="709"/>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 обследованных в 2021 году дошкольных организаций (105 объектов) 66,6% объектов не соответствовали гигиеническим требованиям (2020 – 58,7%</w:t>
      </w:r>
      <w:r w:rsidR="00631F68">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2019 – 82,0%; 2018 – 86,6%).</w:t>
      </w:r>
    </w:p>
    <w:p w:rsidR="00C6458E" w:rsidRPr="0066263B" w:rsidRDefault="00C6458E" w:rsidP="00C6458E">
      <w:pPr>
        <w:tabs>
          <w:tab w:val="left" w:pos="2602"/>
        </w:tabs>
        <w:spacing w:before="0" w:after="0"/>
        <w:ind w:firstLine="709"/>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2021 год проб готовой продукции, исследованной в дошкольных организациях, не соответствовавших требованиям гигиенических нормативов по микробиологическим показателям, как и в 2020 году, не зарегистрировано (2020 – 0%;</w:t>
      </w:r>
      <w:r w:rsidR="00631F68">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2019 – 0,9%; 2018 – 0,9%).</w:t>
      </w:r>
    </w:p>
    <w:p w:rsidR="00C6458E" w:rsidRPr="0066263B" w:rsidRDefault="00C6458E" w:rsidP="00C6458E">
      <w:pPr>
        <w:tabs>
          <w:tab w:val="left" w:pos="2602"/>
        </w:tabs>
        <w:spacing w:before="0" w:after="0"/>
        <w:ind w:firstLine="709"/>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Доля проб, не соответствующих гигиеническим требованиям, в учреждениях дошкольного образования составила:</w:t>
      </w:r>
    </w:p>
    <w:p w:rsidR="00C6458E" w:rsidRPr="0066263B" w:rsidRDefault="00C6458E" w:rsidP="00C6458E">
      <w:pPr>
        <w:numPr>
          <w:ilvl w:val="0"/>
          <w:numId w:val="15"/>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вода питьевая по микробиологическим показателям – 0,2% (2020 – 0,</w:t>
      </w:r>
      <w:r w:rsidR="00FC152E"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w:t>
      </w:r>
      <w:r w:rsidR="00C35F3A"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2019 – 0%; 2018 – 1,5%);</w:t>
      </w:r>
    </w:p>
    <w:p w:rsidR="00C6458E" w:rsidRPr="0066263B" w:rsidRDefault="00C6458E" w:rsidP="00C6458E">
      <w:pPr>
        <w:numPr>
          <w:ilvl w:val="0"/>
          <w:numId w:val="15"/>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готовые блюда на калорийность – 5,8% (2020 – 4,6%, </w:t>
      </w:r>
      <w:r w:rsidR="00C35F3A" w:rsidRPr="0066263B">
        <w:rPr>
          <w:rFonts w:ascii="Times New Roman" w:eastAsia="Times New Roman" w:hAnsi="Times New Roman" w:cs="Times New Roman"/>
          <w:sz w:val="24"/>
          <w:szCs w:val="24"/>
          <w:lang w:eastAsia="ru-RU"/>
        </w:rPr>
        <w:t>2019 – 2,5%; 2018 – 4,6%</w:t>
      </w:r>
      <w:r w:rsidRPr="0066263B">
        <w:rPr>
          <w:rFonts w:ascii="Times New Roman" w:eastAsia="Times New Roman" w:hAnsi="Times New Roman" w:cs="Times New Roman"/>
          <w:sz w:val="24"/>
          <w:szCs w:val="24"/>
          <w:lang w:eastAsia="ru-RU"/>
        </w:rPr>
        <w:t>);</w:t>
      </w:r>
    </w:p>
    <w:p w:rsidR="00C6458E" w:rsidRPr="0066263B" w:rsidRDefault="00C6458E" w:rsidP="00C35F3A">
      <w:pPr>
        <w:numPr>
          <w:ilvl w:val="0"/>
          <w:numId w:val="15"/>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 пробы, исследованные на содержание витамина «С» соответствовали гигиеническим нормативам (2020 – 1,8%</w:t>
      </w:r>
      <w:r w:rsidR="00C35F3A"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2019 – 3,5%; 2018 – 1,7%)</w:t>
      </w:r>
      <w:r w:rsidR="00C35F3A" w:rsidRPr="0066263B">
        <w:rPr>
          <w:rFonts w:ascii="Times New Roman" w:eastAsia="Times New Roman" w:hAnsi="Times New Roman" w:cs="Times New Roman"/>
          <w:sz w:val="24"/>
          <w:szCs w:val="24"/>
          <w:lang w:eastAsia="ru-RU"/>
        </w:rPr>
        <w:t>.</w:t>
      </w:r>
    </w:p>
    <w:p w:rsidR="00C35F3A" w:rsidRPr="0066263B" w:rsidRDefault="00C35F3A"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2A40B8" w:rsidRPr="0066263B">
        <w:rPr>
          <w:rFonts w:ascii="Times New Roman" w:eastAsia="Times New Roman" w:hAnsi="Times New Roman" w:cs="Times New Roman"/>
          <w:sz w:val="24"/>
          <w:szCs w:val="24"/>
          <w:lang w:eastAsia="ru-RU"/>
        </w:rPr>
        <w:t>2</w:t>
      </w:r>
      <w:r w:rsidR="00C35F3A" w:rsidRPr="0066263B">
        <w:rPr>
          <w:rFonts w:ascii="Times New Roman" w:eastAsia="Times New Roman" w:hAnsi="Times New Roman" w:cs="Times New Roman"/>
          <w:sz w:val="24"/>
          <w:szCs w:val="24"/>
          <w:lang w:eastAsia="ru-RU"/>
        </w:rPr>
        <w:t>1 году, как и в 2020 году,</w:t>
      </w:r>
      <w:r w:rsidRPr="0066263B">
        <w:rPr>
          <w:rFonts w:ascii="Times New Roman" w:eastAsia="Times New Roman" w:hAnsi="Times New Roman" w:cs="Times New Roman"/>
          <w:sz w:val="24"/>
          <w:szCs w:val="24"/>
          <w:lang w:eastAsia="ru-RU"/>
        </w:rPr>
        <w:t xml:space="preserve"> в ходе проведения инструментальных замеров параметров микроклимата </w:t>
      </w:r>
      <w:r w:rsidR="002A40B8" w:rsidRPr="0066263B">
        <w:rPr>
          <w:rFonts w:ascii="Times New Roman" w:eastAsia="Times New Roman" w:hAnsi="Times New Roman" w:cs="Times New Roman"/>
          <w:sz w:val="24"/>
          <w:szCs w:val="24"/>
          <w:lang w:eastAsia="ru-RU"/>
        </w:rPr>
        <w:t xml:space="preserve">все </w:t>
      </w:r>
      <w:r w:rsidRPr="0066263B">
        <w:rPr>
          <w:rFonts w:ascii="Times New Roman" w:eastAsia="Times New Roman" w:hAnsi="Times New Roman" w:cs="Times New Roman"/>
          <w:sz w:val="24"/>
          <w:szCs w:val="24"/>
          <w:lang w:eastAsia="ru-RU"/>
        </w:rPr>
        <w:t>объект</w:t>
      </w:r>
      <w:r w:rsidR="002A40B8" w:rsidRPr="0066263B">
        <w:rPr>
          <w:rFonts w:ascii="Times New Roman" w:eastAsia="Times New Roman" w:hAnsi="Times New Roman" w:cs="Times New Roman"/>
          <w:sz w:val="24"/>
          <w:szCs w:val="24"/>
          <w:lang w:eastAsia="ru-RU"/>
        </w:rPr>
        <w:t>ы</w:t>
      </w:r>
      <w:r w:rsidRPr="0066263B">
        <w:rPr>
          <w:rFonts w:ascii="Times New Roman" w:eastAsia="Times New Roman" w:hAnsi="Times New Roman" w:cs="Times New Roman"/>
          <w:sz w:val="24"/>
          <w:szCs w:val="24"/>
          <w:lang w:eastAsia="ru-RU"/>
        </w:rPr>
        <w:t xml:space="preserve"> отвечали действующим требованиям (</w:t>
      </w:r>
      <w:r w:rsidR="00C35F3A" w:rsidRPr="0066263B">
        <w:rPr>
          <w:rFonts w:ascii="Times New Roman" w:eastAsia="Times New Roman" w:hAnsi="Times New Roman" w:cs="Times New Roman"/>
          <w:sz w:val="24"/>
          <w:szCs w:val="24"/>
          <w:lang w:eastAsia="ru-RU"/>
        </w:rPr>
        <w:t xml:space="preserve">2020 – 0%; </w:t>
      </w:r>
      <w:r w:rsidR="002A40B8" w:rsidRPr="0066263B">
        <w:rPr>
          <w:rFonts w:ascii="Times New Roman" w:eastAsia="Times New Roman" w:hAnsi="Times New Roman" w:cs="Times New Roman"/>
          <w:sz w:val="24"/>
          <w:szCs w:val="24"/>
          <w:lang w:eastAsia="ru-RU"/>
        </w:rPr>
        <w:t xml:space="preserve">2019 – 2,9%; </w:t>
      </w:r>
      <w:r w:rsidRPr="0066263B">
        <w:rPr>
          <w:rFonts w:ascii="Times New Roman" w:eastAsia="Times New Roman" w:hAnsi="Times New Roman" w:cs="Times New Roman"/>
          <w:sz w:val="24"/>
          <w:szCs w:val="24"/>
          <w:lang w:eastAsia="ru-RU"/>
        </w:rPr>
        <w:t>2018 – 7,8%)</w:t>
      </w:r>
      <w:r w:rsidR="0075515F"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по уровню искусственной освещённости – </w:t>
      </w:r>
      <w:r w:rsidR="00C35F3A" w:rsidRPr="0066263B">
        <w:rPr>
          <w:rFonts w:ascii="Times New Roman" w:eastAsia="Times New Roman" w:hAnsi="Times New Roman" w:cs="Times New Roman"/>
          <w:sz w:val="24"/>
          <w:szCs w:val="24"/>
          <w:lang w:eastAsia="ru-RU"/>
        </w:rPr>
        <w:t>14</w:t>
      </w:r>
      <w:r w:rsidRPr="0066263B">
        <w:rPr>
          <w:rFonts w:ascii="Times New Roman" w:eastAsia="Times New Roman" w:hAnsi="Times New Roman" w:cs="Times New Roman"/>
          <w:sz w:val="24"/>
          <w:szCs w:val="24"/>
          <w:lang w:eastAsia="ru-RU"/>
        </w:rPr>
        <w:t xml:space="preserve">% </w:t>
      </w:r>
      <w:r w:rsidR="00C35F3A" w:rsidRPr="0066263B">
        <w:rPr>
          <w:rFonts w:ascii="Times New Roman" w:eastAsia="Times New Roman" w:hAnsi="Times New Roman" w:cs="Times New Roman"/>
          <w:sz w:val="24"/>
          <w:szCs w:val="24"/>
          <w:lang w:eastAsia="ru-RU"/>
        </w:rPr>
        <w:t xml:space="preserve">объектов не соответствовали действующим требованиям </w:t>
      </w:r>
      <w:r w:rsidR="002A40B8" w:rsidRPr="0066263B">
        <w:rPr>
          <w:rFonts w:ascii="Times New Roman" w:eastAsia="Times New Roman" w:hAnsi="Times New Roman" w:cs="Times New Roman"/>
          <w:sz w:val="24"/>
          <w:szCs w:val="24"/>
          <w:lang w:eastAsia="ru-RU"/>
        </w:rPr>
        <w:t>(</w:t>
      </w:r>
      <w:r w:rsidR="00C35F3A" w:rsidRPr="0066263B">
        <w:rPr>
          <w:rFonts w:ascii="Times New Roman" w:eastAsia="Times New Roman" w:hAnsi="Times New Roman" w:cs="Times New Roman"/>
          <w:sz w:val="24"/>
          <w:szCs w:val="24"/>
          <w:lang w:eastAsia="ru-RU"/>
        </w:rPr>
        <w:t xml:space="preserve">2020 – 0,4%; </w:t>
      </w:r>
      <w:r w:rsidR="002A40B8" w:rsidRPr="0066263B">
        <w:rPr>
          <w:rFonts w:ascii="Times New Roman" w:eastAsia="Times New Roman" w:hAnsi="Times New Roman" w:cs="Times New Roman"/>
          <w:sz w:val="24"/>
          <w:szCs w:val="24"/>
          <w:lang w:eastAsia="ru-RU"/>
        </w:rPr>
        <w:t>2019 – 5,5%; 2018 – 3,0%)</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jc w:val="left"/>
        <w:rPr>
          <w:rFonts w:ascii="Times New Roman" w:eastAsia="Times New Roman" w:hAnsi="Times New Roman" w:cs="Times New Roman"/>
          <w:b/>
          <w:bCs/>
          <w:sz w:val="26"/>
          <w:szCs w:val="26"/>
          <w:lang w:eastAsia="ru-RU"/>
        </w:rPr>
      </w:pPr>
      <w:bookmarkStart w:id="7" w:name="_Toc2253826"/>
      <w:r w:rsidRPr="0066263B">
        <w:rPr>
          <w:rFonts w:ascii="Times New Roman" w:eastAsia="Times New Roman" w:hAnsi="Times New Roman" w:cs="Times New Roman"/>
          <w:sz w:val="26"/>
          <w:szCs w:val="26"/>
          <w:lang w:eastAsia="ru-RU"/>
        </w:rPr>
        <w:br w:type="page"/>
      </w:r>
    </w:p>
    <w:p w:rsidR="00324483" w:rsidRPr="0066263B" w:rsidRDefault="00324483" w:rsidP="00324483">
      <w:pPr>
        <w:jc w:val="center"/>
        <w:outlineLvl w:val="1"/>
        <w:rPr>
          <w:rFonts w:ascii="Times New Roman" w:eastAsia="Times New Roman" w:hAnsi="Times New Roman" w:cs="Times New Roman"/>
          <w:b/>
          <w:bCs/>
          <w:sz w:val="26"/>
          <w:szCs w:val="26"/>
          <w:lang w:eastAsia="ru-RU"/>
        </w:rPr>
      </w:pPr>
      <w:r w:rsidRPr="0066263B">
        <w:rPr>
          <w:rFonts w:ascii="Times New Roman" w:eastAsia="Times New Roman" w:hAnsi="Times New Roman" w:cs="Times New Roman"/>
          <w:b/>
          <w:bCs/>
          <w:sz w:val="26"/>
          <w:szCs w:val="26"/>
          <w:lang w:eastAsia="ru-RU"/>
        </w:rPr>
        <w:lastRenderedPageBreak/>
        <w:t>1.2.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bookmarkEnd w:id="7"/>
    </w:p>
    <w:p w:rsidR="00324483" w:rsidRPr="0066263B" w:rsidRDefault="00324483" w:rsidP="00324483">
      <w:pPr>
        <w:spacing w:before="120"/>
        <w:jc w:val="center"/>
        <w:outlineLvl w:val="2"/>
        <w:rPr>
          <w:rFonts w:ascii="Times New Roman" w:eastAsia="TimesNewRomanPS-BoldMT" w:hAnsi="Times New Roman" w:cs="Times New Roman"/>
          <w:b/>
          <w:bCs/>
          <w:i/>
          <w:sz w:val="24"/>
          <w:szCs w:val="24"/>
        </w:rPr>
      </w:pPr>
      <w:bookmarkStart w:id="8" w:name="_Toc2253827"/>
      <w:r w:rsidRPr="0066263B">
        <w:rPr>
          <w:rFonts w:ascii="Times New Roman" w:eastAsia="TimesNewRomanPS-BoldMT" w:hAnsi="Times New Roman" w:cs="Times New Roman"/>
          <w:b/>
          <w:bCs/>
          <w:i/>
          <w:sz w:val="24"/>
          <w:szCs w:val="24"/>
        </w:rPr>
        <w:t>Анализ состояния заболеваемости в связи</w:t>
      </w:r>
      <w:r w:rsidRPr="0066263B">
        <w:rPr>
          <w:rFonts w:ascii="Times New Roman" w:eastAsia="TimesNewRomanPS-BoldMT" w:hAnsi="Times New Roman" w:cs="Times New Roman"/>
          <w:b/>
          <w:bCs/>
          <w:i/>
          <w:sz w:val="24"/>
          <w:szCs w:val="24"/>
        </w:rPr>
        <w:br/>
        <w:t>с вредным воздействием факторов среды обитания</w:t>
      </w:r>
      <w:bookmarkEnd w:id="8"/>
    </w:p>
    <w:p w:rsidR="00324483" w:rsidRPr="0066263B" w:rsidRDefault="00324483" w:rsidP="00324483">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Заболеваемость – важнейший показатель состояния общественного здоровья, характеризующий распространённость, структуру и динамику зарегистрированных болезней среди населения в целом или в отдельных его группах (возрастных, половых, территориальных, профессиональных и др.).</w:t>
      </w:r>
    </w:p>
    <w:p w:rsidR="00C60507" w:rsidRPr="0066263B" w:rsidRDefault="00C60507" w:rsidP="00324483">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Общая заболеваемость всего населения по данным обращаемости в 20</w:t>
      </w:r>
      <w:r w:rsidR="008C13AD" w:rsidRPr="0066263B">
        <w:rPr>
          <w:rFonts w:ascii="Times New Roman" w:eastAsia="Calibri" w:hAnsi="Times New Roman" w:cs="Times New Roman"/>
          <w:sz w:val="24"/>
          <w:szCs w:val="24"/>
        </w:rPr>
        <w:t>20</w:t>
      </w:r>
      <w:r w:rsidRPr="0066263B">
        <w:rPr>
          <w:rFonts w:ascii="Times New Roman" w:eastAsia="Calibri" w:hAnsi="Times New Roman" w:cs="Times New Roman"/>
          <w:sz w:val="24"/>
          <w:szCs w:val="24"/>
        </w:rPr>
        <w:t xml:space="preserve"> году составила </w:t>
      </w:r>
      <w:r w:rsidR="008C13AD" w:rsidRPr="0066263B">
        <w:rPr>
          <w:rFonts w:ascii="Times New Roman" w:eastAsia="Calibri" w:hAnsi="Times New Roman" w:cs="Times New Roman"/>
          <w:sz w:val="24"/>
          <w:szCs w:val="24"/>
        </w:rPr>
        <w:t xml:space="preserve">1 624,9 </w:t>
      </w:r>
      <w:r w:rsidRPr="0066263B">
        <w:rPr>
          <w:rFonts w:ascii="Times New Roman" w:eastAsia="Calibri" w:hAnsi="Times New Roman" w:cs="Times New Roman"/>
          <w:sz w:val="24"/>
          <w:szCs w:val="24"/>
        </w:rPr>
        <w:t>на 1000 населения, что ниже показателя 201</w:t>
      </w:r>
      <w:r w:rsidR="008C13AD" w:rsidRPr="0066263B">
        <w:rPr>
          <w:rFonts w:ascii="Times New Roman" w:eastAsia="Calibri" w:hAnsi="Times New Roman" w:cs="Times New Roman"/>
          <w:sz w:val="24"/>
          <w:szCs w:val="24"/>
        </w:rPr>
        <w:t>9</w:t>
      </w:r>
      <w:r w:rsidRPr="0066263B">
        <w:rPr>
          <w:rFonts w:ascii="Times New Roman" w:eastAsia="Calibri" w:hAnsi="Times New Roman" w:cs="Times New Roman"/>
          <w:sz w:val="24"/>
          <w:szCs w:val="24"/>
        </w:rPr>
        <w:t xml:space="preserve"> года (</w:t>
      </w:r>
      <w:r w:rsidR="008C13AD" w:rsidRPr="0066263B">
        <w:rPr>
          <w:rFonts w:ascii="Times New Roman" w:eastAsia="Calibri" w:hAnsi="Times New Roman" w:cs="Times New Roman"/>
          <w:sz w:val="24"/>
          <w:szCs w:val="24"/>
        </w:rPr>
        <w:t>1 630,7 на 1000 населения</w:t>
      </w:r>
      <w:r w:rsidRPr="0066263B">
        <w:rPr>
          <w:rFonts w:ascii="Times New Roman" w:eastAsia="Calibri" w:hAnsi="Times New Roman" w:cs="Times New Roman"/>
          <w:sz w:val="24"/>
          <w:szCs w:val="24"/>
        </w:rPr>
        <w:t xml:space="preserve">) на </w:t>
      </w:r>
      <w:r w:rsidR="008C13AD" w:rsidRPr="0066263B">
        <w:rPr>
          <w:rFonts w:ascii="Times New Roman" w:eastAsia="Calibri" w:hAnsi="Times New Roman" w:cs="Times New Roman"/>
          <w:sz w:val="24"/>
          <w:szCs w:val="24"/>
        </w:rPr>
        <w:t>0,4</w:t>
      </w:r>
      <w:r w:rsidRPr="0066263B">
        <w:rPr>
          <w:rFonts w:ascii="Times New Roman" w:eastAsia="Calibri" w:hAnsi="Times New Roman" w:cs="Times New Roman"/>
          <w:sz w:val="24"/>
          <w:szCs w:val="24"/>
        </w:rPr>
        <w:t>%. В динамике за три года показатель общей заболеваемости по области также снижается</w:t>
      </w:r>
      <w:r w:rsidR="000D45BB" w:rsidRPr="0066263B">
        <w:rPr>
          <w:rFonts w:ascii="Times New Roman" w:eastAsia="Calibri" w:hAnsi="Times New Roman" w:cs="Times New Roman"/>
          <w:sz w:val="24"/>
          <w:szCs w:val="24"/>
        </w:rPr>
        <w:t xml:space="preserve"> (табл. 55)</w:t>
      </w:r>
      <w:r w:rsidRPr="0066263B">
        <w:rPr>
          <w:rFonts w:ascii="Times New Roman" w:eastAsia="Calibri" w:hAnsi="Times New Roman" w:cs="Times New Roman"/>
          <w:sz w:val="24"/>
          <w:szCs w:val="24"/>
        </w:rPr>
        <w:t>.</w:t>
      </w:r>
    </w:p>
    <w:p w:rsidR="000677D6" w:rsidRPr="0066263B" w:rsidRDefault="000677D6" w:rsidP="000677D6">
      <w:pPr>
        <w:spacing w:before="0" w:after="0"/>
        <w:ind w:firstLine="709"/>
        <w:rPr>
          <w:rFonts w:ascii="Times New Roman" w:eastAsia="Calibri" w:hAnsi="Times New Roman" w:cs="Times New Roman"/>
          <w:sz w:val="24"/>
          <w:szCs w:val="24"/>
        </w:rPr>
      </w:pPr>
    </w:p>
    <w:p w:rsidR="000677D6" w:rsidRPr="0066263B" w:rsidRDefault="000677D6" w:rsidP="000677D6">
      <w:pPr>
        <w:spacing w:before="0" w:after="0"/>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55</w:t>
      </w:r>
      <w:r w:rsidR="006C34E2" w:rsidRPr="0066263B">
        <w:rPr>
          <w:rFonts w:ascii="Times New Roman" w:eastAsia="Calibri" w:hAnsi="Times New Roman" w:cs="Times New Roman"/>
        </w:rPr>
        <w:fldChar w:fldCharType="end"/>
      </w:r>
    </w:p>
    <w:p w:rsidR="000677D6" w:rsidRPr="0066263B" w:rsidRDefault="000677D6" w:rsidP="000677D6">
      <w:pPr>
        <w:autoSpaceDE w:val="0"/>
        <w:autoSpaceDN w:val="0"/>
        <w:adjustRightInd w:val="0"/>
        <w:spacing w:before="0" w:after="0"/>
        <w:jc w:val="center"/>
        <w:rPr>
          <w:rFonts w:ascii="Times New Roman" w:eastAsia="Calibri" w:hAnsi="Times New Roman" w:cs="Times New Roman"/>
          <w:b/>
          <w:iCs/>
          <w:lang w:eastAsia="ru-RU"/>
        </w:rPr>
      </w:pPr>
      <w:r w:rsidRPr="0066263B">
        <w:rPr>
          <w:rFonts w:ascii="Times New Roman" w:eastAsia="Calibri" w:hAnsi="Times New Roman" w:cs="Times New Roman"/>
          <w:b/>
          <w:iCs/>
          <w:lang w:eastAsia="ru-RU"/>
        </w:rPr>
        <w:t>Показатели общей заболеваемости всего населения Брянской области, на 1000 населения</w:t>
      </w:r>
    </w:p>
    <w:p w:rsidR="000677D6" w:rsidRPr="0066263B" w:rsidRDefault="000677D6" w:rsidP="000677D6">
      <w:pPr>
        <w:autoSpaceDE w:val="0"/>
        <w:autoSpaceDN w:val="0"/>
        <w:adjustRightInd w:val="0"/>
        <w:spacing w:before="0" w:after="0"/>
        <w:jc w:val="center"/>
        <w:rPr>
          <w:rFonts w:ascii="Times New Roman" w:eastAsia="Calibri" w:hAnsi="Times New Roman" w:cs="Times New Roman"/>
          <w:b/>
          <w:iCs/>
          <w:lang w:eastAsia="ru-RU"/>
        </w:rPr>
      </w:pPr>
    </w:p>
    <w:tbl>
      <w:tblPr>
        <w:tblW w:w="0" w:type="auto"/>
        <w:jc w:val="center"/>
        <w:tblInd w:w="-356" w:type="dxa"/>
        <w:tblLayout w:type="fixed"/>
        <w:tblCellMar>
          <w:left w:w="10" w:type="dxa"/>
          <w:right w:w="10" w:type="dxa"/>
        </w:tblCellMar>
        <w:tblLook w:val="0000"/>
      </w:tblPr>
      <w:tblGrid>
        <w:gridCol w:w="2338"/>
        <w:gridCol w:w="1654"/>
        <w:gridCol w:w="1654"/>
        <w:gridCol w:w="1654"/>
        <w:gridCol w:w="1910"/>
      </w:tblGrid>
      <w:tr w:rsidR="008C13AD" w:rsidRPr="0066263B" w:rsidTr="00810E7A">
        <w:trPr>
          <w:trHeight w:val="131"/>
          <w:jc w:val="center"/>
        </w:trPr>
        <w:tc>
          <w:tcPr>
            <w:tcW w:w="2338" w:type="dxa"/>
            <w:tcBorders>
              <w:top w:val="single" w:sz="4" w:space="0" w:color="auto"/>
              <w:left w:val="single" w:sz="4" w:space="0" w:color="auto"/>
              <w:right w:val="single" w:sz="4" w:space="0" w:color="auto"/>
            </w:tcBorders>
            <w:shd w:val="clear" w:color="auto" w:fill="FFFFFF"/>
            <w:vAlign w:val="center"/>
          </w:tcPr>
          <w:p w:rsidR="008C13AD" w:rsidRPr="0066263B" w:rsidRDefault="008C13AD" w:rsidP="00A84F6C">
            <w:pPr>
              <w:autoSpaceDE w:val="0"/>
              <w:autoSpaceDN w:val="0"/>
              <w:adjustRightInd w:val="0"/>
              <w:spacing w:before="20" w:after="20"/>
              <w:jc w:val="center"/>
              <w:rPr>
                <w:rFonts w:ascii="Times New Roman" w:eastAsia="Calibri" w:hAnsi="Times New Roman" w:cs="Times New Roman"/>
                <w:b/>
                <w:i/>
                <w:lang w:eastAsia="ru-RU"/>
              </w:rPr>
            </w:pPr>
          </w:p>
        </w:tc>
        <w:tc>
          <w:tcPr>
            <w:tcW w:w="1654" w:type="dxa"/>
            <w:tcBorders>
              <w:top w:val="single" w:sz="4" w:space="0" w:color="auto"/>
              <w:left w:val="single" w:sz="4" w:space="0" w:color="auto"/>
              <w:right w:val="single" w:sz="4" w:space="0" w:color="auto"/>
            </w:tcBorders>
            <w:shd w:val="clear" w:color="auto" w:fill="FFFFFF"/>
            <w:vAlign w:val="center"/>
          </w:tcPr>
          <w:p w:rsidR="008C13AD" w:rsidRPr="0066263B" w:rsidRDefault="008C13AD" w:rsidP="00810E7A">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2018</w:t>
            </w:r>
          </w:p>
        </w:tc>
        <w:tc>
          <w:tcPr>
            <w:tcW w:w="1654" w:type="dxa"/>
            <w:tcBorders>
              <w:top w:val="single" w:sz="4" w:space="0" w:color="auto"/>
              <w:left w:val="single" w:sz="4" w:space="0" w:color="auto"/>
              <w:right w:val="single" w:sz="4" w:space="0" w:color="auto"/>
            </w:tcBorders>
            <w:shd w:val="clear" w:color="auto" w:fill="FFFFFF"/>
            <w:vAlign w:val="center"/>
          </w:tcPr>
          <w:p w:rsidR="008C13AD" w:rsidRPr="0066263B" w:rsidRDefault="008C13AD" w:rsidP="00810E7A">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2019</w:t>
            </w:r>
          </w:p>
        </w:tc>
        <w:tc>
          <w:tcPr>
            <w:tcW w:w="1654" w:type="dxa"/>
            <w:tcBorders>
              <w:top w:val="single" w:sz="4" w:space="0" w:color="auto"/>
              <w:left w:val="single" w:sz="4" w:space="0" w:color="auto"/>
              <w:right w:val="single" w:sz="4" w:space="0" w:color="auto"/>
            </w:tcBorders>
            <w:shd w:val="clear" w:color="auto" w:fill="FFFFFF"/>
            <w:vAlign w:val="center"/>
          </w:tcPr>
          <w:p w:rsidR="008C13AD" w:rsidRPr="0066263B" w:rsidRDefault="008C13AD" w:rsidP="00A84F6C">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2020</w:t>
            </w:r>
          </w:p>
        </w:tc>
        <w:tc>
          <w:tcPr>
            <w:tcW w:w="1910" w:type="dxa"/>
            <w:tcBorders>
              <w:top w:val="single" w:sz="4" w:space="0" w:color="auto"/>
              <w:left w:val="single" w:sz="4" w:space="0" w:color="auto"/>
              <w:right w:val="single" w:sz="4" w:space="0" w:color="auto"/>
            </w:tcBorders>
            <w:shd w:val="clear" w:color="auto" w:fill="FFFFFF"/>
            <w:vAlign w:val="center"/>
          </w:tcPr>
          <w:p w:rsidR="008C13AD" w:rsidRPr="0066263B" w:rsidRDefault="008C13AD" w:rsidP="000677D6">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Отклонение, %</w:t>
            </w:r>
          </w:p>
        </w:tc>
      </w:tr>
      <w:tr w:rsidR="008C13AD" w:rsidRPr="0066263B" w:rsidTr="00810E7A">
        <w:trPr>
          <w:trHeight w:val="211"/>
          <w:jc w:val="center"/>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8C13AD" w:rsidRPr="0066263B" w:rsidRDefault="008C13AD" w:rsidP="00A84F6C">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Брянская область</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8C13AD" w:rsidRPr="0066263B" w:rsidRDefault="008C13AD"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1658,3</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8C13AD" w:rsidRPr="0066263B" w:rsidRDefault="008C13AD"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1630,7</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8C13AD" w:rsidRPr="0066263B" w:rsidRDefault="008C13AD" w:rsidP="00A84F6C">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1624,9</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8C13AD" w:rsidRPr="0066263B" w:rsidRDefault="008C13AD" w:rsidP="008C13AD">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w:t>
            </w:r>
          </w:p>
        </w:tc>
      </w:tr>
      <w:tr w:rsidR="008C13AD" w:rsidRPr="0066263B" w:rsidTr="00810E7A">
        <w:trPr>
          <w:trHeight w:val="285"/>
          <w:jc w:val="center"/>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8C13AD" w:rsidRPr="0066263B" w:rsidRDefault="008C13AD" w:rsidP="00A84F6C">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РФ</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8C13AD" w:rsidRPr="0066263B" w:rsidRDefault="008C13AD"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1634,3</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8C13AD" w:rsidRPr="0066263B" w:rsidRDefault="008C13AD"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1648,8</w:t>
            </w:r>
          </w:p>
        </w:tc>
        <w:tc>
          <w:tcPr>
            <w:tcW w:w="1654" w:type="dxa"/>
            <w:tcBorders>
              <w:top w:val="single" w:sz="4" w:space="0" w:color="auto"/>
              <w:left w:val="single" w:sz="4" w:space="0" w:color="auto"/>
              <w:bottom w:val="single" w:sz="4" w:space="0" w:color="auto"/>
              <w:right w:val="single" w:sz="4" w:space="0" w:color="auto"/>
            </w:tcBorders>
            <w:shd w:val="clear" w:color="auto" w:fill="FFFFFF"/>
            <w:vAlign w:val="center"/>
          </w:tcPr>
          <w:p w:rsidR="008C13AD" w:rsidRPr="0066263B" w:rsidRDefault="008C13AD" w:rsidP="00A84F6C">
            <w:pPr>
              <w:autoSpaceDE w:val="0"/>
              <w:autoSpaceDN w:val="0"/>
              <w:adjustRightInd w:val="0"/>
              <w:spacing w:before="20" w:after="20"/>
              <w:jc w:val="center"/>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н</w:t>
            </w:r>
            <w:proofErr w:type="spellEnd"/>
            <w:r w:rsidRPr="0066263B">
              <w:rPr>
                <w:rFonts w:ascii="Times New Roman" w:eastAsia="Times New Roman" w:hAnsi="Times New Roman" w:cs="Times New Roman"/>
                <w:lang w:eastAsia="ru-RU"/>
              </w:rPr>
              <w:t>/</w:t>
            </w:r>
            <w:proofErr w:type="spellStart"/>
            <w:r w:rsidRPr="0066263B">
              <w:rPr>
                <w:rFonts w:ascii="Times New Roman" w:eastAsia="Times New Roman" w:hAnsi="Times New Roman" w:cs="Times New Roman"/>
                <w:lang w:eastAsia="ru-RU"/>
              </w:rPr>
              <w:t>д</w:t>
            </w:r>
            <w:proofErr w:type="spellEnd"/>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8C13AD" w:rsidRPr="0066263B" w:rsidRDefault="008C13AD" w:rsidP="00A84F6C">
            <w:pPr>
              <w:spacing w:before="20" w:after="20"/>
              <w:jc w:val="center"/>
              <w:rPr>
                <w:rFonts w:ascii="Times New Roman" w:eastAsia="Times New Roman" w:hAnsi="Times New Roman" w:cs="Times New Roman"/>
                <w:lang w:eastAsia="ru-RU"/>
              </w:rPr>
            </w:pPr>
          </w:p>
        </w:tc>
      </w:tr>
    </w:tbl>
    <w:p w:rsidR="00A84F6C" w:rsidRPr="0066263B" w:rsidRDefault="00A84F6C" w:rsidP="000677D6">
      <w:pPr>
        <w:spacing w:before="0" w:after="0"/>
        <w:ind w:firstLine="709"/>
        <w:rPr>
          <w:rFonts w:ascii="Times New Roman" w:eastAsia="Calibri" w:hAnsi="Times New Roman" w:cs="Times New Roman"/>
          <w:sz w:val="24"/>
          <w:szCs w:val="24"/>
        </w:rPr>
      </w:pPr>
    </w:p>
    <w:p w:rsidR="008C13AD" w:rsidRPr="0066263B" w:rsidRDefault="008C13AD" w:rsidP="008C13AD">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В структуре заболеваемости всего населения первые три ранговы</w:t>
      </w:r>
      <w:r w:rsidR="00B22BBF" w:rsidRPr="0066263B">
        <w:rPr>
          <w:rFonts w:ascii="Times New Roman" w:eastAsia="Calibri" w:hAnsi="Times New Roman" w:cs="Times New Roman"/>
          <w:sz w:val="24"/>
          <w:szCs w:val="24"/>
        </w:rPr>
        <w:t>х</w:t>
      </w:r>
      <w:r w:rsidRPr="0066263B">
        <w:rPr>
          <w:rFonts w:ascii="Times New Roman" w:eastAsia="Calibri" w:hAnsi="Times New Roman" w:cs="Times New Roman"/>
          <w:sz w:val="24"/>
          <w:szCs w:val="24"/>
        </w:rPr>
        <w:t xml:space="preserve"> места последовательно занимают болезни органов дыхания (24,8%), болезни системы кровообращения (16,3%), болезни органов пищеварения (7,8%).</w:t>
      </w:r>
    </w:p>
    <w:p w:rsidR="00C23EB0" w:rsidRPr="0066263B" w:rsidRDefault="00C23EB0" w:rsidP="008C13AD">
      <w:pPr>
        <w:spacing w:before="0" w:after="0"/>
        <w:ind w:firstLine="709"/>
        <w:rPr>
          <w:rFonts w:ascii="Times New Roman" w:eastAsia="Calibri" w:hAnsi="Times New Roman" w:cs="Times New Roman"/>
          <w:sz w:val="24"/>
          <w:szCs w:val="24"/>
        </w:rPr>
      </w:pPr>
    </w:p>
    <w:p w:rsidR="008C13AD" w:rsidRPr="0066263B" w:rsidRDefault="008C13AD" w:rsidP="008C13AD">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Структура общей заболеваемости в области соответствует общероссийской. В 2020 году в сравнении с 2019 годом отмечается снижение заболеваемости по 14 классам болезней. Особое снижение показателя наблюдается по классам: болезни глаза и его придаточного аппарата (-13,6%), некоторые инфекционные и паразитарные болезни (-11,7%), болезни органов пищеварения (-11,3%), болезни уха и сосцевидного отростка (-11,1%).</w:t>
      </w:r>
    </w:p>
    <w:p w:rsidR="00C23EB0" w:rsidRPr="0066263B" w:rsidRDefault="00C23EB0" w:rsidP="008C13AD">
      <w:pPr>
        <w:spacing w:before="0" w:after="0"/>
        <w:ind w:firstLine="709"/>
        <w:rPr>
          <w:rFonts w:ascii="Times New Roman" w:eastAsia="Calibri" w:hAnsi="Times New Roman" w:cs="Times New Roman"/>
          <w:sz w:val="24"/>
          <w:szCs w:val="24"/>
        </w:rPr>
      </w:pPr>
    </w:p>
    <w:p w:rsidR="008C13AD" w:rsidRPr="0066263B" w:rsidRDefault="008C13AD" w:rsidP="008C13AD">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Рост показателя общей заболеваемости всего населения в 2020 году произошёл по трём классам болезней: симптомы, признаки и отклонения от нормы, выявленные при клинических и лабораторных исследованиях (+11,1%), болезни органов дыхания (+6,6%), травмы, отравления и некоторые другие последствия воздействия внешних причин (+0,1%) (табл. 56).</w:t>
      </w:r>
    </w:p>
    <w:p w:rsidR="008C13AD" w:rsidRPr="0066263B" w:rsidRDefault="008C13AD" w:rsidP="000677D6">
      <w:pPr>
        <w:spacing w:before="0" w:after="0"/>
        <w:ind w:firstLine="709"/>
        <w:rPr>
          <w:rFonts w:ascii="Times New Roman" w:eastAsia="Calibri" w:hAnsi="Times New Roman" w:cs="Times New Roman"/>
          <w:sz w:val="24"/>
          <w:szCs w:val="24"/>
        </w:rPr>
      </w:pPr>
    </w:p>
    <w:p w:rsidR="00C23EB0" w:rsidRPr="0066263B" w:rsidRDefault="00C23EB0">
      <w:pPr>
        <w:rPr>
          <w:rFonts w:ascii="Times New Roman" w:eastAsia="Calibri" w:hAnsi="Times New Roman" w:cs="Times New Roman"/>
          <w:sz w:val="24"/>
          <w:szCs w:val="24"/>
        </w:rPr>
      </w:pPr>
      <w:r w:rsidRPr="0066263B">
        <w:rPr>
          <w:rFonts w:ascii="Times New Roman" w:eastAsia="Calibri" w:hAnsi="Times New Roman" w:cs="Times New Roman"/>
          <w:sz w:val="24"/>
          <w:szCs w:val="24"/>
        </w:rPr>
        <w:br w:type="page"/>
      </w:r>
    </w:p>
    <w:p w:rsidR="00C23EB0" w:rsidRPr="0066263B" w:rsidRDefault="00C23EB0" w:rsidP="000677D6">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56</w:t>
      </w:r>
      <w:r w:rsidR="006C34E2" w:rsidRPr="0066263B">
        <w:rPr>
          <w:rFonts w:ascii="Times New Roman" w:eastAsia="Calibri" w:hAnsi="Times New Roman" w:cs="Times New Roman"/>
        </w:rPr>
        <w:fldChar w:fldCharType="end"/>
      </w:r>
    </w:p>
    <w:p w:rsidR="00324483" w:rsidRPr="0066263B" w:rsidRDefault="00324483" w:rsidP="00324483">
      <w:pPr>
        <w:autoSpaceDE w:val="0"/>
        <w:autoSpaceDN w:val="0"/>
        <w:adjustRightInd w:val="0"/>
        <w:spacing w:before="0" w:after="0"/>
        <w:jc w:val="center"/>
        <w:rPr>
          <w:rFonts w:ascii="Times New Roman" w:eastAsia="Calibri" w:hAnsi="Times New Roman" w:cs="Times New Roman"/>
          <w:b/>
          <w:iCs/>
          <w:lang w:eastAsia="ru-RU"/>
        </w:rPr>
      </w:pPr>
      <w:r w:rsidRPr="0066263B">
        <w:rPr>
          <w:rFonts w:ascii="Times New Roman" w:eastAsia="Calibri" w:hAnsi="Times New Roman" w:cs="Times New Roman"/>
          <w:b/>
          <w:iCs/>
          <w:lang w:eastAsia="ru-RU"/>
        </w:rPr>
        <w:t>Общая заболеваемость всего населения Брянской области, на 1000 населения</w:t>
      </w:r>
    </w:p>
    <w:p w:rsidR="00324483" w:rsidRPr="0066263B" w:rsidRDefault="00324483" w:rsidP="00324483">
      <w:pPr>
        <w:autoSpaceDE w:val="0"/>
        <w:autoSpaceDN w:val="0"/>
        <w:adjustRightInd w:val="0"/>
        <w:spacing w:before="0" w:after="0"/>
        <w:jc w:val="center"/>
        <w:rPr>
          <w:rFonts w:ascii="Times New Roman" w:eastAsia="Calibri" w:hAnsi="Times New Roman" w:cs="Times New Roman"/>
          <w:b/>
          <w:iCs/>
          <w:lang w:eastAsia="ru-RU"/>
        </w:rPr>
      </w:pPr>
    </w:p>
    <w:tbl>
      <w:tblPr>
        <w:tblW w:w="0" w:type="auto"/>
        <w:jc w:val="center"/>
        <w:tblInd w:w="-356" w:type="dxa"/>
        <w:tblLayout w:type="fixed"/>
        <w:tblCellMar>
          <w:left w:w="10" w:type="dxa"/>
          <w:right w:w="10" w:type="dxa"/>
        </w:tblCellMar>
        <w:tblLook w:val="0000"/>
      </w:tblPr>
      <w:tblGrid>
        <w:gridCol w:w="5454"/>
        <w:gridCol w:w="9"/>
        <w:gridCol w:w="1041"/>
        <w:gridCol w:w="1041"/>
        <w:gridCol w:w="9"/>
        <w:gridCol w:w="1543"/>
        <w:gridCol w:w="18"/>
      </w:tblGrid>
      <w:tr w:rsidR="005C2EFF" w:rsidRPr="0066263B" w:rsidTr="00810E7A">
        <w:trPr>
          <w:gridAfter w:val="1"/>
          <w:wAfter w:w="18" w:type="dxa"/>
          <w:trHeight w:val="807"/>
          <w:jc w:val="center"/>
        </w:trPr>
        <w:tc>
          <w:tcPr>
            <w:tcW w:w="5463" w:type="dxa"/>
            <w:gridSpan w:val="2"/>
            <w:tcBorders>
              <w:top w:val="single" w:sz="4" w:space="0" w:color="auto"/>
              <w:left w:val="single" w:sz="4" w:space="0" w:color="auto"/>
              <w:right w:val="single" w:sz="4" w:space="0" w:color="auto"/>
            </w:tcBorders>
            <w:shd w:val="clear" w:color="auto" w:fill="FFFFFF"/>
            <w:vAlign w:val="center"/>
          </w:tcPr>
          <w:p w:rsidR="005C2EFF" w:rsidRPr="0066263B" w:rsidRDefault="005C2EFF" w:rsidP="00324483">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Классы болезней МКБ-10</w:t>
            </w:r>
          </w:p>
        </w:tc>
        <w:tc>
          <w:tcPr>
            <w:tcW w:w="1041" w:type="dxa"/>
            <w:tcBorders>
              <w:top w:val="single" w:sz="4" w:space="0" w:color="auto"/>
              <w:left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2019</w:t>
            </w:r>
          </w:p>
        </w:tc>
        <w:tc>
          <w:tcPr>
            <w:tcW w:w="1041" w:type="dxa"/>
            <w:tcBorders>
              <w:top w:val="single" w:sz="4" w:space="0" w:color="auto"/>
              <w:left w:val="single" w:sz="4" w:space="0" w:color="auto"/>
              <w:right w:val="single" w:sz="4" w:space="0" w:color="auto"/>
            </w:tcBorders>
            <w:shd w:val="clear" w:color="auto" w:fill="FFFFFF"/>
            <w:vAlign w:val="center"/>
          </w:tcPr>
          <w:p w:rsidR="005C2EFF" w:rsidRPr="0066263B" w:rsidRDefault="005C2EFF" w:rsidP="000677D6">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2020</w:t>
            </w:r>
          </w:p>
        </w:tc>
        <w:tc>
          <w:tcPr>
            <w:tcW w:w="1552" w:type="dxa"/>
            <w:gridSpan w:val="2"/>
            <w:tcBorders>
              <w:top w:val="single" w:sz="4" w:space="0" w:color="auto"/>
              <w:left w:val="single" w:sz="4" w:space="0" w:color="auto"/>
              <w:right w:val="single" w:sz="4" w:space="0" w:color="auto"/>
            </w:tcBorders>
            <w:shd w:val="clear" w:color="auto" w:fill="FFFFFF"/>
            <w:vAlign w:val="center"/>
          </w:tcPr>
          <w:p w:rsidR="005C2EFF" w:rsidRPr="0066263B" w:rsidRDefault="005C2EFF" w:rsidP="005C2EFF">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Темп прироста/ убыли, %</w:t>
            </w:r>
          </w:p>
        </w:tc>
      </w:tr>
      <w:tr w:rsidR="005C2EFF" w:rsidRPr="0066263B" w:rsidTr="00810E7A">
        <w:trPr>
          <w:gridAfter w:val="1"/>
          <w:wAfter w:w="18" w:type="dxa"/>
          <w:trHeight w:val="211"/>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Всего</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1630,7</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1624,9</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w:t>
            </w:r>
          </w:p>
        </w:tc>
      </w:tr>
      <w:tr w:rsidR="005C2EFF" w:rsidRPr="0066263B" w:rsidTr="00810E7A">
        <w:trPr>
          <w:gridAfter w:val="1"/>
          <w:wAfter w:w="18" w:type="dxa"/>
          <w:trHeight w:val="285"/>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Некоторые инфекционные и паразитарные болезни</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42,0</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37,1</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-11,7</w:t>
            </w:r>
          </w:p>
        </w:tc>
      </w:tr>
      <w:tr w:rsidR="005C2EFF" w:rsidRPr="0066263B" w:rsidTr="00810E7A">
        <w:trPr>
          <w:gridAfter w:val="1"/>
          <w:wAfter w:w="18" w:type="dxa"/>
          <w:trHeight w:val="177"/>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Новообразования</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60,4</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60,2</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w:t>
            </w:r>
          </w:p>
        </w:tc>
      </w:tr>
      <w:tr w:rsidR="005C2EFF" w:rsidRPr="0066263B" w:rsidTr="00810E7A">
        <w:trPr>
          <w:gridAfter w:val="1"/>
          <w:wAfter w:w="18" w:type="dxa"/>
          <w:trHeight w:val="451"/>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крови и кроветворных органов и отдельные</w:t>
            </w:r>
            <w:r w:rsidRPr="0066263B">
              <w:rPr>
                <w:rFonts w:ascii="Times New Roman" w:eastAsia="Calibri" w:hAnsi="Times New Roman" w:cs="Times New Roman"/>
                <w:lang w:eastAsia="ru-RU"/>
              </w:rPr>
              <w:br/>
              <w:t>нарушения, вовлекающие иммунный механизм</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6,5</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6,5</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5C2EFF" w:rsidRPr="0066263B" w:rsidTr="00810E7A">
        <w:trPr>
          <w:gridAfter w:val="1"/>
          <w:wAfter w:w="18" w:type="dxa"/>
          <w:trHeight w:val="317"/>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эндокринной системы, расстройства питания, нарушения обмена веществ</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112,6</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107,4</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w:t>
            </w:r>
          </w:p>
        </w:tc>
      </w:tr>
      <w:tr w:rsidR="005C2EFF" w:rsidRPr="0066263B" w:rsidTr="00810E7A">
        <w:trPr>
          <w:gridAfter w:val="1"/>
          <w:wAfter w:w="18" w:type="dxa"/>
          <w:trHeight w:val="60"/>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Психические расстройства и расстройства поведения</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43,5</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41,1</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-5,5</w:t>
            </w:r>
          </w:p>
        </w:tc>
      </w:tr>
      <w:tr w:rsidR="005C2EFF" w:rsidRPr="0066263B" w:rsidTr="00810E7A">
        <w:trPr>
          <w:gridAfter w:val="1"/>
          <w:wAfter w:w="18" w:type="dxa"/>
          <w:trHeight w:val="173"/>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нервной системы</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56,3</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53,2</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-5,5</w:t>
            </w:r>
          </w:p>
        </w:tc>
      </w:tr>
      <w:tr w:rsidR="005C2EFF" w:rsidRPr="0066263B" w:rsidTr="00810E7A">
        <w:trPr>
          <w:gridAfter w:val="1"/>
          <w:wAfter w:w="18" w:type="dxa"/>
          <w:trHeight w:val="150"/>
          <w:jc w:val="center"/>
        </w:trPr>
        <w:tc>
          <w:tcPr>
            <w:tcW w:w="5463" w:type="dxa"/>
            <w:gridSpan w:val="2"/>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глаза и его придаточного аппарата</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98,1</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84,8</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-13,6</w:t>
            </w:r>
          </w:p>
        </w:tc>
      </w:tr>
      <w:tr w:rsidR="005C2EFF" w:rsidRPr="0066263B" w:rsidTr="00810E7A">
        <w:trPr>
          <w:trHeight w:val="125"/>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уха и сосцевидного отростка</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31,5</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28,0</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w:t>
            </w:r>
          </w:p>
        </w:tc>
      </w:tr>
      <w:tr w:rsidR="005C2EFF" w:rsidRPr="0066263B" w:rsidTr="00810E7A">
        <w:trPr>
          <w:trHeight w:val="102"/>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системы кровообращения</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267,4</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264,4</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r>
      <w:tr w:rsidR="005C2EFF" w:rsidRPr="0066263B" w:rsidTr="00810E7A">
        <w:trPr>
          <w:trHeight w:val="91"/>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органов дыхания (включая грипп, ОРВИ)</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377,8</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402,7</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w:t>
            </w:r>
          </w:p>
        </w:tc>
      </w:tr>
      <w:tr w:rsidR="005C2EFF" w:rsidRPr="0066263B" w:rsidTr="00810E7A">
        <w:trPr>
          <w:trHeight w:val="210"/>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органов пищеварения</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144,3</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128,0</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-11,3</w:t>
            </w:r>
          </w:p>
        </w:tc>
      </w:tr>
      <w:tr w:rsidR="005C2EFF" w:rsidRPr="0066263B" w:rsidTr="00810E7A">
        <w:trPr>
          <w:trHeight w:val="199"/>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кожи и подкожной клетчатки</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58,7</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54,0</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-8,0</w:t>
            </w:r>
          </w:p>
        </w:tc>
      </w:tr>
      <w:tr w:rsidR="005C2EFF" w:rsidRPr="0066263B" w:rsidTr="00810E7A">
        <w:trPr>
          <w:trHeight w:val="199"/>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костно-мышечной системы и соединительной ткани</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109,7</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112,8</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w:t>
            </w:r>
          </w:p>
        </w:tc>
      </w:tr>
      <w:tr w:rsidR="005C2EFF" w:rsidRPr="0066263B" w:rsidTr="00810E7A">
        <w:trPr>
          <w:trHeight w:val="242"/>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мочеполовой системы</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99,2</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97,0</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5C2EF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r>
      <w:tr w:rsidR="005C2EFF" w:rsidRPr="0066263B" w:rsidTr="00810E7A">
        <w:trPr>
          <w:trHeight w:val="301"/>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Врождённые аномалии (пороки развития), деформации</w:t>
            </w:r>
            <w:r w:rsidRPr="0066263B">
              <w:rPr>
                <w:rFonts w:ascii="Times New Roman" w:eastAsia="Calibri" w:hAnsi="Times New Roman" w:cs="Times New Roman"/>
                <w:lang w:eastAsia="ru-RU"/>
              </w:rPr>
              <w:br/>
              <w:t>и хромосомные нарушения</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7,6</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w:t>
            </w:r>
          </w:p>
        </w:tc>
      </w:tr>
      <w:tr w:rsidR="005C2EFF" w:rsidRPr="0066263B" w:rsidTr="00810E7A">
        <w:trPr>
          <w:trHeight w:val="526"/>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Симптомы, признаки и отклонения от нормы, выявленные при клинических и лабораторных исследованиях</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w:t>
            </w:r>
          </w:p>
        </w:tc>
      </w:tr>
      <w:tr w:rsidR="005C2EFF" w:rsidRPr="0066263B" w:rsidTr="00810E7A">
        <w:trPr>
          <w:trHeight w:val="392"/>
          <w:jc w:val="center"/>
        </w:trPr>
        <w:tc>
          <w:tcPr>
            <w:tcW w:w="5454" w:type="dxa"/>
            <w:tcBorders>
              <w:top w:val="single" w:sz="4" w:space="0" w:color="auto"/>
              <w:left w:val="single" w:sz="4" w:space="0" w:color="auto"/>
              <w:bottom w:val="single" w:sz="4" w:space="0" w:color="auto"/>
              <w:right w:val="single" w:sz="4" w:space="0" w:color="auto"/>
            </w:tcBorders>
            <w:shd w:val="clear" w:color="auto" w:fill="FFFFFF"/>
          </w:tcPr>
          <w:p w:rsidR="005C2EFF" w:rsidRPr="0066263B" w:rsidRDefault="005C2EFF"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Травмы, отравления и некоторые другие последствия воздействия внешних причин</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810E7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94,4</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A84F6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94,5</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EFF" w:rsidRPr="0066263B" w:rsidRDefault="005C2EFF"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w:t>
            </w:r>
          </w:p>
        </w:tc>
      </w:tr>
    </w:tbl>
    <w:p w:rsidR="00AC293D" w:rsidRPr="0066263B" w:rsidRDefault="00AC293D" w:rsidP="00324483">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Заболеваемость взрослого населения</w:t>
      </w:r>
    </w:p>
    <w:p w:rsidR="005C2EFF" w:rsidRPr="0066263B" w:rsidRDefault="005C2EFF" w:rsidP="005C2EFF">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В 2020 году общая заболеваемость взрослого населения выросла на 3,1%, показатель составил 1 543,3 на 1000 взрослого населения (2019 – 1 497,2 на 1000 человек взрослого населения).</w:t>
      </w:r>
      <w:r w:rsidR="0034082D" w:rsidRPr="0066263B">
        <w:rPr>
          <w:rFonts w:ascii="Times New Roman" w:eastAsia="Calibri" w:hAnsi="Times New Roman" w:cs="Times New Roman"/>
          <w:sz w:val="24"/>
          <w:szCs w:val="24"/>
        </w:rPr>
        <w:t xml:space="preserve"> В юго-западных районах области заболеваемость взрослых – 2</w:t>
      </w:r>
      <w:r w:rsidR="00936B20">
        <w:rPr>
          <w:rFonts w:ascii="Times New Roman" w:eastAsia="Calibri" w:hAnsi="Times New Roman" w:cs="Times New Roman"/>
          <w:sz w:val="24"/>
          <w:szCs w:val="24"/>
        </w:rPr>
        <w:t> </w:t>
      </w:r>
      <w:r w:rsidR="0034082D" w:rsidRPr="0066263B">
        <w:rPr>
          <w:rFonts w:ascii="Times New Roman" w:eastAsia="Calibri" w:hAnsi="Times New Roman" w:cs="Times New Roman"/>
          <w:sz w:val="24"/>
          <w:szCs w:val="24"/>
        </w:rPr>
        <w:t>013,6, что на 30,5% выше среднеобластного показателя.</w:t>
      </w:r>
    </w:p>
    <w:p w:rsidR="0034082D" w:rsidRPr="0066263B" w:rsidRDefault="0034082D" w:rsidP="0034082D">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Более высокая общая заболеваемость взрослых на территориях:</w:t>
      </w:r>
    </w:p>
    <w:p w:rsidR="0034082D" w:rsidRPr="0066263B" w:rsidRDefault="0034082D"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 Клинцы – 2</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253,8</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взрослого населения</w:t>
      </w:r>
      <w:r w:rsidRPr="0066263B">
        <w:rPr>
          <w:rFonts w:ascii="Times New Roman" w:eastAsia="Times New Roman" w:hAnsi="Times New Roman" w:cs="Times New Roman"/>
          <w:sz w:val="24"/>
          <w:szCs w:val="24"/>
          <w:lang w:eastAsia="ru-RU"/>
        </w:rPr>
        <w:t>;</w:t>
      </w:r>
    </w:p>
    <w:p w:rsidR="0034082D" w:rsidRPr="0066263B" w:rsidRDefault="0034082D"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Погарский район – 2</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231,8</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взрослого населения</w:t>
      </w:r>
      <w:r w:rsidRPr="0066263B">
        <w:rPr>
          <w:rFonts w:ascii="Times New Roman" w:eastAsia="Times New Roman" w:hAnsi="Times New Roman" w:cs="Times New Roman"/>
          <w:sz w:val="24"/>
          <w:szCs w:val="24"/>
          <w:lang w:eastAsia="ru-RU"/>
        </w:rPr>
        <w:t>;</w:t>
      </w:r>
    </w:p>
    <w:p w:rsidR="0034082D" w:rsidRPr="0066263B" w:rsidRDefault="0034082D"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Новозыбковский городской округ – 2</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002,1</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взрослого населения</w:t>
      </w:r>
      <w:r w:rsidRPr="0066263B">
        <w:rPr>
          <w:rFonts w:ascii="Times New Roman" w:eastAsia="Times New Roman" w:hAnsi="Times New Roman" w:cs="Times New Roman"/>
          <w:sz w:val="24"/>
          <w:szCs w:val="24"/>
          <w:lang w:eastAsia="ru-RU"/>
        </w:rPr>
        <w:t>;</w:t>
      </w:r>
    </w:p>
    <w:p w:rsidR="0034082D" w:rsidRPr="0066263B" w:rsidRDefault="0034082D"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Климовский район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857,8</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взрослого населения</w:t>
      </w:r>
      <w:r w:rsidRPr="0066263B">
        <w:rPr>
          <w:rFonts w:ascii="Times New Roman" w:eastAsia="Times New Roman" w:hAnsi="Times New Roman" w:cs="Times New Roman"/>
          <w:sz w:val="24"/>
          <w:szCs w:val="24"/>
          <w:lang w:eastAsia="ru-RU"/>
        </w:rPr>
        <w:t>.</w:t>
      </w:r>
    </w:p>
    <w:p w:rsidR="0034082D" w:rsidRPr="0066263B" w:rsidRDefault="0034082D" w:rsidP="0034082D">
      <w:pPr>
        <w:spacing w:before="0" w:after="0"/>
        <w:ind w:firstLine="709"/>
        <w:rPr>
          <w:rFonts w:ascii="Times New Roman" w:eastAsia="Calibri" w:hAnsi="Times New Roman" w:cs="Times New Roman"/>
          <w:sz w:val="24"/>
          <w:szCs w:val="24"/>
        </w:rPr>
      </w:pPr>
    </w:p>
    <w:p w:rsidR="0034082D" w:rsidRPr="0066263B" w:rsidRDefault="0034082D" w:rsidP="0034082D">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Более низкая общая заболеваемость взрослых на территориях:</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Жуковский район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044,8</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взрослого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Дубровский район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136,7</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взрослого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Злынковский район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165,4</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взрослого населения</w:t>
      </w:r>
      <w:r w:rsidRPr="0066263B">
        <w:rPr>
          <w:rFonts w:ascii="Times New Roman" w:eastAsia="Times New Roman" w:hAnsi="Times New Roman" w:cs="Times New Roman"/>
          <w:sz w:val="24"/>
          <w:szCs w:val="24"/>
          <w:lang w:eastAsia="ru-RU"/>
        </w:rPr>
        <w:t>;</w:t>
      </w:r>
    </w:p>
    <w:p w:rsidR="00140EBE" w:rsidRPr="0066263B" w:rsidRDefault="00140EBE"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Выгоничский район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174,7</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взрослого населения</w:t>
      </w:r>
      <w:r w:rsidR="009C5CFA" w:rsidRPr="0066263B">
        <w:rPr>
          <w:rFonts w:ascii="Times New Roman" w:eastAsia="Times New Roman" w:hAnsi="Times New Roman" w:cs="Times New Roman"/>
          <w:sz w:val="24"/>
          <w:szCs w:val="24"/>
          <w:lang w:eastAsia="ru-RU"/>
        </w:rPr>
        <w:t>.</w:t>
      </w:r>
    </w:p>
    <w:p w:rsidR="005C2EFF" w:rsidRPr="0066263B" w:rsidRDefault="005C2EFF" w:rsidP="005C2EFF">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lastRenderedPageBreak/>
        <w:t>Снижение общей заболеваемости взрослого населения отмечается по 12 классам болезней, наибольшее снижение по следующим классам: болезни глаза и его придаточного аппарата (-13,7%), некоторые инфекционные и паразитарные болезни</w:t>
      </w:r>
      <w:r w:rsidR="00936B20">
        <w:rPr>
          <w:rFonts w:ascii="Times New Roman" w:eastAsia="Calibri" w:hAnsi="Times New Roman" w:cs="Times New Roman"/>
          <w:sz w:val="24"/>
          <w:szCs w:val="24"/>
        </w:rPr>
        <w:br/>
      </w:r>
      <w:r w:rsidRPr="0066263B">
        <w:rPr>
          <w:rFonts w:ascii="Times New Roman" w:eastAsia="Calibri" w:hAnsi="Times New Roman" w:cs="Times New Roman"/>
          <w:sz w:val="24"/>
          <w:szCs w:val="24"/>
        </w:rPr>
        <w:t>(-10,9%), болезни органов пищеварения (-8,1%).</w:t>
      </w:r>
    </w:p>
    <w:p w:rsidR="005C2EFF" w:rsidRPr="0066263B" w:rsidRDefault="005C2EFF" w:rsidP="005C2EFF">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По 5 классам болезней зафиксирован рост общей заболеваемости взрослого населения. Наибольший рост показателя общей заболеваемости взрослого населения произошёл по классу болезни органов дыхания (+32,8%) (табл. 57).</w:t>
      </w:r>
    </w:p>
    <w:p w:rsidR="00096294" w:rsidRPr="0066263B" w:rsidRDefault="00096294" w:rsidP="00AC293D">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57</w:t>
      </w:r>
      <w:r w:rsidR="006C34E2" w:rsidRPr="0066263B">
        <w:rPr>
          <w:rFonts w:ascii="Times New Roman" w:eastAsia="Calibri" w:hAnsi="Times New Roman" w:cs="Times New Roman"/>
        </w:rPr>
        <w:fldChar w:fldCharType="end"/>
      </w:r>
    </w:p>
    <w:p w:rsidR="00324483" w:rsidRPr="0066263B" w:rsidRDefault="00324483" w:rsidP="00324483">
      <w:pPr>
        <w:autoSpaceDE w:val="0"/>
        <w:autoSpaceDN w:val="0"/>
        <w:adjustRightInd w:val="0"/>
        <w:spacing w:before="0" w:after="0"/>
        <w:jc w:val="center"/>
        <w:rPr>
          <w:rFonts w:ascii="Times New Roman" w:eastAsia="Calibri" w:hAnsi="Times New Roman" w:cs="Times New Roman"/>
          <w:b/>
          <w:iCs/>
          <w:lang w:eastAsia="ru-RU"/>
        </w:rPr>
      </w:pPr>
      <w:r w:rsidRPr="0066263B">
        <w:rPr>
          <w:rFonts w:ascii="Times New Roman" w:eastAsia="Calibri" w:hAnsi="Times New Roman" w:cs="Times New Roman"/>
          <w:b/>
          <w:iCs/>
          <w:lang w:eastAsia="ru-RU"/>
        </w:rPr>
        <w:t>Общая заболеваемость взрослого населения Брянской области, на 1000 населения</w:t>
      </w:r>
    </w:p>
    <w:p w:rsidR="00324483" w:rsidRPr="0066263B" w:rsidRDefault="00324483" w:rsidP="00324483">
      <w:pPr>
        <w:autoSpaceDE w:val="0"/>
        <w:autoSpaceDN w:val="0"/>
        <w:adjustRightInd w:val="0"/>
        <w:spacing w:before="0" w:after="0"/>
        <w:jc w:val="center"/>
        <w:rPr>
          <w:rFonts w:ascii="Times New Roman" w:eastAsia="Calibri" w:hAnsi="Times New Roman" w:cs="Times New Roman"/>
          <w:b/>
          <w:iCs/>
          <w:lang w:eastAsia="ru-RU"/>
        </w:rPr>
      </w:pPr>
    </w:p>
    <w:tbl>
      <w:tblPr>
        <w:tblpPr w:leftFromText="180" w:rightFromText="180" w:vertAnchor="text" w:horzAnchor="margin" w:tblpY="88"/>
        <w:tblW w:w="0" w:type="auto"/>
        <w:tblLayout w:type="fixed"/>
        <w:tblCellMar>
          <w:left w:w="10" w:type="dxa"/>
          <w:right w:w="10" w:type="dxa"/>
        </w:tblCellMar>
        <w:tblLook w:val="0000"/>
      </w:tblPr>
      <w:tblGrid>
        <w:gridCol w:w="5513"/>
        <w:gridCol w:w="992"/>
        <w:gridCol w:w="992"/>
        <w:gridCol w:w="1540"/>
      </w:tblGrid>
      <w:tr w:rsidR="0034082D" w:rsidRPr="0066263B" w:rsidTr="00810E7A">
        <w:trPr>
          <w:trHeight w:val="807"/>
        </w:trPr>
        <w:tc>
          <w:tcPr>
            <w:tcW w:w="5513" w:type="dxa"/>
            <w:tcBorders>
              <w:top w:val="single" w:sz="4" w:space="0" w:color="auto"/>
              <w:left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Классы болезней МКБ-10</w:t>
            </w:r>
          </w:p>
        </w:tc>
        <w:tc>
          <w:tcPr>
            <w:tcW w:w="992" w:type="dxa"/>
            <w:tcBorders>
              <w:top w:val="single" w:sz="4" w:space="0" w:color="auto"/>
              <w:left w:val="single" w:sz="4" w:space="0" w:color="auto"/>
              <w:right w:val="single" w:sz="4" w:space="0" w:color="auto"/>
            </w:tcBorders>
            <w:shd w:val="clear" w:color="auto" w:fill="FFFFFF"/>
            <w:vAlign w:val="center"/>
          </w:tcPr>
          <w:p w:rsidR="0034082D" w:rsidRPr="0066263B" w:rsidRDefault="0034082D" w:rsidP="0034082D">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2019</w:t>
            </w:r>
          </w:p>
        </w:tc>
        <w:tc>
          <w:tcPr>
            <w:tcW w:w="992" w:type="dxa"/>
            <w:tcBorders>
              <w:top w:val="single" w:sz="4" w:space="0" w:color="auto"/>
              <w:left w:val="single" w:sz="4" w:space="0" w:color="auto"/>
              <w:right w:val="single" w:sz="4" w:space="0" w:color="auto"/>
            </w:tcBorders>
            <w:shd w:val="clear" w:color="auto" w:fill="FFFFFF"/>
            <w:vAlign w:val="center"/>
          </w:tcPr>
          <w:p w:rsidR="0034082D" w:rsidRPr="0066263B" w:rsidRDefault="0034082D" w:rsidP="0034082D">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2020</w:t>
            </w:r>
          </w:p>
        </w:tc>
        <w:tc>
          <w:tcPr>
            <w:tcW w:w="1540" w:type="dxa"/>
            <w:tcBorders>
              <w:top w:val="single" w:sz="4" w:space="0" w:color="auto"/>
              <w:left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Темп прироста/ убыли, %</w:t>
            </w:r>
          </w:p>
        </w:tc>
      </w:tr>
      <w:tr w:rsidR="0034082D" w:rsidRPr="0066263B" w:rsidTr="00810E7A">
        <w:trPr>
          <w:trHeight w:val="211"/>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1497,2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1543,3</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w:t>
            </w:r>
          </w:p>
        </w:tc>
      </w:tr>
      <w:tr w:rsidR="0034082D" w:rsidRPr="0066263B" w:rsidTr="00810E7A">
        <w:trPr>
          <w:trHeight w:val="285"/>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Некоторые инфекционные и паразитарные болезни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32,0</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-10,9</w:t>
            </w:r>
          </w:p>
        </w:tc>
      </w:tr>
      <w:tr w:rsidR="0034082D" w:rsidRPr="0066263B" w:rsidTr="00810E7A">
        <w:trPr>
          <w:trHeight w:val="177"/>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Новообразования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71,7</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w:t>
            </w:r>
          </w:p>
        </w:tc>
      </w:tr>
      <w:tr w:rsidR="0034082D" w:rsidRPr="0066263B" w:rsidTr="00810E7A">
        <w:trPr>
          <w:trHeight w:val="451"/>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крови и кроветворных органов и отдельные</w:t>
            </w:r>
            <w:r w:rsidRPr="0066263B">
              <w:rPr>
                <w:rFonts w:ascii="Times New Roman" w:eastAsia="Calibri" w:hAnsi="Times New Roman" w:cs="Times New Roman"/>
                <w:lang w:eastAsia="ru-RU"/>
              </w:rPr>
              <w:br/>
              <w:t>нарушения, вовлекающие иммунный механизм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8,5</w:t>
            </w:r>
          </w:p>
        </w:tc>
      </w:tr>
      <w:tr w:rsidR="0034082D" w:rsidRPr="0066263B" w:rsidTr="00810E7A">
        <w:trPr>
          <w:trHeight w:val="317"/>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эндокринной системы, расстройства питания, нарушения обмена веществ</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119,5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114,6</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w:t>
            </w:r>
          </w:p>
        </w:tc>
      </w:tr>
      <w:tr w:rsidR="0034082D" w:rsidRPr="0066263B" w:rsidTr="00810E7A">
        <w:trPr>
          <w:trHeight w:val="60"/>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Психические расстройства и расстройства поведения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45,9</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w:t>
            </w:r>
          </w:p>
        </w:tc>
      </w:tr>
      <w:tr w:rsidR="0034082D" w:rsidRPr="0066263B" w:rsidTr="00810E7A">
        <w:trPr>
          <w:trHeight w:val="173"/>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нервной системы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49,8</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w:t>
            </w:r>
          </w:p>
        </w:tc>
      </w:tr>
      <w:tr w:rsidR="0034082D" w:rsidRPr="0066263B" w:rsidTr="00810E7A">
        <w:trPr>
          <w:trHeight w:val="150"/>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глаза и его придаточного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89,5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77,2</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-13,7</w:t>
            </w:r>
          </w:p>
        </w:tc>
      </w:tr>
      <w:tr w:rsidR="0034082D" w:rsidRPr="0066263B" w:rsidTr="00810E7A">
        <w:trPr>
          <w:trHeight w:val="150"/>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уха и сосцевидного отростка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29,2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27,7</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w:t>
            </w:r>
          </w:p>
        </w:tc>
      </w:tr>
      <w:tr w:rsidR="0034082D" w:rsidRPr="0066263B" w:rsidTr="00810E7A">
        <w:trPr>
          <w:trHeight w:val="125"/>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системы кровообращения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319,8</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w:t>
            </w:r>
          </w:p>
        </w:tc>
      </w:tr>
      <w:tr w:rsidR="0034082D" w:rsidRPr="0066263B" w:rsidTr="00810E7A">
        <w:trPr>
          <w:trHeight w:val="125"/>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органов дыхания (включая грипп, ОРВИ)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243,5</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32,8</w:t>
            </w:r>
          </w:p>
        </w:tc>
      </w:tr>
      <w:tr w:rsidR="0034082D" w:rsidRPr="0066263B" w:rsidTr="00810E7A">
        <w:trPr>
          <w:trHeight w:val="102"/>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органов пищеварения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129,3</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-8,1</w:t>
            </w:r>
          </w:p>
        </w:tc>
      </w:tr>
      <w:tr w:rsidR="0034082D" w:rsidRPr="0066263B" w:rsidTr="00810E7A">
        <w:trPr>
          <w:trHeight w:val="102"/>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кожи и подкожной клетчатки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46,3</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w:t>
            </w:r>
          </w:p>
        </w:tc>
      </w:tr>
      <w:tr w:rsidR="0034082D" w:rsidRPr="0066263B" w:rsidTr="00810E7A">
        <w:trPr>
          <w:trHeight w:val="102"/>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костно-мышечной системы и соединительной ткани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125,8</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w:t>
            </w:r>
          </w:p>
        </w:tc>
      </w:tr>
      <w:tr w:rsidR="0034082D" w:rsidRPr="0066263B" w:rsidTr="00810E7A">
        <w:trPr>
          <w:trHeight w:val="102"/>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мочеполовой системы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108,0</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w:t>
            </w:r>
          </w:p>
        </w:tc>
      </w:tr>
      <w:tr w:rsidR="0034082D" w:rsidRPr="0066263B" w:rsidTr="00810E7A">
        <w:trPr>
          <w:trHeight w:val="91"/>
        </w:trPr>
        <w:tc>
          <w:tcPr>
            <w:tcW w:w="5513"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Врождённые аномалии (пороки развития), деформации и хромосомные нарушения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-7,7</w:t>
            </w:r>
          </w:p>
        </w:tc>
      </w:tr>
      <w:tr w:rsidR="0034082D" w:rsidRPr="0066263B" w:rsidTr="00810E7A">
        <w:trPr>
          <w:trHeight w:val="210"/>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Симптомы, признаки и отклонения от нормы, выявленные при клинических и лабораторных исследованиях</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18,2</w:t>
            </w:r>
          </w:p>
        </w:tc>
      </w:tr>
      <w:tr w:rsidR="0034082D" w:rsidRPr="0066263B" w:rsidTr="00810E7A">
        <w:trPr>
          <w:trHeight w:val="210"/>
        </w:trPr>
        <w:tc>
          <w:tcPr>
            <w:tcW w:w="5513" w:type="dxa"/>
            <w:tcBorders>
              <w:top w:val="single" w:sz="4" w:space="0" w:color="auto"/>
              <w:left w:val="single" w:sz="4" w:space="0" w:color="auto"/>
              <w:bottom w:val="single" w:sz="4" w:space="0" w:color="auto"/>
              <w:right w:val="single" w:sz="4" w:space="0" w:color="auto"/>
            </w:tcBorders>
            <w:shd w:val="clear" w:color="auto" w:fill="FFFFFF"/>
          </w:tcPr>
          <w:p w:rsidR="0034082D" w:rsidRPr="0066263B" w:rsidRDefault="0034082D" w:rsidP="0034082D">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Травмы, отравления и некоторые другие последствия воздействия внешних причин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91,5</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34082D" w:rsidRPr="0066263B" w:rsidRDefault="0034082D" w:rsidP="0034082D">
            <w:pPr>
              <w:tabs>
                <w:tab w:val="left" w:pos="1881"/>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w:t>
            </w:r>
          </w:p>
        </w:tc>
      </w:tr>
    </w:tbl>
    <w:p w:rsidR="00324483" w:rsidRPr="0066263B" w:rsidRDefault="00324483" w:rsidP="00324483">
      <w:pPr>
        <w:spacing w:before="0" w:after="0"/>
        <w:ind w:firstLine="709"/>
        <w:rPr>
          <w:rFonts w:ascii="Times New Roman" w:eastAsia="TimesNewRomanPSMT" w:hAnsi="Times New Roman" w:cs="Times New Roman"/>
          <w:sz w:val="24"/>
          <w:szCs w:val="24"/>
        </w:rPr>
      </w:pPr>
    </w:p>
    <w:p w:rsidR="00096294" w:rsidRPr="0066263B" w:rsidRDefault="00096294" w:rsidP="00096294">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Показатель первичной заболеваемости взрослого населения за 20</w:t>
      </w:r>
      <w:r w:rsidR="00140EBE" w:rsidRPr="0066263B">
        <w:rPr>
          <w:rFonts w:ascii="Times New Roman" w:eastAsia="Calibri" w:hAnsi="Times New Roman" w:cs="Times New Roman"/>
          <w:sz w:val="24"/>
          <w:szCs w:val="24"/>
        </w:rPr>
        <w:t>20</w:t>
      </w:r>
      <w:r w:rsidRPr="0066263B">
        <w:rPr>
          <w:rFonts w:ascii="Times New Roman" w:eastAsia="Calibri" w:hAnsi="Times New Roman" w:cs="Times New Roman"/>
          <w:sz w:val="24"/>
          <w:szCs w:val="24"/>
        </w:rPr>
        <w:t xml:space="preserve"> год составил – </w:t>
      </w:r>
      <w:r w:rsidR="00140EBE" w:rsidRPr="0066263B">
        <w:rPr>
          <w:rFonts w:ascii="Times New Roman" w:eastAsia="Calibri" w:hAnsi="Times New Roman" w:cs="Times New Roman"/>
          <w:sz w:val="24"/>
          <w:szCs w:val="24"/>
        </w:rPr>
        <w:t>613,6</w:t>
      </w:r>
      <w:r w:rsidRPr="0066263B">
        <w:rPr>
          <w:rFonts w:ascii="Times New Roman" w:eastAsia="Calibri" w:hAnsi="Times New Roman" w:cs="Times New Roman"/>
          <w:sz w:val="24"/>
          <w:szCs w:val="24"/>
        </w:rPr>
        <w:t xml:space="preserve"> на 1000 взрослого населения, что на </w:t>
      </w:r>
      <w:r w:rsidR="00140EBE" w:rsidRPr="0066263B">
        <w:rPr>
          <w:rFonts w:ascii="Times New Roman" w:eastAsia="Calibri" w:hAnsi="Times New Roman" w:cs="Times New Roman"/>
          <w:sz w:val="24"/>
          <w:szCs w:val="24"/>
        </w:rPr>
        <w:t>12,8</w:t>
      </w:r>
      <w:r w:rsidRPr="0066263B">
        <w:rPr>
          <w:rFonts w:ascii="Times New Roman" w:eastAsia="Calibri" w:hAnsi="Times New Roman" w:cs="Times New Roman"/>
          <w:sz w:val="24"/>
          <w:szCs w:val="24"/>
        </w:rPr>
        <w:t>% выше показателя за 201</w:t>
      </w:r>
      <w:r w:rsidR="00140EBE" w:rsidRPr="0066263B">
        <w:rPr>
          <w:rFonts w:ascii="Times New Roman" w:eastAsia="Calibri" w:hAnsi="Times New Roman" w:cs="Times New Roman"/>
          <w:sz w:val="24"/>
          <w:szCs w:val="24"/>
        </w:rPr>
        <w:t>9</w:t>
      </w:r>
      <w:r w:rsidRPr="0066263B">
        <w:rPr>
          <w:rFonts w:ascii="Times New Roman" w:eastAsia="Calibri" w:hAnsi="Times New Roman" w:cs="Times New Roman"/>
          <w:sz w:val="24"/>
          <w:szCs w:val="24"/>
        </w:rPr>
        <w:t xml:space="preserve"> год (</w:t>
      </w:r>
      <w:r w:rsidR="00140EBE" w:rsidRPr="0066263B">
        <w:rPr>
          <w:rFonts w:ascii="Times New Roman" w:eastAsia="Calibri" w:hAnsi="Times New Roman" w:cs="Times New Roman"/>
          <w:sz w:val="24"/>
          <w:szCs w:val="24"/>
        </w:rPr>
        <w:t>544,2</w:t>
      </w:r>
      <w:r w:rsidR="0075515F" w:rsidRPr="0066263B">
        <w:rPr>
          <w:rFonts w:ascii="Times New Roman" w:eastAsia="Calibri" w:hAnsi="Times New Roman" w:cs="Times New Roman"/>
          <w:sz w:val="24"/>
          <w:szCs w:val="24"/>
        </w:rPr>
        <w:t xml:space="preserve"> на 1000 взрослого населения</w:t>
      </w:r>
      <w:r w:rsidRPr="0066263B">
        <w:rPr>
          <w:rFonts w:ascii="Times New Roman" w:eastAsia="Calibri" w:hAnsi="Times New Roman" w:cs="Times New Roman"/>
          <w:sz w:val="24"/>
          <w:szCs w:val="24"/>
        </w:rPr>
        <w:t>).</w:t>
      </w:r>
    </w:p>
    <w:p w:rsidR="00096294" w:rsidRPr="0066263B" w:rsidRDefault="00096294">
      <w:pPr>
        <w:rPr>
          <w:rFonts w:ascii="Times New Roman" w:eastAsia="TimesNewRomanPSMT" w:hAnsi="Times New Roman" w:cs="Times New Roman"/>
          <w:i/>
          <w:sz w:val="24"/>
          <w:szCs w:val="24"/>
        </w:rPr>
      </w:pPr>
      <w:r w:rsidRPr="0066263B">
        <w:rPr>
          <w:rFonts w:ascii="Times New Roman" w:eastAsia="TimesNewRomanPSMT" w:hAnsi="Times New Roman" w:cs="Times New Roman"/>
          <w:i/>
          <w:sz w:val="24"/>
          <w:szCs w:val="24"/>
        </w:rPr>
        <w:br w:type="page"/>
      </w:r>
    </w:p>
    <w:p w:rsidR="00324483" w:rsidRPr="0066263B" w:rsidRDefault="00324483" w:rsidP="00324483">
      <w:pPr>
        <w:spacing w:before="0" w:after="0"/>
        <w:jc w:val="center"/>
        <w:rPr>
          <w:rFonts w:ascii="Times New Roman" w:eastAsia="TimesNewRomanPSMT" w:hAnsi="Times New Roman" w:cs="Times New Roman"/>
          <w:i/>
          <w:sz w:val="24"/>
          <w:szCs w:val="24"/>
        </w:rPr>
      </w:pPr>
      <w:r w:rsidRPr="0066263B">
        <w:rPr>
          <w:rFonts w:ascii="Times New Roman" w:eastAsia="TimesNewRomanPSMT" w:hAnsi="Times New Roman" w:cs="Times New Roman"/>
          <w:i/>
          <w:sz w:val="24"/>
          <w:szCs w:val="24"/>
        </w:rPr>
        <w:lastRenderedPageBreak/>
        <w:t>Заболеваемость детского населения</w:t>
      </w:r>
    </w:p>
    <w:p w:rsidR="00324483" w:rsidRPr="0066263B" w:rsidRDefault="00324483" w:rsidP="00324483">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Ранняя выявляемость и профилактика детской заболеваемости была и остаётся одной из основных задач здравоохранения области.</w:t>
      </w:r>
    </w:p>
    <w:p w:rsidR="00140EBE" w:rsidRPr="0066263B" w:rsidRDefault="00140EBE" w:rsidP="00140EBE">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Общая заболеваемость детского населения в 2020 году снизилась на 10,4% и составила 1 973,4 на 1000 детского населения (2019 – 2 201,7 на 1000 детского населения 0-17 лет).</w:t>
      </w:r>
    </w:p>
    <w:p w:rsidR="00B76141" w:rsidRPr="0066263B" w:rsidRDefault="00B76141" w:rsidP="00B7614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Первичная заболеваемость детей за 2020 год составила 1 422,2 на 1000 детского населения, что на 16,9% ниже показателя 2019 года (1 711,0 на 1000 детского населения).</w:t>
      </w:r>
    </w:p>
    <w:p w:rsidR="00140EBE" w:rsidRPr="0066263B" w:rsidRDefault="00140EBE" w:rsidP="00B6066B">
      <w:pPr>
        <w:spacing w:before="0" w:after="0"/>
        <w:ind w:firstLine="709"/>
        <w:rPr>
          <w:rFonts w:ascii="Times New Roman" w:eastAsia="Calibri" w:hAnsi="Times New Roman" w:cs="Times New Roman"/>
          <w:sz w:val="24"/>
          <w:szCs w:val="24"/>
        </w:rPr>
      </w:pPr>
    </w:p>
    <w:p w:rsidR="00B6066B" w:rsidRPr="0066263B" w:rsidRDefault="00B6066B" w:rsidP="00B6066B">
      <w:pPr>
        <w:spacing w:before="0" w:after="0"/>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58</w:t>
      </w:r>
      <w:r w:rsidR="006C34E2" w:rsidRPr="0066263B">
        <w:rPr>
          <w:rFonts w:ascii="Times New Roman" w:eastAsia="Calibri" w:hAnsi="Times New Roman" w:cs="Times New Roman"/>
        </w:rPr>
        <w:fldChar w:fldCharType="end"/>
      </w:r>
    </w:p>
    <w:p w:rsidR="00B6066B" w:rsidRPr="0066263B" w:rsidRDefault="00B6066B" w:rsidP="00B6066B">
      <w:pPr>
        <w:autoSpaceDE w:val="0"/>
        <w:autoSpaceDN w:val="0"/>
        <w:adjustRightInd w:val="0"/>
        <w:spacing w:before="0" w:after="0"/>
        <w:jc w:val="center"/>
        <w:rPr>
          <w:rFonts w:ascii="Times New Roman" w:eastAsia="Calibri" w:hAnsi="Times New Roman" w:cs="Times New Roman"/>
          <w:b/>
          <w:iCs/>
          <w:lang w:eastAsia="ru-RU"/>
        </w:rPr>
      </w:pPr>
      <w:r w:rsidRPr="0066263B">
        <w:rPr>
          <w:rFonts w:ascii="Times New Roman" w:eastAsia="Calibri" w:hAnsi="Times New Roman" w:cs="Times New Roman"/>
          <w:b/>
          <w:iCs/>
          <w:lang w:eastAsia="ru-RU"/>
        </w:rPr>
        <w:t>Заболеваемость детей Брянской области, на 1000 детского населения</w:t>
      </w:r>
    </w:p>
    <w:p w:rsidR="00B6066B" w:rsidRPr="0066263B" w:rsidRDefault="00B6066B" w:rsidP="00B6066B">
      <w:pPr>
        <w:autoSpaceDE w:val="0"/>
        <w:autoSpaceDN w:val="0"/>
        <w:adjustRightInd w:val="0"/>
        <w:spacing w:before="0" w:after="0"/>
        <w:ind w:firstLine="709"/>
        <w:jc w:val="center"/>
        <w:rPr>
          <w:rFonts w:ascii="Times New Roman" w:eastAsia="Calibri" w:hAnsi="Times New Roman" w:cs="Times New Roman"/>
          <w:b/>
          <w:iCs/>
          <w:lang w:eastAsia="ru-RU"/>
        </w:rPr>
      </w:pPr>
    </w:p>
    <w:tbl>
      <w:tblPr>
        <w:tblW w:w="90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039"/>
        <w:gridCol w:w="1039"/>
        <w:gridCol w:w="1039"/>
        <w:gridCol w:w="1039"/>
        <w:gridCol w:w="1039"/>
        <w:gridCol w:w="1039"/>
      </w:tblGrid>
      <w:tr w:rsidR="00140EBE" w:rsidRPr="0066263B" w:rsidTr="00810E7A">
        <w:trPr>
          <w:trHeight w:val="157"/>
        </w:trPr>
        <w:tc>
          <w:tcPr>
            <w:tcW w:w="2835" w:type="dxa"/>
            <w:vAlign w:val="center"/>
          </w:tcPr>
          <w:p w:rsidR="00140EBE" w:rsidRPr="0066263B" w:rsidRDefault="00140EBE" w:rsidP="007A33EE">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Показатель</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2015</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2016</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2017</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2018</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2019</w:t>
            </w:r>
          </w:p>
        </w:tc>
        <w:tc>
          <w:tcPr>
            <w:tcW w:w="1039" w:type="dxa"/>
            <w:vAlign w:val="center"/>
          </w:tcPr>
          <w:p w:rsidR="00140EBE" w:rsidRPr="0066263B" w:rsidRDefault="00140EBE" w:rsidP="007A33EE">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2020</w:t>
            </w:r>
          </w:p>
        </w:tc>
      </w:tr>
      <w:tr w:rsidR="00140EBE" w:rsidRPr="0066263B" w:rsidTr="00810E7A">
        <w:trPr>
          <w:trHeight w:val="157"/>
        </w:trPr>
        <w:tc>
          <w:tcPr>
            <w:tcW w:w="2835" w:type="dxa"/>
          </w:tcPr>
          <w:p w:rsidR="00140EBE" w:rsidRPr="0066263B" w:rsidRDefault="00140EBE" w:rsidP="007A33EE">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Общая заболеваемость</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Calibri" w:hAnsi="Times New Roman" w:cs="Times New Roman"/>
              </w:rPr>
              <w:t>2340,3</w:t>
            </w:r>
          </w:p>
        </w:tc>
        <w:tc>
          <w:tcPr>
            <w:tcW w:w="1039" w:type="dxa"/>
          </w:tcPr>
          <w:p w:rsidR="00140EBE" w:rsidRPr="0066263B" w:rsidRDefault="00140EBE" w:rsidP="00810E7A">
            <w:pPr>
              <w:autoSpaceDE w:val="0"/>
              <w:autoSpaceDN w:val="0"/>
              <w:adjustRightInd w:val="0"/>
              <w:spacing w:before="20" w:after="20"/>
              <w:jc w:val="center"/>
              <w:rPr>
                <w:rFonts w:ascii="Times New Roman" w:eastAsia="Calibri" w:hAnsi="Times New Roman" w:cs="Times New Roman"/>
              </w:rPr>
            </w:pPr>
            <w:r w:rsidRPr="0066263B">
              <w:rPr>
                <w:rFonts w:ascii="Times New Roman" w:eastAsia="Times New Roman" w:hAnsi="Times New Roman" w:cs="Times New Roman"/>
                <w:lang w:eastAsia="ru-RU"/>
              </w:rPr>
              <w:t>2392,5</w:t>
            </w:r>
          </w:p>
        </w:tc>
        <w:tc>
          <w:tcPr>
            <w:tcW w:w="1039" w:type="dxa"/>
          </w:tcPr>
          <w:p w:rsidR="00140EBE" w:rsidRPr="0066263B" w:rsidRDefault="00140EBE"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2322,0</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2262,2</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2201,7</w:t>
            </w:r>
          </w:p>
        </w:tc>
        <w:tc>
          <w:tcPr>
            <w:tcW w:w="1039" w:type="dxa"/>
          </w:tcPr>
          <w:p w:rsidR="00140EBE" w:rsidRPr="0066263B" w:rsidRDefault="00140EBE" w:rsidP="007A33EE">
            <w:pPr>
              <w:autoSpaceDE w:val="0"/>
              <w:autoSpaceDN w:val="0"/>
              <w:adjustRightInd w:val="0"/>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1973,4</w:t>
            </w:r>
          </w:p>
        </w:tc>
      </w:tr>
      <w:tr w:rsidR="00140EBE" w:rsidRPr="0066263B" w:rsidTr="00810E7A">
        <w:trPr>
          <w:trHeight w:val="157"/>
        </w:trPr>
        <w:tc>
          <w:tcPr>
            <w:tcW w:w="2835" w:type="dxa"/>
          </w:tcPr>
          <w:p w:rsidR="00140EBE" w:rsidRPr="0066263B" w:rsidRDefault="00140EBE" w:rsidP="007A33EE">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Первичная заболеваемость</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1810,6</w:t>
            </w:r>
          </w:p>
        </w:tc>
        <w:tc>
          <w:tcPr>
            <w:tcW w:w="1039" w:type="dxa"/>
          </w:tcPr>
          <w:p w:rsidR="00140EBE" w:rsidRPr="0066263B" w:rsidRDefault="00140EBE"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1837,6</w:t>
            </w:r>
          </w:p>
        </w:tc>
        <w:tc>
          <w:tcPr>
            <w:tcW w:w="1039" w:type="dxa"/>
          </w:tcPr>
          <w:p w:rsidR="00140EBE" w:rsidRPr="0066263B" w:rsidRDefault="00140EBE"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1797,0</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1777,2</w:t>
            </w:r>
          </w:p>
        </w:tc>
        <w:tc>
          <w:tcPr>
            <w:tcW w:w="1039" w:type="dxa"/>
            <w:vAlign w:val="center"/>
          </w:tcPr>
          <w:p w:rsidR="00140EBE" w:rsidRPr="0066263B" w:rsidRDefault="00140EBE"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1711,0</w:t>
            </w:r>
          </w:p>
        </w:tc>
        <w:tc>
          <w:tcPr>
            <w:tcW w:w="1039" w:type="dxa"/>
          </w:tcPr>
          <w:p w:rsidR="00140EBE" w:rsidRPr="0066263B" w:rsidRDefault="00140EBE" w:rsidP="007A33EE">
            <w:pPr>
              <w:autoSpaceDE w:val="0"/>
              <w:autoSpaceDN w:val="0"/>
              <w:adjustRightInd w:val="0"/>
              <w:spacing w:before="20" w:after="20"/>
              <w:jc w:val="center"/>
              <w:rPr>
                <w:rFonts w:ascii="Times New Roman" w:eastAsia="Calibri" w:hAnsi="Times New Roman" w:cs="Times New Roman"/>
                <w:lang w:eastAsia="ru-RU"/>
              </w:rPr>
            </w:pPr>
            <w:r w:rsidRPr="0066263B">
              <w:rPr>
                <w:rFonts w:ascii="Times New Roman" w:eastAsia="Calibri" w:hAnsi="Times New Roman" w:cs="Times New Roman"/>
                <w:lang w:eastAsia="ru-RU"/>
              </w:rPr>
              <w:t>1422,2</w:t>
            </w:r>
          </w:p>
        </w:tc>
      </w:tr>
    </w:tbl>
    <w:p w:rsidR="00B6066B" w:rsidRPr="0066263B" w:rsidRDefault="00B6066B" w:rsidP="00B6066B">
      <w:pPr>
        <w:spacing w:before="0" w:after="0"/>
        <w:ind w:firstLine="709"/>
        <w:rPr>
          <w:rFonts w:ascii="Times New Roman" w:eastAsia="TimesNewRomanPSMT" w:hAnsi="Times New Roman" w:cs="Times New Roman"/>
          <w:sz w:val="24"/>
          <w:szCs w:val="24"/>
        </w:rPr>
      </w:pPr>
    </w:p>
    <w:p w:rsidR="00B6066B" w:rsidRPr="0066263B" w:rsidRDefault="00B6066B" w:rsidP="00B6066B">
      <w:pPr>
        <w:spacing w:before="0" w:after="0"/>
        <w:ind w:firstLine="709"/>
        <w:rPr>
          <w:rFonts w:ascii="Times New Roman" w:eastAsia="TimesNewRomanPSMT" w:hAnsi="Times New Roman" w:cs="Times New Roman"/>
          <w:sz w:val="24"/>
          <w:szCs w:val="24"/>
        </w:rPr>
      </w:pPr>
    </w:p>
    <w:p w:rsidR="00B6066B" w:rsidRPr="0066263B" w:rsidRDefault="00B6066B" w:rsidP="00B6066B">
      <w:pPr>
        <w:spacing w:before="0" w:after="0"/>
        <w:jc w:val="center"/>
        <w:rPr>
          <w:rFonts w:ascii="Times New Roman" w:eastAsia="Calibri" w:hAnsi="Times New Roman" w:cs="Times New Roman"/>
          <w:sz w:val="24"/>
          <w:szCs w:val="24"/>
        </w:rPr>
      </w:pPr>
      <w:r w:rsidRPr="0066263B">
        <w:rPr>
          <w:rFonts w:ascii="Times New Roman" w:eastAsia="Times New Roman" w:hAnsi="Times New Roman" w:cs="Times New Roman"/>
          <w:noProof/>
          <w:sz w:val="24"/>
          <w:szCs w:val="24"/>
          <w:lang w:eastAsia="ru-RU"/>
        </w:rPr>
        <w:drawing>
          <wp:inline distT="0" distB="0" distL="0" distR="0">
            <wp:extent cx="5740400" cy="3073400"/>
            <wp:effectExtent l="0" t="0" r="0" b="0"/>
            <wp:docPr id="1"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6066B" w:rsidRPr="0066263B" w:rsidRDefault="00B6066B" w:rsidP="00B6066B">
      <w:pPr>
        <w:spacing w:before="0" w:after="0"/>
        <w:jc w:val="center"/>
        <w:rPr>
          <w:rFonts w:ascii="Times New Roman" w:eastAsia="Calibri" w:hAnsi="Times New Roman" w:cs="Times New Roman"/>
          <w:sz w:val="24"/>
          <w:szCs w:val="24"/>
        </w:rPr>
      </w:pPr>
      <w:r w:rsidRPr="0066263B">
        <w:rPr>
          <w:rFonts w:ascii="Times New Roman" w:eastAsia="Calibri" w:hAnsi="Times New Roman" w:cs="Times New Roman"/>
          <w:b/>
        </w:rPr>
        <w:t xml:space="preserve">Рис. </w:t>
      </w:r>
      <w:r w:rsidR="006C34E2" w:rsidRPr="0066263B">
        <w:rPr>
          <w:rFonts w:ascii="Times New Roman" w:eastAsia="Calibri" w:hAnsi="Times New Roman" w:cs="Times New Roman"/>
          <w:b/>
        </w:rPr>
        <w:fldChar w:fldCharType="begin"/>
      </w:r>
      <w:r w:rsidRPr="0066263B">
        <w:rPr>
          <w:rFonts w:ascii="Times New Roman" w:eastAsia="Calibri" w:hAnsi="Times New Roman" w:cs="Times New Roman"/>
          <w:b/>
        </w:rPr>
        <w:instrText xml:space="preserve"> SEQ Рис._№ \* ARABIC </w:instrText>
      </w:r>
      <w:r w:rsidR="006C34E2" w:rsidRPr="0066263B">
        <w:rPr>
          <w:rFonts w:ascii="Times New Roman" w:eastAsia="Calibri" w:hAnsi="Times New Roman" w:cs="Times New Roman"/>
          <w:b/>
        </w:rPr>
        <w:fldChar w:fldCharType="separate"/>
      </w:r>
      <w:r w:rsidR="00EC1D99">
        <w:rPr>
          <w:rFonts w:ascii="Times New Roman" w:eastAsia="Calibri" w:hAnsi="Times New Roman" w:cs="Times New Roman"/>
          <w:b/>
          <w:noProof/>
        </w:rPr>
        <w:t>52</w:t>
      </w:r>
      <w:r w:rsidR="006C34E2" w:rsidRPr="0066263B">
        <w:rPr>
          <w:rFonts w:ascii="Times New Roman" w:eastAsia="Calibri" w:hAnsi="Times New Roman" w:cs="Times New Roman"/>
          <w:b/>
        </w:rPr>
        <w:fldChar w:fldCharType="end"/>
      </w:r>
      <w:r w:rsidRPr="0066263B">
        <w:rPr>
          <w:rFonts w:ascii="Times New Roman" w:eastAsia="TimesNewRomanPSMT" w:hAnsi="Times New Roman" w:cs="Times New Roman"/>
          <w:b/>
        </w:rPr>
        <w:t>.</w:t>
      </w:r>
      <w:r w:rsidRPr="0066263B">
        <w:rPr>
          <w:rFonts w:ascii="Times New Roman" w:eastAsia="TimesNewRomanPS-BoldMT" w:hAnsi="Times New Roman" w:cs="Times New Roman"/>
          <w:b/>
          <w:bCs/>
        </w:rPr>
        <w:t xml:space="preserve"> </w:t>
      </w:r>
      <w:r w:rsidRPr="0066263B">
        <w:rPr>
          <w:rFonts w:ascii="Times New Roman" w:eastAsia="TimesNewRomanPS-BoldMT" w:hAnsi="Times New Roman" w:cs="Times New Roman"/>
          <w:bCs/>
        </w:rPr>
        <w:t>Общая и первичная заболеваемость детского населения в возрасте 0-14 лет</w:t>
      </w:r>
      <w:r w:rsidRPr="0066263B">
        <w:rPr>
          <w:rFonts w:ascii="Times New Roman" w:eastAsia="TimesNewRomanPS-BoldMT" w:hAnsi="Times New Roman" w:cs="Times New Roman"/>
          <w:bCs/>
        </w:rPr>
        <w:br/>
        <w:t>Брянской области, на 1000 детского населения</w:t>
      </w:r>
    </w:p>
    <w:p w:rsidR="00B76141" w:rsidRPr="0066263B" w:rsidRDefault="00B76141" w:rsidP="00B6066B">
      <w:pPr>
        <w:spacing w:before="0" w:after="0"/>
        <w:ind w:firstLine="709"/>
        <w:rPr>
          <w:rFonts w:ascii="Times New Roman" w:eastAsia="Calibri" w:hAnsi="Times New Roman" w:cs="Times New Roman"/>
          <w:sz w:val="24"/>
          <w:szCs w:val="24"/>
        </w:rPr>
      </w:pPr>
    </w:p>
    <w:p w:rsidR="00810E7A" w:rsidRPr="0066263B" w:rsidRDefault="00810E7A" w:rsidP="00810E7A">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Общая заболеваемость детей (0-14 лет)</w:t>
      </w:r>
      <w:r w:rsidRPr="0066263B">
        <w:rPr>
          <w:rFonts w:ascii="Times New Roman" w:eastAsia="Calibri" w:hAnsi="Times New Roman" w:cs="Times New Roman"/>
          <w:i/>
          <w:iCs/>
          <w:sz w:val="24"/>
          <w:szCs w:val="24"/>
        </w:rPr>
        <w:t xml:space="preserve"> </w:t>
      </w:r>
      <w:r w:rsidRPr="0066263B">
        <w:rPr>
          <w:rFonts w:ascii="Times New Roman" w:eastAsia="Calibri" w:hAnsi="Times New Roman" w:cs="Times New Roman"/>
          <w:sz w:val="24"/>
          <w:szCs w:val="24"/>
        </w:rPr>
        <w:t>за 12 месяцев 2020 года составила 1 931,0 на 1000 детского населения, что на 11,6% ниже показателя за аналогичный период 2019 года (2 183,4 на 1000 детского населения). Общая заболеваемость детей в юго-западных районах – 2 300,8 на 1000 детского населения, что на 19,2% выше среднего показателя в области.</w:t>
      </w:r>
    </w:p>
    <w:p w:rsidR="00B76141" w:rsidRPr="0066263B" w:rsidRDefault="00B76141" w:rsidP="00810E7A">
      <w:pPr>
        <w:spacing w:before="0" w:after="0"/>
        <w:ind w:firstLine="709"/>
        <w:rPr>
          <w:rFonts w:ascii="Times New Roman" w:eastAsia="Calibri" w:hAnsi="Times New Roman" w:cs="Times New Roman"/>
          <w:sz w:val="24"/>
          <w:szCs w:val="24"/>
        </w:rPr>
      </w:pPr>
    </w:p>
    <w:p w:rsidR="00810E7A" w:rsidRPr="0066263B" w:rsidRDefault="00810E7A" w:rsidP="00810E7A">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Более высокая общая заболеваемость </w:t>
      </w:r>
      <w:r w:rsidR="009C5CFA" w:rsidRPr="0066263B">
        <w:rPr>
          <w:rFonts w:ascii="Times New Roman" w:eastAsia="Calibri" w:hAnsi="Times New Roman" w:cs="Times New Roman"/>
          <w:sz w:val="24"/>
          <w:szCs w:val="24"/>
        </w:rPr>
        <w:t>детей</w:t>
      </w:r>
      <w:r w:rsidRPr="0066263B">
        <w:rPr>
          <w:rFonts w:ascii="Times New Roman" w:eastAsia="Calibri" w:hAnsi="Times New Roman" w:cs="Times New Roman"/>
          <w:sz w:val="24"/>
          <w:szCs w:val="24"/>
        </w:rPr>
        <w:t xml:space="preserve"> на территориях:</w:t>
      </w:r>
    </w:p>
    <w:p w:rsidR="00810E7A" w:rsidRPr="0066263B" w:rsidRDefault="00810E7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Почепский район – </w:t>
      </w:r>
      <w:r w:rsidRPr="0066263B">
        <w:rPr>
          <w:rFonts w:ascii="Times New Roman" w:eastAsia="Calibri" w:hAnsi="Times New Roman" w:cs="Times New Roman"/>
          <w:sz w:val="24"/>
          <w:szCs w:val="24"/>
        </w:rPr>
        <w:t>2</w:t>
      </w:r>
      <w:r w:rsidR="00936B20">
        <w:rPr>
          <w:rFonts w:ascii="Times New Roman" w:eastAsia="Calibri" w:hAnsi="Times New Roman" w:cs="Times New Roman"/>
          <w:sz w:val="24"/>
          <w:szCs w:val="24"/>
        </w:rPr>
        <w:t> </w:t>
      </w:r>
      <w:r w:rsidRPr="0066263B">
        <w:rPr>
          <w:rFonts w:ascii="Times New Roman" w:eastAsia="Calibri" w:hAnsi="Times New Roman" w:cs="Times New Roman"/>
          <w:sz w:val="24"/>
          <w:szCs w:val="24"/>
        </w:rPr>
        <w:t>669,2</w:t>
      </w:r>
      <w:r w:rsid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детского населения</w:t>
      </w:r>
      <w:r w:rsidRPr="0066263B">
        <w:rPr>
          <w:rFonts w:ascii="Times New Roman" w:eastAsia="Times New Roman" w:hAnsi="Times New Roman" w:cs="Times New Roman"/>
          <w:sz w:val="24"/>
          <w:szCs w:val="24"/>
          <w:lang w:eastAsia="ru-RU"/>
        </w:rPr>
        <w:t>;</w:t>
      </w:r>
    </w:p>
    <w:p w:rsidR="00810E7A" w:rsidRPr="0066263B" w:rsidRDefault="00810E7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г. Клинцы – </w:t>
      </w:r>
      <w:r w:rsidRPr="0066263B">
        <w:rPr>
          <w:rFonts w:ascii="Times New Roman" w:eastAsia="Calibri" w:hAnsi="Times New Roman" w:cs="Times New Roman"/>
          <w:sz w:val="24"/>
          <w:szCs w:val="24"/>
        </w:rPr>
        <w:t>2</w:t>
      </w:r>
      <w:r w:rsidR="00936B20">
        <w:rPr>
          <w:rFonts w:ascii="Times New Roman" w:eastAsia="Calibri" w:hAnsi="Times New Roman" w:cs="Times New Roman"/>
          <w:sz w:val="24"/>
          <w:szCs w:val="24"/>
        </w:rPr>
        <w:t> </w:t>
      </w:r>
      <w:r w:rsidRPr="0066263B">
        <w:rPr>
          <w:rFonts w:ascii="Times New Roman" w:eastAsia="Calibri" w:hAnsi="Times New Roman" w:cs="Times New Roman"/>
          <w:sz w:val="24"/>
          <w:szCs w:val="24"/>
        </w:rPr>
        <w:t>661,4</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детского населения</w:t>
      </w:r>
      <w:r w:rsidRPr="0066263B">
        <w:rPr>
          <w:rFonts w:ascii="Times New Roman" w:eastAsia="Times New Roman" w:hAnsi="Times New Roman" w:cs="Times New Roman"/>
          <w:sz w:val="24"/>
          <w:szCs w:val="24"/>
          <w:lang w:eastAsia="ru-RU"/>
        </w:rPr>
        <w:t>;</w:t>
      </w:r>
    </w:p>
    <w:p w:rsidR="00810E7A" w:rsidRPr="0066263B" w:rsidRDefault="00810E7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Унечский район – </w:t>
      </w:r>
      <w:r w:rsidRPr="0066263B">
        <w:rPr>
          <w:rFonts w:ascii="Times New Roman" w:eastAsia="Calibri" w:hAnsi="Times New Roman" w:cs="Times New Roman"/>
          <w:sz w:val="24"/>
          <w:szCs w:val="24"/>
        </w:rPr>
        <w:t>2</w:t>
      </w:r>
      <w:r w:rsidR="00936B20">
        <w:rPr>
          <w:rFonts w:ascii="Times New Roman" w:eastAsia="Calibri" w:hAnsi="Times New Roman" w:cs="Times New Roman"/>
          <w:sz w:val="24"/>
          <w:szCs w:val="24"/>
        </w:rPr>
        <w:t> </w:t>
      </w:r>
      <w:r w:rsidRPr="0066263B">
        <w:rPr>
          <w:rFonts w:ascii="Times New Roman" w:eastAsia="Calibri" w:hAnsi="Times New Roman" w:cs="Times New Roman"/>
          <w:sz w:val="24"/>
          <w:szCs w:val="24"/>
        </w:rPr>
        <w:t>555,3</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детского населения</w:t>
      </w:r>
      <w:r w:rsidRPr="0066263B">
        <w:rPr>
          <w:rFonts w:ascii="Times New Roman" w:eastAsia="Times New Roman" w:hAnsi="Times New Roman" w:cs="Times New Roman"/>
          <w:sz w:val="24"/>
          <w:szCs w:val="24"/>
          <w:lang w:eastAsia="ru-RU"/>
        </w:rPr>
        <w:t>;</w:t>
      </w:r>
    </w:p>
    <w:p w:rsidR="00810E7A" w:rsidRPr="0066263B" w:rsidRDefault="00810E7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Трубчевский район – </w:t>
      </w:r>
      <w:r w:rsidRPr="0066263B">
        <w:rPr>
          <w:rFonts w:ascii="Times New Roman" w:eastAsia="Calibri" w:hAnsi="Times New Roman" w:cs="Times New Roman"/>
          <w:sz w:val="24"/>
          <w:szCs w:val="24"/>
        </w:rPr>
        <w:t>2</w:t>
      </w:r>
      <w:r w:rsidR="00936B20">
        <w:rPr>
          <w:rFonts w:ascii="Times New Roman" w:eastAsia="Calibri" w:hAnsi="Times New Roman" w:cs="Times New Roman"/>
          <w:sz w:val="24"/>
          <w:szCs w:val="24"/>
        </w:rPr>
        <w:t> </w:t>
      </w:r>
      <w:r w:rsidRPr="0066263B">
        <w:rPr>
          <w:rFonts w:ascii="Times New Roman" w:eastAsia="Calibri" w:hAnsi="Times New Roman" w:cs="Times New Roman"/>
          <w:sz w:val="24"/>
          <w:szCs w:val="24"/>
        </w:rPr>
        <w:t>544,6</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детского населения</w:t>
      </w:r>
      <w:r w:rsidRPr="0066263B">
        <w:rPr>
          <w:rFonts w:ascii="Times New Roman" w:eastAsia="Times New Roman" w:hAnsi="Times New Roman" w:cs="Times New Roman"/>
          <w:sz w:val="24"/>
          <w:szCs w:val="24"/>
          <w:lang w:eastAsia="ru-RU"/>
        </w:rPr>
        <w:t>.</w:t>
      </w:r>
    </w:p>
    <w:p w:rsidR="00810E7A" w:rsidRPr="0066263B" w:rsidRDefault="00810E7A" w:rsidP="00810E7A">
      <w:pPr>
        <w:spacing w:before="0" w:after="0"/>
        <w:ind w:firstLine="709"/>
        <w:rPr>
          <w:rFonts w:ascii="Times New Roman" w:eastAsia="Calibri" w:hAnsi="Times New Roman" w:cs="Times New Roman"/>
          <w:sz w:val="24"/>
          <w:szCs w:val="24"/>
        </w:rPr>
      </w:pPr>
    </w:p>
    <w:p w:rsidR="00810E7A" w:rsidRPr="0066263B" w:rsidRDefault="00810E7A" w:rsidP="00810E7A">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lastRenderedPageBreak/>
        <w:t xml:space="preserve">Более низкая общая заболеваемость </w:t>
      </w:r>
      <w:r w:rsidR="009C5CFA" w:rsidRPr="0066263B">
        <w:rPr>
          <w:rFonts w:ascii="Times New Roman" w:eastAsia="Calibri" w:hAnsi="Times New Roman" w:cs="Times New Roman"/>
          <w:sz w:val="24"/>
          <w:szCs w:val="24"/>
        </w:rPr>
        <w:t>детей</w:t>
      </w:r>
      <w:r w:rsidRPr="0066263B">
        <w:rPr>
          <w:rFonts w:ascii="Times New Roman" w:eastAsia="Calibri" w:hAnsi="Times New Roman" w:cs="Times New Roman"/>
          <w:sz w:val="24"/>
          <w:szCs w:val="24"/>
        </w:rPr>
        <w:t xml:space="preserve"> на территориях:</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Суземский район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119,5</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детского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Брянский район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460,9</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детского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Дятьковский район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425,1</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детского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Клетнянский район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494,1</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детского населения</w:t>
      </w:r>
      <w:r w:rsidRPr="0066263B">
        <w:rPr>
          <w:rFonts w:ascii="Times New Roman" w:eastAsia="Times New Roman" w:hAnsi="Times New Roman" w:cs="Times New Roman"/>
          <w:sz w:val="24"/>
          <w:szCs w:val="24"/>
          <w:lang w:eastAsia="ru-RU"/>
        </w:rPr>
        <w:t>;</w:t>
      </w:r>
    </w:p>
    <w:p w:rsidR="00810E7A" w:rsidRPr="0066263B" w:rsidRDefault="00810E7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Выгоничский район – </w:t>
      </w:r>
      <w:r w:rsidR="009C5CFA" w:rsidRPr="0066263B">
        <w:rPr>
          <w:rFonts w:ascii="Times New Roman" w:eastAsia="Times New Roman" w:hAnsi="Times New Roman" w:cs="Times New Roman"/>
          <w:sz w:val="24"/>
          <w:szCs w:val="24"/>
          <w:lang w:eastAsia="ru-RU"/>
        </w:rPr>
        <w:t>1</w:t>
      </w:r>
      <w:r w:rsidR="00936B20">
        <w:rPr>
          <w:rFonts w:ascii="Times New Roman" w:eastAsia="Times New Roman" w:hAnsi="Times New Roman" w:cs="Times New Roman"/>
          <w:sz w:val="24"/>
          <w:szCs w:val="24"/>
          <w:lang w:eastAsia="ru-RU"/>
        </w:rPr>
        <w:t> </w:t>
      </w:r>
      <w:r w:rsidR="009C5CFA" w:rsidRPr="0066263B">
        <w:rPr>
          <w:rFonts w:ascii="Times New Roman" w:eastAsia="Times New Roman" w:hAnsi="Times New Roman" w:cs="Times New Roman"/>
          <w:sz w:val="24"/>
          <w:szCs w:val="24"/>
          <w:lang w:eastAsia="ru-RU"/>
        </w:rPr>
        <w:t>499,6</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детского населения</w:t>
      </w:r>
      <w:r w:rsidR="009C5CFA" w:rsidRPr="0066263B">
        <w:rPr>
          <w:rFonts w:ascii="Times New Roman" w:eastAsia="Times New Roman" w:hAnsi="Times New Roman" w:cs="Times New Roman"/>
          <w:sz w:val="24"/>
          <w:szCs w:val="24"/>
          <w:lang w:eastAsia="ru-RU"/>
        </w:rPr>
        <w:t>.</w:t>
      </w:r>
    </w:p>
    <w:p w:rsidR="00B76141" w:rsidRPr="0066263B" w:rsidRDefault="00B76141" w:rsidP="009C5CFA">
      <w:pPr>
        <w:spacing w:before="0" w:after="0"/>
        <w:ind w:firstLine="709"/>
        <w:rPr>
          <w:rFonts w:ascii="Times New Roman" w:eastAsia="Calibri" w:hAnsi="Times New Roman" w:cs="Times New Roman"/>
          <w:sz w:val="24"/>
          <w:szCs w:val="24"/>
        </w:rPr>
      </w:pPr>
    </w:p>
    <w:p w:rsidR="009C5CFA" w:rsidRPr="0066263B" w:rsidRDefault="009C5CFA" w:rsidP="009C5CFA">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Общая заболеваемость подростков (15-17 лет) за 12 месяцев 2020 года составила 2 206,1 на 1000 подросткового населения, что на 4,4% ниже показателя за аналогичный период 2019 года (2</w:t>
      </w:r>
      <w:r w:rsidR="00936B20">
        <w:rPr>
          <w:rFonts w:ascii="Times New Roman" w:eastAsia="Calibri" w:hAnsi="Times New Roman" w:cs="Times New Roman"/>
          <w:sz w:val="24"/>
          <w:szCs w:val="24"/>
        </w:rPr>
        <w:t> </w:t>
      </w:r>
      <w:r w:rsidRPr="0066263B">
        <w:rPr>
          <w:rFonts w:ascii="Times New Roman" w:eastAsia="Calibri" w:hAnsi="Times New Roman" w:cs="Times New Roman"/>
          <w:sz w:val="24"/>
          <w:szCs w:val="24"/>
        </w:rPr>
        <w:t>307,3 на 1000 подросткового населения). В юго-западных районах общая заболеваемость подростков – 2</w:t>
      </w:r>
      <w:r w:rsidR="00936B20">
        <w:rPr>
          <w:rFonts w:ascii="Times New Roman" w:eastAsia="Calibri" w:hAnsi="Times New Roman" w:cs="Times New Roman"/>
          <w:sz w:val="24"/>
          <w:szCs w:val="24"/>
        </w:rPr>
        <w:t> </w:t>
      </w:r>
      <w:r w:rsidRPr="0066263B">
        <w:rPr>
          <w:rFonts w:ascii="Times New Roman" w:eastAsia="Calibri" w:hAnsi="Times New Roman" w:cs="Times New Roman"/>
          <w:sz w:val="24"/>
          <w:szCs w:val="24"/>
        </w:rPr>
        <w:t>833,4 на 1000 подросткового населения, что на 28,4% выше среднего показателя в области.</w:t>
      </w:r>
    </w:p>
    <w:p w:rsidR="00B76141" w:rsidRPr="0066263B" w:rsidRDefault="00B76141" w:rsidP="009C5CFA">
      <w:pPr>
        <w:spacing w:before="0" w:after="0"/>
        <w:ind w:firstLine="709"/>
        <w:rPr>
          <w:rFonts w:ascii="Times New Roman" w:eastAsia="Calibri" w:hAnsi="Times New Roman" w:cs="Times New Roman"/>
          <w:sz w:val="24"/>
          <w:szCs w:val="24"/>
        </w:rPr>
      </w:pPr>
    </w:p>
    <w:p w:rsidR="009C5CFA" w:rsidRPr="0066263B" w:rsidRDefault="009C5CFA" w:rsidP="009C5CFA">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Более высокая заболеваемость подростков в районах:</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Гордеевском – 3</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355,2</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подросткового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Красногорском – 3</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045,0</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подросткового населения</w:t>
      </w:r>
      <w:r w:rsidRPr="0066263B">
        <w:rPr>
          <w:rFonts w:ascii="Times New Roman" w:eastAsia="Times New Roman" w:hAnsi="Times New Roman" w:cs="Times New Roman"/>
          <w:sz w:val="24"/>
          <w:szCs w:val="24"/>
          <w:lang w:eastAsia="ru-RU"/>
        </w:rPr>
        <w:t xml:space="preserve">; </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 Клинцы – 3</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094,6</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подросткового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Почепском – 2</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950,3</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подросткового населения</w:t>
      </w:r>
      <w:r w:rsidRPr="0066263B">
        <w:rPr>
          <w:rFonts w:ascii="Times New Roman" w:eastAsia="Times New Roman" w:hAnsi="Times New Roman" w:cs="Times New Roman"/>
          <w:sz w:val="24"/>
          <w:szCs w:val="24"/>
          <w:lang w:eastAsia="ru-RU"/>
        </w:rPr>
        <w:t>.</w:t>
      </w:r>
    </w:p>
    <w:p w:rsidR="00B76141" w:rsidRPr="0066263B" w:rsidRDefault="00B76141" w:rsidP="009C5CFA">
      <w:pPr>
        <w:spacing w:before="0" w:after="0"/>
        <w:ind w:firstLine="709"/>
        <w:rPr>
          <w:rFonts w:ascii="Times New Roman" w:eastAsia="Calibri" w:hAnsi="Times New Roman" w:cs="Times New Roman"/>
          <w:sz w:val="24"/>
          <w:szCs w:val="24"/>
        </w:rPr>
      </w:pPr>
    </w:p>
    <w:p w:rsidR="009C5CFA" w:rsidRPr="0066263B" w:rsidRDefault="009C5CFA" w:rsidP="009C5CFA">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Более низкая заболеваемость в районах:</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Выгоничском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330,1</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подросткового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Жуковском</w:t>
      </w:r>
      <w:proofErr w:type="gramEnd"/>
      <w:r w:rsidRPr="0066263B">
        <w:rPr>
          <w:rFonts w:ascii="Times New Roman" w:eastAsia="Times New Roman" w:hAnsi="Times New Roman" w:cs="Times New Roman"/>
          <w:sz w:val="24"/>
          <w:szCs w:val="24"/>
          <w:lang w:eastAsia="ru-RU"/>
        </w:rPr>
        <w:t xml:space="preserve">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805,2</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подросткового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Суземском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542,1</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подросткового населения</w:t>
      </w:r>
      <w:r w:rsidRPr="0066263B">
        <w:rPr>
          <w:rFonts w:ascii="Times New Roman" w:eastAsia="Times New Roman" w:hAnsi="Times New Roman" w:cs="Times New Roman"/>
          <w:sz w:val="24"/>
          <w:szCs w:val="24"/>
          <w:lang w:eastAsia="ru-RU"/>
        </w:rPr>
        <w:t>;</w:t>
      </w:r>
    </w:p>
    <w:p w:rsidR="009C5CFA" w:rsidRPr="0066263B" w:rsidRDefault="009C5CFA" w:rsidP="00160BD2">
      <w:pPr>
        <w:numPr>
          <w:ilvl w:val="0"/>
          <w:numId w:val="35"/>
        </w:numPr>
        <w:spacing w:before="0" w:after="0"/>
        <w:ind w:left="851"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 </w:t>
      </w:r>
      <w:proofErr w:type="gramStart"/>
      <w:r w:rsidRPr="0066263B">
        <w:rPr>
          <w:rFonts w:ascii="Times New Roman" w:eastAsia="Times New Roman" w:hAnsi="Times New Roman" w:cs="Times New Roman"/>
          <w:sz w:val="24"/>
          <w:szCs w:val="24"/>
          <w:lang w:eastAsia="ru-RU"/>
        </w:rPr>
        <w:t>Брянске</w:t>
      </w:r>
      <w:proofErr w:type="gramEnd"/>
      <w:r w:rsidRPr="0066263B">
        <w:rPr>
          <w:rFonts w:ascii="Times New Roman" w:eastAsia="Times New Roman" w:hAnsi="Times New Roman" w:cs="Times New Roman"/>
          <w:sz w:val="24"/>
          <w:szCs w:val="24"/>
          <w:lang w:eastAsia="ru-RU"/>
        </w:rPr>
        <w:t xml:space="preserve"> – 1</w:t>
      </w:r>
      <w:r w:rsidR="00936B20">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882,9</w:t>
      </w:r>
      <w:r w:rsidR="00936B20" w:rsidRPr="00936B20">
        <w:rPr>
          <w:rFonts w:ascii="Times New Roman" w:eastAsia="Calibri" w:hAnsi="Times New Roman" w:cs="Times New Roman"/>
          <w:sz w:val="24"/>
          <w:szCs w:val="24"/>
        </w:rPr>
        <w:t xml:space="preserve"> </w:t>
      </w:r>
      <w:r w:rsidR="00936B20" w:rsidRPr="0066263B">
        <w:rPr>
          <w:rFonts w:ascii="Times New Roman" w:eastAsia="Calibri" w:hAnsi="Times New Roman" w:cs="Times New Roman"/>
          <w:sz w:val="24"/>
          <w:szCs w:val="24"/>
        </w:rPr>
        <w:t>на 1000 подросткового населения</w:t>
      </w:r>
      <w:r w:rsidRPr="0066263B">
        <w:rPr>
          <w:rFonts w:ascii="Times New Roman" w:eastAsia="Times New Roman" w:hAnsi="Times New Roman" w:cs="Times New Roman"/>
          <w:sz w:val="24"/>
          <w:szCs w:val="24"/>
          <w:lang w:eastAsia="ru-RU"/>
        </w:rPr>
        <w:t>.</w:t>
      </w:r>
    </w:p>
    <w:p w:rsidR="009C5CFA" w:rsidRPr="0066263B" w:rsidRDefault="009C5CFA" w:rsidP="00810E7A">
      <w:pPr>
        <w:spacing w:before="0" w:after="0"/>
        <w:ind w:firstLine="709"/>
        <w:rPr>
          <w:rFonts w:ascii="Times New Roman" w:eastAsia="Calibri" w:hAnsi="Times New Roman" w:cs="Times New Roman"/>
          <w:sz w:val="24"/>
          <w:szCs w:val="24"/>
        </w:rPr>
      </w:pPr>
    </w:p>
    <w:p w:rsidR="00B76141" w:rsidRPr="0066263B" w:rsidRDefault="00B76141" w:rsidP="00B7614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Показатель первичной заболеваемости подростков – 1 340,9, на 1000 подросткового населения, что на 7,5% ниже показателя 2019 года (1 449,7 на 1000 нас.).</w:t>
      </w:r>
    </w:p>
    <w:p w:rsidR="00C23EB0" w:rsidRPr="0066263B" w:rsidRDefault="00C23EB0" w:rsidP="00140EBE">
      <w:pPr>
        <w:spacing w:before="0" w:after="0"/>
        <w:ind w:firstLine="709"/>
        <w:rPr>
          <w:rFonts w:ascii="Times New Roman" w:eastAsia="Calibri" w:hAnsi="Times New Roman" w:cs="Times New Roman"/>
          <w:sz w:val="24"/>
          <w:szCs w:val="24"/>
        </w:rPr>
      </w:pPr>
    </w:p>
    <w:p w:rsidR="00140EBE" w:rsidRPr="0066263B" w:rsidRDefault="00140EBE" w:rsidP="00140EBE">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За последний год наблюдается снижение общей заболеваемости детского населения по 15 классам болезней. Наибольшее снижение показателя произошло по следующим классам: болезни уха и сосцевидного отростка (-29,5%), болезни органов пищеварения (-23,2%).</w:t>
      </w:r>
    </w:p>
    <w:p w:rsidR="00C23EB0" w:rsidRPr="0066263B" w:rsidRDefault="00C23EB0" w:rsidP="00140EBE">
      <w:pPr>
        <w:spacing w:before="0" w:after="0"/>
        <w:ind w:firstLine="709"/>
        <w:rPr>
          <w:rFonts w:ascii="Times New Roman" w:eastAsia="Calibri" w:hAnsi="Times New Roman" w:cs="Times New Roman"/>
          <w:sz w:val="24"/>
          <w:szCs w:val="24"/>
        </w:rPr>
      </w:pPr>
    </w:p>
    <w:p w:rsidR="00C60507" w:rsidRPr="0066263B" w:rsidRDefault="00140EBE" w:rsidP="00140EBE">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Отмечен рост общей заболеваемости детского населения по классу болезни костно-мышечной системы и соединительной ткани на 4,9% </w:t>
      </w:r>
      <w:r w:rsidR="00C60507" w:rsidRPr="0066263B">
        <w:rPr>
          <w:rFonts w:ascii="Times New Roman" w:eastAsia="Calibri" w:hAnsi="Times New Roman" w:cs="Times New Roman"/>
          <w:sz w:val="24"/>
          <w:szCs w:val="24"/>
        </w:rPr>
        <w:t xml:space="preserve">(табл. </w:t>
      </w:r>
      <w:r w:rsidR="00B93C7E" w:rsidRPr="0066263B">
        <w:rPr>
          <w:rFonts w:ascii="Times New Roman" w:eastAsia="Calibri" w:hAnsi="Times New Roman" w:cs="Times New Roman"/>
          <w:sz w:val="24"/>
          <w:szCs w:val="24"/>
        </w:rPr>
        <w:t>59</w:t>
      </w:r>
      <w:r w:rsidR="00C60507" w:rsidRPr="0066263B">
        <w:rPr>
          <w:rFonts w:ascii="Times New Roman" w:eastAsia="Calibri" w:hAnsi="Times New Roman" w:cs="Times New Roman"/>
          <w:sz w:val="24"/>
          <w:szCs w:val="24"/>
        </w:rPr>
        <w:t>).</w:t>
      </w:r>
    </w:p>
    <w:p w:rsidR="00140EBE" w:rsidRPr="0066263B" w:rsidRDefault="00140EBE" w:rsidP="00324483">
      <w:pPr>
        <w:spacing w:before="0" w:after="0"/>
        <w:ind w:firstLine="709"/>
        <w:rPr>
          <w:rFonts w:ascii="Times New Roman" w:eastAsia="Calibri" w:hAnsi="Times New Roman" w:cs="Times New Roman"/>
          <w:sz w:val="24"/>
          <w:szCs w:val="24"/>
        </w:rPr>
      </w:pPr>
    </w:p>
    <w:p w:rsidR="00C23EB0" w:rsidRPr="0066263B" w:rsidRDefault="00C23EB0">
      <w:pPr>
        <w:rPr>
          <w:rFonts w:ascii="Times New Roman" w:eastAsia="Calibri" w:hAnsi="Times New Roman" w:cs="Times New Roman"/>
          <w:sz w:val="24"/>
          <w:szCs w:val="24"/>
        </w:rPr>
      </w:pPr>
      <w:r w:rsidRPr="0066263B">
        <w:rPr>
          <w:rFonts w:ascii="Times New Roman" w:eastAsia="Calibri" w:hAnsi="Times New Roman" w:cs="Times New Roman"/>
          <w:sz w:val="24"/>
          <w:szCs w:val="24"/>
        </w:rPr>
        <w:br w:type="page"/>
      </w:r>
    </w:p>
    <w:p w:rsidR="00C23EB0" w:rsidRPr="0066263B" w:rsidRDefault="00C23EB0" w:rsidP="00324483">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59</w:t>
      </w:r>
      <w:r w:rsidR="006C34E2" w:rsidRPr="0066263B">
        <w:rPr>
          <w:rFonts w:ascii="Times New Roman" w:eastAsia="Calibri" w:hAnsi="Times New Roman" w:cs="Times New Roman"/>
        </w:rPr>
        <w:fldChar w:fldCharType="end"/>
      </w:r>
    </w:p>
    <w:p w:rsidR="00324483" w:rsidRPr="0066263B" w:rsidRDefault="00096294" w:rsidP="00324483">
      <w:pPr>
        <w:spacing w:before="0" w:after="0"/>
        <w:jc w:val="center"/>
        <w:rPr>
          <w:rFonts w:ascii="Times New Roman" w:eastAsia="TimesNewRomanPSMT" w:hAnsi="Times New Roman" w:cs="Times New Roman"/>
          <w:b/>
        </w:rPr>
      </w:pPr>
      <w:r w:rsidRPr="0066263B">
        <w:rPr>
          <w:rFonts w:ascii="Times New Roman" w:eastAsia="TimesNewRomanPSMT" w:hAnsi="Times New Roman" w:cs="Times New Roman"/>
          <w:b/>
        </w:rPr>
        <w:t>О</w:t>
      </w:r>
      <w:r w:rsidR="00324483" w:rsidRPr="0066263B">
        <w:rPr>
          <w:rFonts w:ascii="Times New Roman" w:eastAsia="TimesNewRomanPSMT" w:hAnsi="Times New Roman" w:cs="Times New Roman"/>
          <w:b/>
        </w:rPr>
        <w:t>бщ</w:t>
      </w:r>
      <w:r w:rsidRPr="0066263B">
        <w:rPr>
          <w:rFonts w:ascii="Times New Roman" w:eastAsia="TimesNewRomanPSMT" w:hAnsi="Times New Roman" w:cs="Times New Roman"/>
          <w:b/>
        </w:rPr>
        <w:t>ая</w:t>
      </w:r>
      <w:r w:rsidR="00324483" w:rsidRPr="0066263B">
        <w:rPr>
          <w:rFonts w:ascii="Times New Roman" w:eastAsia="TimesNewRomanPSMT" w:hAnsi="Times New Roman" w:cs="Times New Roman"/>
          <w:b/>
        </w:rPr>
        <w:t xml:space="preserve"> заболеваемост</w:t>
      </w:r>
      <w:r w:rsidRPr="0066263B">
        <w:rPr>
          <w:rFonts w:ascii="Times New Roman" w:eastAsia="TimesNewRomanPSMT" w:hAnsi="Times New Roman" w:cs="Times New Roman"/>
          <w:b/>
        </w:rPr>
        <w:t>ь</w:t>
      </w:r>
      <w:r w:rsidR="00324483" w:rsidRPr="0066263B">
        <w:rPr>
          <w:rFonts w:ascii="Times New Roman" w:eastAsia="TimesNewRomanPSMT" w:hAnsi="Times New Roman" w:cs="Times New Roman"/>
          <w:b/>
        </w:rPr>
        <w:t xml:space="preserve"> детей 0-1</w:t>
      </w:r>
      <w:r w:rsidR="00140EBE" w:rsidRPr="0066263B">
        <w:rPr>
          <w:rFonts w:ascii="Times New Roman" w:eastAsia="TimesNewRomanPSMT" w:hAnsi="Times New Roman" w:cs="Times New Roman"/>
          <w:b/>
        </w:rPr>
        <w:t>7</w:t>
      </w:r>
      <w:r w:rsidR="00324483" w:rsidRPr="0066263B">
        <w:rPr>
          <w:rFonts w:ascii="Times New Roman" w:eastAsia="TimesNewRomanPSMT" w:hAnsi="Times New Roman" w:cs="Times New Roman"/>
          <w:b/>
        </w:rPr>
        <w:t xml:space="preserve"> лет в Брянской области,</w:t>
      </w:r>
      <w:r w:rsidRPr="0066263B">
        <w:rPr>
          <w:rFonts w:ascii="Times New Roman" w:eastAsia="TimesNewRomanPSMT" w:hAnsi="Times New Roman" w:cs="Times New Roman"/>
          <w:b/>
        </w:rPr>
        <w:t xml:space="preserve"> </w:t>
      </w:r>
      <w:r w:rsidR="00324483" w:rsidRPr="0066263B">
        <w:rPr>
          <w:rFonts w:ascii="Times New Roman" w:eastAsia="TimesNewRomanPSMT" w:hAnsi="Times New Roman" w:cs="Times New Roman"/>
          <w:b/>
        </w:rPr>
        <w:t>на 1000 детского населения</w:t>
      </w:r>
    </w:p>
    <w:p w:rsidR="00324483" w:rsidRPr="0066263B" w:rsidRDefault="00324483" w:rsidP="00324483">
      <w:pPr>
        <w:spacing w:before="0" w:after="0"/>
        <w:jc w:val="center"/>
        <w:rPr>
          <w:rFonts w:ascii="Times New Roman" w:eastAsia="TimesNewRomanPSMT" w:hAnsi="Times New Roman" w:cs="Times New Roman"/>
          <w:b/>
        </w:rPr>
      </w:pPr>
    </w:p>
    <w:tbl>
      <w:tblPr>
        <w:tblW w:w="0" w:type="auto"/>
        <w:jc w:val="center"/>
        <w:tblInd w:w="-427" w:type="dxa"/>
        <w:tblLayout w:type="fixed"/>
        <w:tblCellMar>
          <w:left w:w="10" w:type="dxa"/>
          <w:right w:w="10" w:type="dxa"/>
        </w:tblCellMar>
        <w:tblLook w:val="0000"/>
      </w:tblPr>
      <w:tblGrid>
        <w:gridCol w:w="5244"/>
        <w:gridCol w:w="1007"/>
        <w:gridCol w:w="1007"/>
        <w:gridCol w:w="1868"/>
      </w:tblGrid>
      <w:tr w:rsidR="00810E7A" w:rsidRPr="0066263B" w:rsidTr="00810E7A">
        <w:trPr>
          <w:trHeight w:val="343"/>
          <w:jc w:val="center"/>
        </w:trPr>
        <w:tc>
          <w:tcPr>
            <w:tcW w:w="5244" w:type="dxa"/>
            <w:tcBorders>
              <w:top w:val="single" w:sz="4" w:space="0" w:color="auto"/>
              <w:left w:val="single" w:sz="4" w:space="0" w:color="auto"/>
              <w:right w:val="single" w:sz="4" w:space="0" w:color="auto"/>
            </w:tcBorders>
            <w:shd w:val="clear" w:color="auto" w:fill="FFFFFF"/>
            <w:vAlign w:val="center"/>
          </w:tcPr>
          <w:p w:rsidR="00810E7A" w:rsidRPr="0066263B" w:rsidRDefault="00810E7A" w:rsidP="00324483">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Классы болезней</w:t>
            </w:r>
          </w:p>
        </w:tc>
        <w:tc>
          <w:tcPr>
            <w:tcW w:w="1007" w:type="dxa"/>
            <w:tcBorders>
              <w:top w:val="single" w:sz="4" w:space="0" w:color="auto"/>
              <w:left w:val="single" w:sz="4" w:space="0" w:color="auto"/>
              <w:right w:val="single" w:sz="4" w:space="0" w:color="auto"/>
            </w:tcBorders>
            <w:shd w:val="clear" w:color="auto" w:fill="FFFFFF"/>
            <w:vAlign w:val="center"/>
          </w:tcPr>
          <w:p w:rsidR="00810E7A" w:rsidRPr="0066263B" w:rsidRDefault="00810E7A" w:rsidP="00810E7A">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2019</w:t>
            </w:r>
          </w:p>
        </w:tc>
        <w:tc>
          <w:tcPr>
            <w:tcW w:w="1007" w:type="dxa"/>
            <w:tcBorders>
              <w:top w:val="single" w:sz="4" w:space="0" w:color="auto"/>
              <w:left w:val="single" w:sz="4" w:space="0" w:color="auto"/>
              <w:right w:val="single" w:sz="4" w:space="0" w:color="auto"/>
            </w:tcBorders>
            <w:shd w:val="clear" w:color="auto" w:fill="FFFFFF"/>
            <w:vAlign w:val="center"/>
          </w:tcPr>
          <w:p w:rsidR="00810E7A" w:rsidRPr="0066263B" w:rsidRDefault="00810E7A" w:rsidP="007A33EE">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2020</w:t>
            </w:r>
          </w:p>
        </w:tc>
        <w:tc>
          <w:tcPr>
            <w:tcW w:w="1868" w:type="dxa"/>
            <w:tcBorders>
              <w:top w:val="single" w:sz="4" w:space="0" w:color="auto"/>
              <w:left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Темп прироста/ убыли, %</w:t>
            </w:r>
          </w:p>
        </w:tc>
      </w:tr>
      <w:tr w:rsidR="00810E7A" w:rsidRPr="0066263B" w:rsidTr="00810E7A">
        <w:trPr>
          <w:trHeight w:val="211"/>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Всего</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2201,7</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1973,4</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-10,4</w:t>
            </w:r>
          </w:p>
        </w:tc>
      </w:tr>
      <w:tr w:rsidR="00810E7A" w:rsidRPr="0066263B" w:rsidTr="00810E7A">
        <w:trPr>
          <w:trHeight w:val="285"/>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Некоторые инфекционные и паразитарные болезни</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67,8</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58,6</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-13,6</w:t>
            </w:r>
          </w:p>
        </w:tc>
      </w:tr>
      <w:tr w:rsidR="00810E7A" w:rsidRPr="0066263B" w:rsidTr="00810E7A">
        <w:trPr>
          <w:trHeight w:val="17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Новообразования</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11,6</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w:t>
            </w:r>
          </w:p>
        </w:tc>
      </w:tr>
      <w:tr w:rsidR="00810E7A" w:rsidRPr="0066263B" w:rsidTr="00810E7A">
        <w:trPr>
          <w:trHeight w:val="451"/>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крови и кроветворных органов и отдельные нарушения, вовлекающие иммунный механизм</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14,1</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12,4</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-12,1</w:t>
            </w:r>
          </w:p>
        </w:tc>
      </w:tr>
      <w:tr w:rsidR="00810E7A" w:rsidRPr="0066263B" w:rsidTr="00810E7A">
        <w:trPr>
          <w:trHeight w:val="317"/>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эндокринной системы, расстройства питания, нарушения обмена веществ</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83,3</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76,8</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-7,8</w:t>
            </w:r>
          </w:p>
        </w:tc>
      </w:tr>
      <w:tr w:rsidR="00810E7A" w:rsidRPr="0066263B" w:rsidTr="00810E7A">
        <w:trPr>
          <w:trHeight w:val="6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Психические расстройства и расстройства поведения</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21,6</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20,8</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w:t>
            </w:r>
          </w:p>
        </w:tc>
      </w:tr>
      <w:tr w:rsidR="00810E7A" w:rsidRPr="0066263B" w:rsidTr="00810E7A">
        <w:trPr>
          <w:trHeight w:val="173"/>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нервной системы</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72,0</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67,5</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-6,3</w:t>
            </w:r>
          </w:p>
        </w:tc>
      </w:tr>
      <w:tr w:rsidR="00810E7A" w:rsidRPr="0066263B" w:rsidTr="00810E7A">
        <w:trPr>
          <w:trHeight w:val="15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глаза и его придаточного аппарата</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134,7</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117,4</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-12,8</w:t>
            </w:r>
          </w:p>
        </w:tc>
      </w:tr>
      <w:tr w:rsidR="00810E7A" w:rsidRPr="0066263B" w:rsidTr="00810E7A">
        <w:trPr>
          <w:trHeight w:val="125"/>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уха и сосцевидного отростка</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41,4</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29,2</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-29,5</w:t>
            </w:r>
          </w:p>
        </w:tc>
      </w:tr>
      <w:tr w:rsidR="00810E7A" w:rsidRPr="0066263B" w:rsidTr="00810E7A">
        <w:trPr>
          <w:trHeight w:val="102"/>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системы кровообращения</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31,9</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27,9</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-12,5</w:t>
            </w:r>
          </w:p>
        </w:tc>
      </w:tr>
      <w:tr w:rsidR="00810E7A" w:rsidRPr="0066263B" w:rsidTr="00810E7A">
        <w:trPr>
          <w:trHeight w:val="91"/>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органов дыхания (включая грипп, ОРВИ)</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1209,6</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1083,1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-10,5</w:t>
            </w:r>
          </w:p>
        </w:tc>
      </w:tr>
      <w:tr w:rsidR="00810E7A" w:rsidRPr="0066263B" w:rsidTr="00810E7A">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органов пищеварения</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159,7</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122,7</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-23,2</w:t>
            </w:r>
          </w:p>
        </w:tc>
      </w:tr>
      <w:tr w:rsidR="00810E7A" w:rsidRPr="0066263B" w:rsidTr="00810E7A">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кожи и подкожной клетчатки</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101,4</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87,2</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w:t>
            </w:r>
          </w:p>
        </w:tc>
      </w:tr>
      <w:tr w:rsidR="00810E7A" w:rsidRPr="0066263B" w:rsidTr="00810E7A">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костно-мышечной системы и соединительной ткани</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54,8</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57,5</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w:t>
            </w:r>
          </w:p>
        </w:tc>
      </w:tr>
      <w:tr w:rsidR="00810E7A" w:rsidRPr="0066263B" w:rsidTr="00810E7A">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Болезни мочеполовой системы</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53,0</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50,0</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-5,7</w:t>
            </w:r>
          </w:p>
        </w:tc>
      </w:tr>
      <w:tr w:rsidR="00810E7A" w:rsidRPr="0066263B" w:rsidTr="00810E7A">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Врождённые аномалии (пороки развития), деформации и хромосомные нарушения</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34,5</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w:t>
            </w:r>
          </w:p>
        </w:tc>
      </w:tr>
      <w:tr w:rsidR="00810E7A" w:rsidRPr="0066263B" w:rsidTr="00810E7A">
        <w:trPr>
          <w:trHeight w:val="210"/>
          <w:jc w:val="center"/>
        </w:trPr>
        <w:tc>
          <w:tcPr>
            <w:tcW w:w="5244" w:type="dxa"/>
            <w:tcBorders>
              <w:top w:val="single" w:sz="4" w:space="0" w:color="auto"/>
              <w:left w:val="single" w:sz="4" w:space="0" w:color="auto"/>
              <w:bottom w:val="single" w:sz="4" w:space="0" w:color="auto"/>
              <w:right w:val="single" w:sz="4" w:space="0" w:color="auto"/>
            </w:tcBorders>
            <w:shd w:val="clear" w:color="auto" w:fill="FFFFFF"/>
          </w:tcPr>
          <w:p w:rsidR="00810E7A" w:rsidRPr="0066263B" w:rsidRDefault="00810E7A" w:rsidP="00324483">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Травмы, отравления и некоторые другие последствия воздействия внешних причин</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107,5</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107,1</w:t>
            </w:r>
          </w:p>
        </w:tc>
        <w:tc>
          <w:tcPr>
            <w:tcW w:w="1868" w:type="dxa"/>
            <w:tcBorders>
              <w:top w:val="single" w:sz="4" w:space="0" w:color="auto"/>
              <w:left w:val="single" w:sz="4" w:space="0" w:color="auto"/>
              <w:bottom w:val="single" w:sz="4" w:space="0" w:color="auto"/>
              <w:right w:val="single" w:sz="4" w:space="0" w:color="auto"/>
            </w:tcBorders>
            <w:shd w:val="clear" w:color="auto" w:fill="FFFFFF"/>
            <w:vAlign w:val="center"/>
          </w:tcPr>
          <w:p w:rsidR="00810E7A" w:rsidRPr="0066263B" w:rsidRDefault="00810E7A" w:rsidP="00810E7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w:t>
            </w:r>
          </w:p>
        </w:tc>
      </w:tr>
    </w:tbl>
    <w:p w:rsidR="00096294" w:rsidRPr="0066263B" w:rsidRDefault="00096294" w:rsidP="00324483">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ind w:firstLine="709"/>
        <w:rPr>
          <w:rFonts w:ascii="Times New Roman" w:eastAsia="Calibri" w:hAnsi="Times New Roman" w:cs="Times New Roman"/>
          <w:i/>
          <w:sz w:val="24"/>
          <w:szCs w:val="24"/>
          <w:u w:val="single"/>
        </w:rPr>
      </w:pPr>
      <w:r w:rsidRPr="0066263B">
        <w:rPr>
          <w:rFonts w:ascii="Times New Roman" w:eastAsia="Calibri" w:hAnsi="Times New Roman" w:cs="Times New Roman"/>
          <w:i/>
          <w:sz w:val="24"/>
          <w:szCs w:val="24"/>
          <w:u w:val="single"/>
        </w:rPr>
        <w:t>Злокачественные новообразования</w:t>
      </w:r>
    </w:p>
    <w:p w:rsidR="00E426A8" w:rsidRPr="0066263B" w:rsidRDefault="00E426A8" w:rsidP="00E426A8">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Показатель смертности от злокачественных новообразований (далее – ЗНО) является ведущим индикатором региональной программы Брянской области «Борьба с онкологическими заболеваниями» Национального проекта «Здравоохранение» (2019-2024 г.г.). Данный показатель взаимосвязан с другими основными показателями статистики и эпидемиологии ЗНО: заболеваемостью, распространённостью, одногодичной летальностью, пятилетней выживаемостью. Вышеуказанные показатели в свою очередь зависят от показателя </w:t>
      </w:r>
      <w:proofErr w:type="spellStart"/>
      <w:r w:rsidRPr="0066263B">
        <w:rPr>
          <w:rFonts w:ascii="Times New Roman" w:eastAsia="Calibri" w:hAnsi="Times New Roman" w:cs="Times New Roman"/>
          <w:sz w:val="24"/>
          <w:szCs w:val="24"/>
        </w:rPr>
        <w:t>выявляемости</w:t>
      </w:r>
      <w:proofErr w:type="spellEnd"/>
      <w:r w:rsidRPr="0066263B">
        <w:rPr>
          <w:rFonts w:ascii="Times New Roman" w:eastAsia="Calibri" w:hAnsi="Times New Roman" w:cs="Times New Roman"/>
          <w:sz w:val="24"/>
          <w:szCs w:val="24"/>
        </w:rPr>
        <w:t xml:space="preserve"> ЗНО на ранних стадиях (I - II).</w:t>
      </w:r>
    </w:p>
    <w:p w:rsidR="00E426A8" w:rsidRPr="0066263B" w:rsidRDefault="00E426A8" w:rsidP="00E426A8">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В Брянской области, как и по Российской Федерации, в целом наблюдается стойкая тенденция к росту уровня заболеваемости ЗНО, что обусловлено улучшением </w:t>
      </w:r>
      <w:proofErr w:type="spellStart"/>
      <w:r w:rsidRPr="0066263B">
        <w:rPr>
          <w:rFonts w:ascii="Times New Roman" w:eastAsia="Calibri" w:hAnsi="Times New Roman" w:cs="Times New Roman"/>
          <w:sz w:val="24"/>
          <w:szCs w:val="24"/>
        </w:rPr>
        <w:t>выявляемости</w:t>
      </w:r>
      <w:proofErr w:type="spellEnd"/>
      <w:r w:rsidRPr="0066263B">
        <w:rPr>
          <w:rFonts w:ascii="Times New Roman" w:eastAsia="Calibri" w:hAnsi="Times New Roman" w:cs="Times New Roman"/>
          <w:sz w:val="24"/>
          <w:szCs w:val="24"/>
        </w:rPr>
        <w:t xml:space="preserve"> злокачественных новообразований, постарением населения, влиянием социальных факторов, экологической обстановкой.</w:t>
      </w:r>
    </w:p>
    <w:p w:rsidR="00B22BBF" w:rsidRPr="0066263B" w:rsidRDefault="00B22BBF" w:rsidP="00B22BBF">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Снижение количества зарегистрированных случаев ЗНО в 2020 году связано не с истинным снижением заболеваемости, а с эпидемиологической ситуацией и ограничениями в работе медицинских организаций области в связи с пандемией COVID-19.</w:t>
      </w:r>
    </w:p>
    <w:p w:rsidR="00B22BBF" w:rsidRPr="0066263B" w:rsidRDefault="00B22BBF" w:rsidP="00B22BBF">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За 12 месяцев 2020 года зарегистрировано 5 560 первичных диагнозов злокачественных новообразований, по сравнению с аналогичным периодом 2019 года в целом зарегистрировано меньше ЗНО на 1 116 случаев, или на 16,7%.</w:t>
      </w:r>
    </w:p>
    <w:p w:rsidR="00454A13" w:rsidRPr="0066263B" w:rsidRDefault="00454A13">
      <w:pPr>
        <w:rPr>
          <w:rFonts w:ascii="Times New Roman" w:eastAsia="Calibri" w:hAnsi="Times New Roman" w:cs="Times New Roman"/>
          <w:sz w:val="24"/>
          <w:szCs w:val="24"/>
        </w:rPr>
      </w:pPr>
      <w:r w:rsidRPr="0066263B">
        <w:rPr>
          <w:rFonts w:ascii="Times New Roman" w:eastAsia="Calibri" w:hAnsi="Times New Roman" w:cs="Times New Roman"/>
          <w:sz w:val="24"/>
          <w:szCs w:val="24"/>
        </w:rPr>
        <w:br w:type="page"/>
      </w:r>
    </w:p>
    <w:p w:rsidR="00B22BBF" w:rsidRPr="0066263B" w:rsidRDefault="00B22BBF" w:rsidP="00B22BBF">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lastRenderedPageBreak/>
        <w:t>В разрезе локализаций зарегистрировано больше ЗНО</w:t>
      </w:r>
      <w:r w:rsidR="00C02CC2" w:rsidRPr="0066263B">
        <w:rPr>
          <w:rFonts w:ascii="Times New Roman" w:eastAsia="Calibri" w:hAnsi="Times New Roman" w:cs="Times New Roman"/>
          <w:sz w:val="24"/>
          <w:szCs w:val="24"/>
        </w:rPr>
        <w:t>:</w:t>
      </w:r>
    </w:p>
    <w:p w:rsidR="00B22BBF" w:rsidRPr="0066263B" w:rsidRDefault="00B22BBF" w:rsidP="00BE7104">
      <w:pPr>
        <w:pStyle w:val="aff9"/>
        <w:numPr>
          <w:ilvl w:val="0"/>
          <w:numId w:val="68"/>
        </w:numPr>
        <w:ind w:left="1134" w:hanging="141"/>
        <w:rPr>
          <w:rFonts w:eastAsia="Calibri"/>
        </w:rPr>
      </w:pPr>
      <w:r w:rsidRPr="0066263B">
        <w:rPr>
          <w:rFonts w:eastAsia="Calibri"/>
        </w:rPr>
        <w:t>поджелудочной железы – на 15 случаев (8,1%);</w:t>
      </w:r>
    </w:p>
    <w:p w:rsidR="00B22BBF" w:rsidRPr="0066263B" w:rsidRDefault="00B22BBF" w:rsidP="00BE7104">
      <w:pPr>
        <w:pStyle w:val="aff9"/>
        <w:numPr>
          <w:ilvl w:val="0"/>
          <w:numId w:val="68"/>
        </w:numPr>
        <w:ind w:left="1134" w:hanging="141"/>
        <w:rPr>
          <w:rFonts w:eastAsia="Calibri"/>
        </w:rPr>
      </w:pPr>
      <w:r w:rsidRPr="0066263B">
        <w:rPr>
          <w:rFonts w:eastAsia="Calibri"/>
        </w:rPr>
        <w:t>головного мозга – на 11 случаев (15,7%);</w:t>
      </w:r>
    </w:p>
    <w:p w:rsidR="00B22BBF" w:rsidRPr="0066263B" w:rsidRDefault="00B22BBF" w:rsidP="00BE7104">
      <w:pPr>
        <w:pStyle w:val="aff9"/>
        <w:numPr>
          <w:ilvl w:val="0"/>
          <w:numId w:val="68"/>
        </w:numPr>
        <w:ind w:left="1134" w:hanging="141"/>
        <w:rPr>
          <w:rFonts w:eastAsia="Calibri"/>
        </w:rPr>
      </w:pPr>
      <w:r w:rsidRPr="0066263B">
        <w:rPr>
          <w:rFonts w:eastAsia="Calibri"/>
        </w:rPr>
        <w:t>губы – на 9 случаев (56,3%).</w:t>
      </w:r>
    </w:p>
    <w:p w:rsidR="00B22BBF" w:rsidRPr="0066263B" w:rsidRDefault="00B22BBF" w:rsidP="00E426A8">
      <w:pPr>
        <w:spacing w:before="0" w:after="0"/>
        <w:ind w:firstLine="709"/>
        <w:rPr>
          <w:rFonts w:ascii="Times New Roman" w:eastAsia="Calibri" w:hAnsi="Times New Roman" w:cs="Times New Roman"/>
          <w:sz w:val="24"/>
          <w:szCs w:val="24"/>
        </w:rPr>
      </w:pPr>
    </w:p>
    <w:p w:rsidR="00E426A8" w:rsidRPr="0066263B" w:rsidRDefault="00E426A8" w:rsidP="00E426A8">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Показатели заболеваемости Брянского региона за </w:t>
      </w:r>
      <w:r w:rsidR="007A33EE" w:rsidRPr="0066263B">
        <w:rPr>
          <w:rFonts w:ascii="Times New Roman" w:eastAsia="Calibri" w:hAnsi="Times New Roman" w:cs="Times New Roman"/>
          <w:sz w:val="24"/>
          <w:szCs w:val="24"/>
        </w:rPr>
        <w:t>20</w:t>
      </w:r>
      <w:r w:rsidR="00C02CC2" w:rsidRPr="0066263B">
        <w:rPr>
          <w:rFonts w:ascii="Times New Roman" w:eastAsia="Calibri" w:hAnsi="Times New Roman" w:cs="Times New Roman"/>
          <w:sz w:val="24"/>
          <w:szCs w:val="24"/>
        </w:rPr>
        <w:t>20</w:t>
      </w:r>
      <w:r w:rsidRPr="0066263B">
        <w:rPr>
          <w:rFonts w:ascii="Times New Roman" w:eastAsia="Calibri" w:hAnsi="Times New Roman" w:cs="Times New Roman"/>
          <w:sz w:val="24"/>
          <w:szCs w:val="24"/>
        </w:rPr>
        <w:t xml:space="preserve"> </w:t>
      </w:r>
      <w:r w:rsidR="007A33EE" w:rsidRPr="0066263B">
        <w:rPr>
          <w:rFonts w:ascii="Times New Roman" w:eastAsia="Calibri" w:hAnsi="Times New Roman" w:cs="Times New Roman"/>
          <w:sz w:val="24"/>
          <w:szCs w:val="24"/>
        </w:rPr>
        <w:t xml:space="preserve">год </w:t>
      </w:r>
      <w:r w:rsidRPr="0066263B">
        <w:rPr>
          <w:rFonts w:ascii="Times New Roman" w:eastAsia="Calibri" w:hAnsi="Times New Roman" w:cs="Times New Roman"/>
          <w:sz w:val="24"/>
          <w:szCs w:val="24"/>
        </w:rPr>
        <w:t xml:space="preserve">выше показателей и по ЦФО, и по РФ (табл. </w:t>
      </w:r>
      <w:r w:rsidR="000D45BB" w:rsidRPr="0066263B">
        <w:rPr>
          <w:rFonts w:ascii="Times New Roman" w:eastAsia="Calibri" w:hAnsi="Times New Roman" w:cs="Times New Roman"/>
          <w:sz w:val="24"/>
          <w:szCs w:val="24"/>
        </w:rPr>
        <w:t>60</w:t>
      </w:r>
      <w:r w:rsidRPr="0066263B">
        <w:rPr>
          <w:rFonts w:ascii="Times New Roman" w:eastAsia="Calibri" w:hAnsi="Times New Roman" w:cs="Times New Roman"/>
          <w:sz w:val="24"/>
          <w:szCs w:val="24"/>
        </w:rPr>
        <w:t>).</w:t>
      </w:r>
    </w:p>
    <w:p w:rsidR="00E426A8" w:rsidRPr="0066263B" w:rsidRDefault="00E426A8" w:rsidP="00E426A8">
      <w:pPr>
        <w:spacing w:before="0" w:after="0"/>
        <w:ind w:firstLine="709"/>
        <w:rPr>
          <w:rFonts w:ascii="Times New Roman" w:eastAsia="Calibri" w:hAnsi="Times New Roman" w:cs="Times New Roman"/>
          <w:sz w:val="24"/>
          <w:szCs w:val="24"/>
        </w:rPr>
      </w:pPr>
    </w:p>
    <w:p w:rsidR="007A33EE" w:rsidRPr="0066263B" w:rsidRDefault="007A33EE" w:rsidP="007A33EE">
      <w:pPr>
        <w:spacing w:before="0" w:after="0"/>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60</w:t>
      </w:r>
      <w:r w:rsidR="006C34E2" w:rsidRPr="0066263B">
        <w:rPr>
          <w:rFonts w:ascii="Times New Roman" w:eastAsia="Calibri" w:hAnsi="Times New Roman" w:cs="Times New Roman"/>
        </w:rPr>
        <w:fldChar w:fldCharType="end"/>
      </w:r>
    </w:p>
    <w:p w:rsidR="007A33EE" w:rsidRPr="0066263B" w:rsidRDefault="007A33EE" w:rsidP="007A33EE">
      <w:pPr>
        <w:autoSpaceDE w:val="0"/>
        <w:autoSpaceDN w:val="0"/>
        <w:adjustRightInd w:val="0"/>
        <w:spacing w:before="0" w:after="0"/>
        <w:jc w:val="center"/>
        <w:rPr>
          <w:rFonts w:ascii="Times New Roman" w:eastAsia="Calibri" w:hAnsi="Times New Roman" w:cs="Times New Roman"/>
          <w:b/>
          <w:iCs/>
          <w:lang w:eastAsia="ru-RU"/>
        </w:rPr>
      </w:pPr>
      <w:r w:rsidRPr="0066263B">
        <w:rPr>
          <w:rFonts w:ascii="Times New Roman" w:eastAsia="Calibri" w:hAnsi="Times New Roman" w:cs="Times New Roman"/>
          <w:b/>
          <w:iCs/>
          <w:lang w:eastAsia="ru-RU"/>
        </w:rPr>
        <w:t>Общая заболеваемость злокачественными новообразованиями населения,</w:t>
      </w:r>
      <w:r w:rsidRPr="0066263B">
        <w:rPr>
          <w:rFonts w:ascii="Times New Roman" w:eastAsia="Calibri" w:hAnsi="Times New Roman" w:cs="Times New Roman"/>
          <w:b/>
          <w:iCs/>
          <w:lang w:eastAsia="ru-RU"/>
        </w:rPr>
        <w:br/>
        <w:t>на 100 тыс. населения</w:t>
      </w:r>
      <w:r w:rsidR="00C02CC2" w:rsidRPr="0066263B">
        <w:rPr>
          <w:rFonts w:ascii="Times New Roman" w:eastAsia="Calibri" w:hAnsi="Times New Roman" w:cs="Times New Roman"/>
          <w:b/>
          <w:iCs/>
          <w:lang w:eastAsia="ru-RU"/>
        </w:rPr>
        <w:t xml:space="preserve"> («грубые» показатели)</w:t>
      </w:r>
    </w:p>
    <w:p w:rsidR="007A33EE" w:rsidRPr="0066263B" w:rsidRDefault="007A33EE" w:rsidP="007A33EE">
      <w:pPr>
        <w:autoSpaceDE w:val="0"/>
        <w:autoSpaceDN w:val="0"/>
        <w:adjustRightInd w:val="0"/>
        <w:spacing w:before="0" w:after="0"/>
        <w:jc w:val="center"/>
        <w:rPr>
          <w:rFonts w:ascii="Times New Roman" w:eastAsia="Calibri" w:hAnsi="Times New Roman" w:cs="Times New Roman"/>
          <w:b/>
          <w:iCs/>
          <w:lang w:eastAsia="ru-RU"/>
        </w:rPr>
      </w:pPr>
    </w:p>
    <w:tbl>
      <w:tblPr>
        <w:tblW w:w="9201" w:type="dxa"/>
        <w:jc w:val="center"/>
        <w:tblInd w:w="295" w:type="dxa"/>
        <w:tblLayout w:type="fixed"/>
        <w:tblCellMar>
          <w:left w:w="10" w:type="dxa"/>
          <w:right w:w="10" w:type="dxa"/>
        </w:tblCellMar>
        <w:tblLook w:val="0000"/>
      </w:tblPr>
      <w:tblGrid>
        <w:gridCol w:w="1767"/>
        <w:gridCol w:w="929"/>
        <w:gridCol w:w="929"/>
        <w:gridCol w:w="929"/>
        <w:gridCol w:w="930"/>
        <w:gridCol w:w="929"/>
        <w:gridCol w:w="929"/>
        <w:gridCol w:w="929"/>
        <w:gridCol w:w="930"/>
      </w:tblGrid>
      <w:tr w:rsidR="00C02CC2" w:rsidRPr="0066263B" w:rsidTr="00C02CC2">
        <w:trPr>
          <w:trHeight w:val="131"/>
          <w:jc w:val="center"/>
        </w:trPr>
        <w:tc>
          <w:tcPr>
            <w:tcW w:w="1767" w:type="dxa"/>
            <w:tcBorders>
              <w:top w:val="single" w:sz="4" w:space="0" w:color="auto"/>
              <w:left w:val="single" w:sz="4" w:space="0" w:color="auto"/>
              <w:right w:val="single" w:sz="4" w:space="0" w:color="auto"/>
            </w:tcBorders>
            <w:shd w:val="clear" w:color="auto" w:fill="FFFFFF"/>
            <w:vAlign w:val="center"/>
          </w:tcPr>
          <w:p w:rsidR="00C02CC2" w:rsidRPr="0066263B" w:rsidRDefault="00C02CC2" w:rsidP="007A33EE">
            <w:pPr>
              <w:autoSpaceDE w:val="0"/>
              <w:autoSpaceDN w:val="0"/>
              <w:adjustRightInd w:val="0"/>
              <w:spacing w:before="20" w:after="20"/>
              <w:jc w:val="center"/>
              <w:rPr>
                <w:rFonts w:ascii="Times New Roman" w:eastAsia="Calibri" w:hAnsi="Times New Roman" w:cs="Times New Roman"/>
                <w:b/>
                <w:i/>
                <w:lang w:eastAsia="ru-RU"/>
              </w:rPr>
            </w:pPr>
          </w:p>
        </w:tc>
        <w:tc>
          <w:tcPr>
            <w:tcW w:w="929" w:type="dxa"/>
            <w:tcBorders>
              <w:top w:val="single" w:sz="4" w:space="0" w:color="auto"/>
              <w:left w:val="single" w:sz="4" w:space="0" w:color="auto"/>
              <w:right w:val="single" w:sz="4" w:space="0" w:color="auto"/>
            </w:tcBorders>
            <w:shd w:val="clear" w:color="auto" w:fill="FFFFFF"/>
          </w:tcPr>
          <w:p w:rsidR="00C02CC2" w:rsidRPr="0066263B" w:rsidRDefault="00C02CC2" w:rsidP="00B22BBF">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2013</w:t>
            </w:r>
          </w:p>
        </w:tc>
        <w:tc>
          <w:tcPr>
            <w:tcW w:w="929" w:type="dxa"/>
            <w:tcBorders>
              <w:top w:val="single" w:sz="4" w:space="0" w:color="auto"/>
              <w:left w:val="single" w:sz="4" w:space="0" w:color="auto"/>
              <w:right w:val="single" w:sz="4" w:space="0" w:color="auto"/>
            </w:tcBorders>
            <w:shd w:val="clear" w:color="auto" w:fill="FFFFFF"/>
          </w:tcPr>
          <w:p w:rsidR="00C02CC2" w:rsidRPr="0066263B" w:rsidRDefault="00C02CC2" w:rsidP="00B22BBF">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2014</w:t>
            </w:r>
          </w:p>
        </w:tc>
        <w:tc>
          <w:tcPr>
            <w:tcW w:w="929" w:type="dxa"/>
            <w:tcBorders>
              <w:top w:val="single" w:sz="4" w:space="0" w:color="auto"/>
              <w:left w:val="single" w:sz="4" w:space="0" w:color="auto"/>
              <w:right w:val="single" w:sz="4" w:space="0" w:color="auto"/>
            </w:tcBorders>
            <w:shd w:val="clear" w:color="auto" w:fill="FFFFFF"/>
          </w:tcPr>
          <w:p w:rsidR="00C02CC2" w:rsidRPr="0066263B" w:rsidRDefault="00C02CC2" w:rsidP="00B22BBF">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2015</w:t>
            </w:r>
          </w:p>
        </w:tc>
        <w:tc>
          <w:tcPr>
            <w:tcW w:w="930" w:type="dxa"/>
            <w:tcBorders>
              <w:top w:val="single" w:sz="4" w:space="0" w:color="auto"/>
              <w:left w:val="single" w:sz="4" w:space="0" w:color="auto"/>
              <w:right w:val="single" w:sz="4" w:space="0" w:color="auto"/>
            </w:tcBorders>
            <w:shd w:val="clear" w:color="auto" w:fill="FFFFFF"/>
          </w:tcPr>
          <w:p w:rsidR="00C02CC2" w:rsidRPr="0066263B" w:rsidRDefault="00C02CC2" w:rsidP="00B22BBF">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2016</w:t>
            </w:r>
          </w:p>
        </w:tc>
        <w:tc>
          <w:tcPr>
            <w:tcW w:w="929" w:type="dxa"/>
            <w:tcBorders>
              <w:top w:val="single" w:sz="4" w:space="0" w:color="auto"/>
              <w:left w:val="single" w:sz="4" w:space="0" w:color="auto"/>
              <w:right w:val="single" w:sz="4" w:space="0" w:color="auto"/>
            </w:tcBorders>
            <w:shd w:val="clear" w:color="auto" w:fill="FFFFFF"/>
            <w:vAlign w:val="center"/>
          </w:tcPr>
          <w:p w:rsidR="00C02CC2" w:rsidRPr="0066263B" w:rsidRDefault="00C02CC2" w:rsidP="00B22BBF">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2017</w:t>
            </w:r>
          </w:p>
        </w:tc>
        <w:tc>
          <w:tcPr>
            <w:tcW w:w="929" w:type="dxa"/>
            <w:tcBorders>
              <w:top w:val="single" w:sz="4" w:space="0" w:color="auto"/>
              <w:left w:val="single" w:sz="4" w:space="0" w:color="auto"/>
              <w:right w:val="single" w:sz="4" w:space="0" w:color="auto"/>
            </w:tcBorders>
            <w:shd w:val="clear" w:color="auto" w:fill="FFFFFF"/>
            <w:vAlign w:val="center"/>
          </w:tcPr>
          <w:p w:rsidR="00C02CC2" w:rsidRPr="0066263B" w:rsidRDefault="00C02CC2" w:rsidP="00B22BBF">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2018</w:t>
            </w:r>
          </w:p>
        </w:tc>
        <w:tc>
          <w:tcPr>
            <w:tcW w:w="929" w:type="dxa"/>
            <w:tcBorders>
              <w:top w:val="single" w:sz="4" w:space="0" w:color="auto"/>
              <w:left w:val="single" w:sz="4" w:space="0" w:color="auto"/>
              <w:right w:val="single" w:sz="4" w:space="0" w:color="auto"/>
            </w:tcBorders>
            <w:shd w:val="clear" w:color="auto" w:fill="FFFFFF"/>
            <w:vAlign w:val="center"/>
          </w:tcPr>
          <w:p w:rsidR="00C02CC2" w:rsidRPr="0066263B" w:rsidRDefault="00C02CC2" w:rsidP="00B22BBF">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2019</w:t>
            </w:r>
          </w:p>
        </w:tc>
        <w:tc>
          <w:tcPr>
            <w:tcW w:w="930" w:type="dxa"/>
            <w:tcBorders>
              <w:top w:val="single" w:sz="4" w:space="0" w:color="auto"/>
              <w:left w:val="single" w:sz="4" w:space="0" w:color="auto"/>
              <w:right w:val="single" w:sz="4" w:space="0" w:color="auto"/>
            </w:tcBorders>
            <w:shd w:val="clear" w:color="auto" w:fill="FFFFFF"/>
            <w:vAlign w:val="center"/>
          </w:tcPr>
          <w:p w:rsidR="00C02CC2" w:rsidRPr="0066263B" w:rsidRDefault="00C02CC2" w:rsidP="007A33EE">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2020</w:t>
            </w:r>
          </w:p>
        </w:tc>
      </w:tr>
      <w:tr w:rsidR="00C02CC2" w:rsidRPr="0066263B" w:rsidTr="00C02CC2">
        <w:trPr>
          <w:trHeight w:val="211"/>
          <w:jc w:val="center"/>
        </w:trPr>
        <w:tc>
          <w:tcPr>
            <w:tcW w:w="1767"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C02CC2" w:rsidP="007A33EE">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Брянская область</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C02CC2" w:rsidP="00B22BB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464,4</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C02CC2" w:rsidP="00B22BB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491,6</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C02CC2" w:rsidP="00B22BB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479,8</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C02CC2" w:rsidP="00B22BB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484,8</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503,</w:t>
            </w:r>
            <w:r w:rsidR="00002F89" w:rsidRPr="0066263B">
              <w:rPr>
                <w:rFonts w:ascii="Times New Roman" w:eastAsia="Times New Roman" w:hAnsi="Times New Roman" w:cs="Times New Roman"/>
                <w:lang w:eastAsia="ru-RU"/>
              </w:rPr>
              <w:t>1</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B22BB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512,9</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558,0</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7A33EE">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463,2</w:t>
            </w:r>
          </w:p>
        </w:tc>
      </w:tr>
      <w:tr w:rsidR="00C02CC2" w:rsidRPr="0066263B" w:rsidTr="00C02CC2">
        <w:trPr>
          <w:trHeight w:val="211"/>
          <w:jc w:val="center"/>
        </w:trPr>
        <w:tc>
          <w:tcPr>
            <w:tcW w:w="1767"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C02CC2" w:rsidP="007A33EE">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ЦФО</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002F89"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373,7</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002F89"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387,5</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002F89"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403,7</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002F89"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400,0</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425,9</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B22BB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431,95</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436,7</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7A33EE">
            <w:pPr>
              <w:autoSpaceDE w:val="0"/>
              <w:autoSpaceDN w:val="0"/>
              <w:adjustRightInd w:val="0"/>
              <w:spacing w:before="20" w:after="20"/>
              <w:jc w:val="center"/>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н</w:t>
            </w:r>
            <w:proofErr w:type="spellEnd"/>
            <w:r w:rsidRPr="0066263B">
              <w:rPr>
                <w:rFonts w:ascii="Times New Roman" w:eastAsia="Times New Roman" w:hAnsi="Times New Roman" w:cs="Times New Roman"/>
                <w:lang w:eastAsia="ru-RU"/>
              </w:rPr>
              <w:t>/</w:t>
            </w:r>
            <w:proofErr w:type="spellStart"/>
            <w:r w:rsidRPr="0066263B">
              <w:rPr>
                <w:rFonts w:ascii="Times New Roman" w:eastAsia="Times New Roman" w:hAnsi="Times New Roman" w:cs="Times New Roman"/>
                <w:lang w:eastAsia="ru-RU"/>
              </w:rPr>
              <w:t>д</w:t>
            </w:r>
            <w:proofErr w:type="spellEnd"/>
          </w:p>
        </w:tc>
      </w:tr>
      <w:tr w:rsidR="00C02CC2" w:rsidRPr="0066263B" w:rsidTr="00C02CC2">
        <w:trPr>
          <w:trHeight w:val="285"/>
          <w:jc w:val="center"/>
        </w:trPr>
        <w:tc>
          <w:tcPr>
            <w:tcW w:w="1767"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C02CC2" w:rsidP="007A33EE">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РФ</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002F89"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369,0</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002F89"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383,3</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002F89"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398,1</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C02CC2" w:rsidRPr="0066263B" w:rsidRDefault="00002F89" w:rsidP="00002F8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402,5</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B22BB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420,3</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B22BB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425,46</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002F8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436,3</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C02CC2" w:rsidRPr="0066263B" w:rsidRDefault="00C02CC2" w:rsidP="007A33EE">
            <w:pPr>
              <w:autoSpaceDE w:val="0"/>
              <w:autoSpaceDN w:val="0"/>
              <w:adjustRightInd w:val="0"/>
              <w:spacing w:before="20" w:after="20"/>
              <w:jc w:val="center"/>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н</w:t>
            </w:r>
            <w:proofErr w:type="spellEnd"/>
            <w:r w:rsidRPr="0066263B">
              <w:rPr>
                <w:rFonts w:ascii="Times New Roman" w:eastAsia="Times New Roman" w:hAnsi="Times New Roman" w:cs="Times New Roman"/>
                <w:lang w:eastAsia="ru-RU"/>
              </w:rPr>
              <w:t>/</w:t>
            </w:r>
            <w:proofErr w:type="spellStart"/>
            <w:r w:rsidRPr="0066263B">
              <w:rPr>
                <w:rFonts w:ascii="Times New Roman" w:eastAsia="Times New Roman" w:hAnsi="Times New Roman" w:cs="Times New Roman"/>
                <w:lang w:eastAsia="ru-RU"/>
              </w:rPr>
              <w:t>д</w:t>
            </w:r>
            <w:proofErr w:type="spellEnd"/>
          </w:p>
        </w:tc>
      </w:tr>
    </w:tbl>
    <w:p w:rsidR="00C02CC2" w:rsidRPr="0066263B" w:rsidRDefault="00C02CC2" w:rsidP="007A33EE">
      <w:pPr>
        <w:spacing w:before="0" w:after="0"/>
        <w:ind w:firstLine="709"/>
        <w:rPr>
          <w:rFonts w:ascii="Times New Roman" w:eastAsia="Calibri" w:hAnsi="Times New Roman" w:cs="Times New Roman"/>
          <w:sz w:val="24"/>
          <w:szCs w:val="24"/>
        </w:rPr>
      </w:pPr>
    </w:p>
    <w:p w:rsidR="00C02CC2" w:rsidRPr="0066263B" w:rsidRDefault="00C02CC2" w:rsidP="00C02CC2">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«Грубый» предварительный показатель заболеваемости за 12 месяцев 2020 года составил 463,2 на 100 тыс. населения, что ниже аналогичного показателя за 12 месяцев 2019 года – 558,04 на 100 тыс. населения на 16,2%.</w:t>
      </w:r>
    </w:p>
    <w:p w:rsidR="00C02CC2" w:rsidRPr="0066263B" w:rsidRDefault="00C02CC2" w:rsidP="00C02CC2">
      <w:pPr>
        <w:spacing w:before="0" w:after="0"/>
        <w:ind w:firstLine="709"/>
        <w:rPr>
          <w:rFonts w:ascii="Times New Roman" w:eastAsia="Calibri" w:hAnsi="Times New Roman" w:cs="Times New Roman"/>
          <w:sz w:val="24"/>
          <w:szCs w:val="24"/>
        </w:rPr>
      </w:pPr>
      <w:proofErr w:type="gramStart"/>
      <w:r w:rsidRPr="0066263B">
        <w:rPr>
          <w:rFonts w:ascii="Times New Roman" w:eastAsia="Calibri" w:hAnsi="Times New Roman" w:cs="Times New Roman"/>
          <w:sz w:val="24"/>
          <w:szCs w:val="24"/>
        </w:rPr>
        <w:t>Номинальные значения стандартизованных показателей заболеваемости Брянской области по всем группам населения за последние 10 лет складываются выше, чем по РФ и ЦФО.</w:t>
      </w:r>
      <w:proofErr w:type="gramEnd"/>
    </w:p>
    <w:p w:rsidR="00C02CC2" w:rsidRPr="0066263B" w:rsidRDefault="00C02CC2" w:rsidP="00C02CC2">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Показатели заболеваемости Брянской области грубые и стандартизованные по всем группам населения имеют положительные тенденции прироста.</w:t>
      </w:r>
    </w:p>
    <w:p w:rsidR="00C02CC2" w:rsidRPr="0066263B" w:rsidRDefault="00C02CC2" w:rsidP="00C02CC2">
      <w:pPr>
        <w:spacing w:before="0" w:after="0"/>
        <w:ind w:firstLine="709"/>
        <w:rPr>
          <w:rFonts w:ascii="Times New Roman" w:eastAsia="Calibri" w:hAnsi="Times New Roman" w:cs="Times New Roman"/>
          <w:sz w:val="24"/>
          <w:szCs w:val="24"/>
        </w:rPr>
      </w:pPr>
    </w:p>
    <w:p w:rsidR="007A33EE" w:rsidRPr="0066263B" w:rsidRDefault="007A33EE" w:rsidP="007A33EE">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61</w:t>
      </w:r>
      <w:r w:rsidR="006C34E2" w:rsidRPr="0066263B">
        <w:rPr>
          <w:rFonts w:ascii="Times New Roman" w:eastAsia="Calibri" w:hAnsi="Times New Roman" w:cs="Times New Roman"/>
        </w:rPr>
        <w:fldChar w:fldCharType="end"/>
      </w:r>
    </w:p>
    <w:p w:rsidR="00C02CC2" w:rsidRPr="0066263B" w:rsidRDefault="00C02CC2" w:rsidP="00C02CC2">
      <w:pPr>
        <w:autoSpaceDE w:val="0"/>
        <w:autoSpaceDN w:val="0"/>
        <w:adjustRightInd w:val="0"/>
        <w:spacing w:before="0" w:after="0"/>
        <w:jc w:val="center"/>
        <w:rPr>
          <w:rFonts w:ascii="Times New Roman" w:eastAsia="Calibri" w:hAnsi="Times New Roman" w:cs="Times New Roman"/>
          <w:b/>
          <w:iCs/>
          <w:lang w:eastAsia="ru-RU"/>
        </w:rPr>
      </w:pPr>
      <w:r w:rsidRPr="0066263B">
        <w:rPr>
          <w:rFonts w:ascii="Times New Roman" w:eastAsia="Calibri" w:hAnsi="Times New Roman" w:cs="Times New Roman"/>
          <w:b/>
          <w:iCs/>
          <w:lang w:eastAsia="ru-RU"/>
        </w:rPr>
        <w:t>Общая заболеваемость злокачественными новообразованиями населения,</w:t>
      </w:r>
      <w:r w:rsidRPr="0066263B">
        <w:rPr>
          <w:rFonts w:ascii="Times New Roman" w:eastAsia="Calibri" w:hAnsi="Times New Roman" w:cs="Times New Roman"/>
          <w:b/>
          <w:iCs/>
          <w:lang w:eastAsia="ru-RU"/>
        </w:rPr>
        <w:br/>
        <w:t>на 100 тыс. населения («стандартизированные» показатели)</w:t>
      </w:r>
    </w:p>
    <w:p w:rsidR="00C02CC2" w:rsidRPr="0066263B" w:rsidRDefault="00C02CC2" w:rsidP="00C02CC2">
      <w:pPr>
        <w:autoSpaceDE w:val="0"/>
        <w:autoSpaceDN w:val="0"/>
        <w:adjustRightInd w:val="0"/>
        <w:spacing w:before="0" w:after="0"/>
        <w:jc w:val="center"/>
        <w:rPr>
          <w:rFonts w:ascii="Times New Roman" w:eastAsia="Calibri" w:hAnsi="Times New Roman" w:cs="Times New Roman"/>
          <w:b/>
          <w:iCs/>
          <w:lang w:eastAsia="ru-RU"/>
        </w:rPr>
      </w:pPr>
    </w:p>
    <w:tbl>
      <w:tblPr>
        <w:tblW w:w="9201" w:type="dxa"/>
        <w:jc w:val="center"/>
        <w:tblInd w:w="295" w:type="dxa"/>
        <w:tblLayout w:type="fixed"/>
        <w:tblCellMar>
          <w:left w:w="10" w:type="dxa"/>
          <w:right w:w="10" w:type="dxa"/>
        </w:tblCellMar>
        <w:tblLook w:val="0000"/>
      </w:tblPr>
      <w:tblGrid>
        <w:gridCol w:w="1767"/>
        <w:gridCol w:w="929"/>
        <w:gridCol w:w="929"/>
        <w:gridCol w:w="929"/>
        <w:gridCol w:w="930"/>
        <w:gridCol w:w="929"/>
        <w:gridCol w:w="929"/>
        <w:gridCol w:w="929"/>
        <w:gridCol w:w="930"/>
      </w:tblGrid>
      <w:tr w:rsidR="00002F89" w:rsidRPr="0066263B" w:rsidTr="00685039">
        <w:trPr>
          <w:trHeight w:val="131"/>
          <w:jc w:val="center"/>
        </w:trPr>
        <w:tc>
          <w:tcPr>
            <w:tcW w:w="1767" w:type="dxa"/>
            <w:tcBorders>
              <w:top w:val="single" w:sz="4" w:space="0" w:color="auto"/>
              <w:left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Calibri" w:hAnsi="Times New Roman" w:cs="Times New Roman"/>
                <w:b/>
                <w:i/>
                <w:lang w:eastAsia="ru-RU"/>
              </w:rPr>
            </w:pPr>
          </w:p>
        </w:tc>
        <w:tc>
          <w:tcPr>
            <w:tcW w:w="929" w:type="dxa"/>
            <w:tcBorders>
              <w:top w:val="single" w:sz="4" w:space="0" w:color="auto"/>
              <w:left w:val="single" w:sz="4" w:space="0" w:color="auto"/>
              <w:right w:val="single" w:sz="4" w:space="0" w:color="auto"/>
            </w:tcBorders>
            <w:shd w:val="clear" w:color="auto" w:fill="FFFFFF"/>
          </w:tcPr>
          <w:p w:rsidR="00002F89" w:rsidRPr="0066263B" w:rsidRDefault="00002F8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2013</w:t>
            </w:r>
          </w:p>
        </w:tc>
        <w:tc>
          <w:tcPr>
            <w:tcW w:w="929" w:type="dxa"/>
            <w:tcBorders>
              <w:top w:val="single" w:sz="4" w:space="0" w:color="auto"/>
              <w:left w:val="single" w:sz="4" w:space="0" w:color="auto"/>
              <w:right w:val="single" w:sz="4" w:space="0" w:color="auto"/>
            </w:tcBorders>
            <w:shd w:val="clear" w:color="auto" w:fill="FFFFFF"/>
          </w:tcPr>
          <w:p w:rsidR="00002F89" w:rsidRPr="0066263B" w:rsidRDefault="00002F8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2014</w:t>
            </w:r>
          </w:p>
        </w:tc>
        <w:tc>
          <w:tcPr>
            <w:tcW w:w="929" w:type="dxa"/>
            <w:tcBorders>
              <w:top w:val="single" w:sz="4" w:space="0" w:color="auto"/>
              <w:left w:val="single" w:sz="4" w:space="0" w:color="auto"/>
              <w:right w:val="single" w:sz="4" w:space="0" w:color="auto"/>
            </w:tcBorders>
            <w:shd w:val="clear" w:color="auto" w:fill="FFFFFF"/>
          </w:tcPr>
          <w:p w:rsidR="00002F89" w:rsidRPr="0066263B" w:rsidRDefault="00002F8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2015</w:t>
            </w:r>
          </w:p>
        </w:tc>
        <w:tc>
          <w:tcPr>
            <w:tcW w:w="930" w:type="dxa"/>
            <w:tcBorders>
              <w:top w:val="single" w:sz="4" w:space="0" w:color="auto"/>
              <w:left w:val="single" w:sz="4" w:space="0" w:color="auto"/>
              <w:right w:val="single" w:sz="4" w:space="0" w:color="auto"/>
            </w:tcBorders>
            <w:shd w:val="clear" w:color="auto" w:fill="FFFFFF"/>
          </w:tcPr>
          <w:p w:rsidR="00002F89" w:rsidRPr="0066263B" w:rsidRDefault="00002F8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2016</w:t>
            </w:r>
          </w:p>
        </w:tc>
        <w:tc>
          <w:tcPr>
            <w:tcW w:w="929" w:type="dxa"/>
            <w:tcBorders>
              <w:top w:val="single" w:sz="4" w:space="0" w:color="auto"/>
              <w:left w:val="single" w:sz="4" w:space="0" w:color="auto"/>
              <w:right w:val="single" w:sz="4" w:space="0" w:color="auto"/>
            </w:tcBorders>
            <w:shd w:val="clear" w:color="auto" w:fill="FFFFFF"/>
            <w:vAlign w:val="center"/>
          </w:tcPr>
          <w:p w:rsidR="00002F89" w:rsidRPr="0066263B" w:rsidRDefault="00002F8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2017</w:t>
            </w:r>
          </w:p>
        </w:tc>
        <w:tc>
          <w:tcPr>
            <w:tcW w:w="929" w:type="dxa"/>
            <w:tcBorders>
              <w:top w:val="single" w:sz="4" w:space="0" w:color="auto"/>
              <w:left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2018</w:t>
            </w:r>
          </w:p>
        </w:tc>
        <w:tc>
          <w:tcPr>
            <w:tcW w:w="929" w:type="dxa"/>
            <w:tcBorders>
              <w:top w:val="single" w:sz="4" w:space="0" w:color="auto"/>
              <w:left w:val="single" w:sz="4" w:space="0" w:color="auto"/>
              <w:right w:val="single" w:sz="4" w:space="0" w:color="auto"/>
            </w:tcBorders>
            <w:shd w:val="clear" w:color="auto" w:fill="FFFFFF"/>
            <w:vAlign w:val="center"/>
          </w:tcPr>
          <w:p w:rsidR="00002F89" w:rsidRPr="0066263B" w:rsidRDefault="00002F8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2019</w:t>
            </w:r>
          </w:p>
        </w:tc>
        <w:tc>
          <w:tcPr>
            <w:tcW w:w="930" w:type="dxa"/>
            <w:tcBorders>
              <w:top w:val="single" w:sz="4" w:space="0" w:color="auto"/>
              <w:left w:val="single" w:sz="4" w:space="0" w:color="auto"/>
              <w:right w:val="single" w:sz="4" w:space="0" w:color="auto"/>
            </w:tcBorders>
            <w:shd w:val="clear" w:color="auto" w:fill="FFFFFF"/>
            <w:vAlign w:val="center"/>
          </w:tcPr>
          <w:p w:rsidR="00002F89" w:rsidRPr="0066263B" w:rsidRDefault="00002F8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2020</w:t>
            </w:r>
          </w:p>
        </w:tc>
      </w:tr>
      <w:tr w:rsidR="00002F89" w:rsidRPr="0066263B" w:rsidTr="00685039">
        <w:trPr>
          <w:trHeight w:val="211"/>
          <w:jc w:val="center"/>
        </w:trPr>
        <w:tc>
          <w:tcPr>
            <w:tcW w:w="1767"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Брянская область</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267,04</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272,65</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272,93</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270,45</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275,56</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280,6</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300,12</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250,7</w:t>
            </w:r>
          </w:p>
        </w:tc>
      </w:tr>
      <w:tr w:rsidR="00002F89" w:rsidRPr="0066263B" w:rsidTr="00685039">
        <w:trPr>
          <w:trHeight w:val="211"/>
          <w:jc w:val="center"/>
        </w:trPr>
        <w:tc>
          <w:tcPr>
            <w:tcW w:w="1767"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ЦФО</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216,8</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221,81</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229,25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226,58</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232,05</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233,19</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233,64</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н</w:t>
            </w:r>
            <w:proofErr w:type="spellEnd"/>
            <w:r w:rsidRPr="0066263B">
              <w:rPr>
                <w:rFonts w:ascii="Times New Roman" w:eastAsia="Times New Roman" w:hAnsi="Times New Roman" w:cs="Times New Roman"/>
                <w:lang w:eastAsia="ru-RU"/>
              </w:rPr>
              <w:t>/</w:t>
            </w:r>
            <w:proofErr w:type="spellStart"/>
            <w:r w:rsidRPr="0066263B">
              <w:rPr>
                <w:rFonts w:ascii="Times New Roman" w:eastAsia="Times New Roman" w:hAnsi="Times New Roman" w:cs="Times New Roman"/>
                <w:lang w:eastAsia="ru-RU"/>
              </w:rPr>
              <w:t>д</w:t>
            </w:r>
            <w:proofErr w:type="spellEnd"/>
          </w:p>
        </w:tc>
      </w:tr>
      <w:tr w:rsidR="00002F89" w:rsidRPr="0066263B" w:rsidTr="00685039">
        <w:trPr>
          <w:trHeight w:val="285"/>
          <w:jc w:val="center"/>
        </w:trPr>
        <w:tc>
          <w:tcPr>
            <w:tcW w:w="1767"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РФ</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229,22</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235,24</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241,35</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242,61</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246,58</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246,77</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249,54</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002F89" w:rsidRPr="0066263B" w:rsidRDefault="00002F89" w:rsidP="00685039">
            <w:pPr>
              <w:autoSpaceDE w:val="0"/>
              <w:autoSpaceDN w:val="0"/>
              <w:adjustRightInd w:val="0"/>
              <w:spacing w:before="20" w:after="20"/>
              <w:jc w:val="center"/>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н</w:t>
            </w:r>
            <w:proofErr w:type="spellEnd"/>
            <w:r w:rsidRPr="0066263B">
              <w:rPr>
                <w:rFonts w:ascii="Times New Roman" w:eastAsia="Times New Roman" w:hAnsi="Times New Roman" w:cs="Times New Roman"/>
                <w:lang w:eastAsia="ru-RU"/>
              </w:rPr>
              <w:t>/</w:t>
            </w:r>
            <w:proofErr w:type="spellStart"/>
            <w:r w:rsidRPr="0066263B">
              <w:rPr>
                <w:rFonts w:ascii="Times New Roman" w:eastAsia="Times New Roman" w:hAnsi="Times New Roman" w:cs="Times New Roman"/>
                <w:lang w:eastAsia="ru-RU"/>
              </w:rPr>
              <w:t>д</w:t>
            </w:r>
            <w:proofErr w:type="spellEnd"/>
          </w:p>
        </w:tc>
      </w:tr>
    </w:tbl>
    <w:p w:rsidR="00002F89" w:rsidRPr="0066263B" w:rsidRDefault="00002F89" w:rsidP="000F2FEB">
      <w:pPr>
        <w:spacing w:before="0" w:after="0"/>
        <w:ind w:firstLine="709"/>
        <w:rPr>
          <w:rFonts w:ascii="Times New Roman" w:eastAsia="Calibri" w:hAnsi="Times New Roman" w:cs="Times New Roman"/>
          <w:sz w:val="24"/>
          <w:szCs w:val="24"/>
        </w:rPr>
      </w:pPr>
    </w:p>
    <w:p w:rsidR="000F2FEB" w:rsidRPr="0066263B" w:rsidRDefault="000F2FEB" w:rsidP="000F2FEB">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Устойчивый рост заболеваемости ЗНО населения Брянской области объясняется рядом субъективных и объективных причин, из которых наиболее вероятными являются:</w:t>
      </w:r>
    </w:p>
    <w:p w:rsidR="000F2FEB" w:rsidRPr="0066263B" w:rsidRDefault="000F2FEB" w:rsidP="00BE7104">
      <w:pPr>
        <w:pStyle w:val="aff9"/>
        <w:numPr>
          <w:ilvl w:val="0"/>
          <w:numId w:val="60"/>
        </w:numPr>
        <w:ind w:left="851" w:hanging="142"/>
        <w:jc w:val="both"/>
        <w:rPr>
          <w:rFonts w:eastAsia="Calibri"/>
        </w:rPr>
      </w:pPr>
      <w:r w:rsidRPr="0066263B">
        <w:rPr>
          <w:rFonts w:eastAsia="Calibri"/>
        </w:rPr>
        <w:t>постарение населения (и в долевом соотношении, и в номинальном – за счёт увеличения продолжительности жизни);</w:t>
      </w:r>
    </w:p>
    <w:p w:rsidR="000F2FEB" w:rsidRPr="0066263B" w:rsidRDefault="000F2FEB" w:rsidP="00BE7104">
      <w:pPr>
        <w:pStyle w:val="aff9"/>
        <w:numPr>
          <w:ilvl w:val="0"/>
          <w:numId w:val="60"/>
        </w:numPr>
        <w:ind w:left="851" w:hanging="142"/>
        <w:jc w:val="both"/>
        <w:rPr>
          <w:rFonts w:eastAsia="Calibri"/>
        </w:rPr>
      </w:pPr>
      <w:r w:rsidRPr="0066263B">
        <w:rPr>
          <w:rFonts w:eastAsia="Calibri"/>
        </w:rPr>
        <w:t>качественное и количественное улучшение диагностических возможностей выявления ЗНО;</w:t>
      </w:r>
    </w:p>
    <w:p w:rsidR="000F2FEB" w:rsidRPr="0066263B" w:rsidRDefault="000F2FEB" w:rsidP="00BE7104">
      <w:pPr>
        <w:pStyle w:val="aff9"/>
        <w:numPr>
          <w:ilvl w:val="0"/>
          <w:numId w:val="60"/>
        </w:numPr>
        <w:ind w:left="851" w:hanging="142"/>
        <w:jc w:val="both"/>
        <w:rPr>
          <w:rFonts w:eastAsia="Calibri"/>
        </w:rPr>
      </w:pPr>
      <w:r w:rsidRPr="0066263B">
        <w:rPr>
          <w:rFonts w:eastAsia="Calibri"/>
        </w:rPr>
        <w:t>увеличение количества населения, прошедшего все виды профилактических осмотров;</w:t>
      </w:r>
    </w:p>
    <w:p w:rsidR="00002F89" w:rsidRPr="0066263B" w:rsidRDefault="000F2FEB" w:rsidP="00BE7104">
      <w:pPr>
        <w:pStyle w:val="aff9"/>
        <w:numPr>
          <w:ilvl w:val="0"/>
          <w:numId w:val="60"/>
        </w:numPr>
        <w:ind w:left="851" w:hanging="142"/>
        <w:jc w:val="both"/>
        <w:rPr>
          <w:rFonts w:eastAsia="Calibri"/>
        </w:rPr>
      </w:pPr>
      <w:r w:rsidRPr="0066263B">
        <w:rPr>
          <w:rFonts w:eastAsia="Calibri"/>
        </w:rPr>
        <w:t xml:space="preserve">увеличение количества диагнозов ЗНО, установленных патологоанатомами при </w:t>
      </w:r>
      <w:r w:rsidR="00002F89" w:rsidRPr="0066263B">
        <w:rPr>
          <w:rFonts w:eastAsia="Calibri"/>
        </w:rPr>
        <w:t xml:space="preserve"> </w:t>
      </w:r>
      <w:r w:rsidRPr="0066263B">
        <w:rPr>
          <w:rFonts w:eastAsia="Calibri"/>
        </w:rPr>
        <w:t>вскрытии умерших преимущественно при смерти на дому (</w:t>
      </w:r>
      <w:r w:rsidR="00002F89" w:rsidRPr="0066263B">
        <w:rPr>
          <w:rFonts w:eastAsia="Calibri"/>
        </w:rPr>
        <w:t>с 61 случая в 2010 г. до 496 случаев в 2020 г.)</w:t>
      </w:r>
    </w:p>
    <w:p w:rsidR="000F2FEB" w:rsidRPr="0066263B" w:rsidRDefault="000F2FEB" w:rsidP="00BE7104">
      <w:pPr>
        <w:pStyle w:val="aff9"/>
        <w:numPr>
          <w:ilvl w:val="0"/>
          <w:numId w:val="60"/>
        </w:numPr>
        <w:ind w:left="851" w:hanging="142"/>
        <w:jc w:val="both"/>
        <w:rPr>
          <w:rFonts w:eastAsia="Calibri"/>
        </w:rPr>
      </w:pPr>
      <w:r w:rsidRPr="0066263B">
        <w:rPr>
          <w:rFonts w:eastAsia="Calibri"/>
        </w:rPr>
        <w:t>экологические и социальные факторы (курение, пищевые пристрастия и др.)</w:t>
      </w:r>
      <w:r w:rsidR="00E1795D" w:rsidRPr="0066263B">
        <w:rPr>
          <w:rFonts w:eastAsia="Calibri"/>
        </w:rPr>
        <w:t>.</w:t>
      </w:r>
    </w:p>
    <w:p w:rsidR="00324483" w:rsidRPr="0066263B" w:rsidRDefault="00324483" w:rsidP="00324483">
      <w:pPr>
        <w:spacing w:before="0" w:after="0"/>
        <w:ind w:firstLine="709"/>
        <w:rPr>
          <w:rFonts w:ascii="Times New Roman" w:eastAsia="Calibri" w:hAnsi="Times New Roman" w:cs="Times New Roman"/>
          <w:sz w:val="24"/>
          <w:szCs w:val="24"/>
        </w:rPr>
      </w:pPr>
    </w:p>
    <w:p w:rsidR="000F2FEB" w:rsidRPr="0066263B" w:rsidRDefault="000F2FEB" w:rsidP="000F2FEB">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lastRenderedPageBreak/>
        <w:t>В значение величины прироста показателей заболеваемости злокачественными новообразованиями населения Брянской области за 10 лет внесли свой вклад высокие показатели заболеваемости раком щитовидной железы, которые в разы и у мужчин, и у женщин выше, чем по РФ в целом.</w:t>
      </w:r>
    </w:p>
    <w:p w:rsidR="00151409" w:rsidRPr="0066263B" w:rsidRDefault="00151409" w:rsidP="00151409">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Показатели контингента больных ЗНО (на 100 тыс. нас.) на протяжении 2014-2020 г.г. превышают аналогичные показатели по РФ и ЦФО.</w:t>
      </w:r>
    </w:p>
    <w:p w:rsidR="00151409" w:rsidRPr="0066263B" w:rsidRDefault="00151409" w:rsidP="00151409">
      <w:pPr>
        <w:spacing w:before="0" w:after="0"/>
        <w:ind w:firstLine="709"/>
        <w:rPr>
          <w:rFonts w:ascii="Times New Roman" w:eastAsia="Calibri" w:hAnsi="Times New Roman" w:cs="Times New Roman"/>
          <w:sz w:val="24"/>
          <w:szCs w:val="24"/>
        </w:rPr>
      </w:pPr>
    </w:p>
    <w:p w:rsidR="00151409" w:rsidRPr="0066263B" w:rsidRDefault="00151409" w:rsidP="00151409">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62</w:t>
      </w:r>
      <w:r w:rsidR="006C34E2" w:rsidRPr="0066263B">
        <w:rPr>
          <w:rFonts w:ascii="Times New Roman" w:eastAsia="Calibri" w:hAnsi="Times New Roman" w:cs="Times New Roman"/>
        </w:rPr>
        <w:fldChar w:fldCharType="end"/>
      </w:r>
    </w:p>
    <w:p w:rsidR="00151409" w:rsidRPr="0066263B" w:rsidRDefault="00151409" w:rsidP="00151409">
      <w:pPr>
        <w:autoSpaceDE w:val="0"/>
        <w:autoSpaceDN w:val="0"/>
        <w:adjustRightInd w:val="0"/>
        <w:spacing w:before="0" w:after="0"/>
        <w:jc w:val="center"/>
        <w:rPr>
          <w:rFonts w:ascii="Times New Roman" w:eastAsia="Calibri" w:hAnsi="Times New Roman" w:cs="Times New Roman"/>
          <w:b/>
          <w:iCs/>
          <w:lang w:eastAsia="ru-RU"/>
        </w:rPr>
      </w:pPr>
      <w:r w:rsidRPr="0066263B">
        <w:rPr>
          <w:rFonts w:ascii="Times New Roman" w:eastAsia="Calibri" w:hAnsi="Times New Roman" w:cs="Times New Roman"/>
          <w:b/>
          <w:iCs/>
          <w:lang w:eastAsia="ru-RU"/>
        </w:rPr>
        <w:t>Общая заболеваемость злокачественными новообразованиями населения,</w:t>
      </w:r>
      <w:r w:rsidRPr="0066263B">
        <w:rPr>
          <w:rFonts w:ascii="Times New Roman" w:eastAsia="Calibri" w:hAnsi="Times New Roman" w:cs="Times New Roman"/>
          <w:b/>
          <w:iCs/>
          <w:lang w:eastAsia="ru-RU"/>
        </w:rPr>
        <w:br/>
        <w:t>на 100 тыс. населения («стандартизированные» показатели)</w:t>
      </w:r>
    </w:p>
    <w:p w:rsidR="00151409" w:rsidRPr="0066263B" w:rsidRDefault="00151409" w:rsidP="00151409">
      <w:pPr>
        <w:autoSpaceDE w:val="0"/>
        <w:autoSpaceDN w:val="0"/>
        <w:adjustRightInd w:val="0"/>
        <w:spacing w:before="0" w:after="0"/>
        <w:jc w:val="center"/>
        <w:rPr>
          <w:rFonts w:ascii="Times New Roman" w:eastAsia="Calibri" w:hAnsi="Times New Roman" w:cs="Times New Roman"/>
          <w:b/>
          <w:iCs/>
          <w:lang w:eastAsia="ru-RU"/>
        </w:rPr>
      </w:pPr>
    </w:p>
    <w:tbl>
      <w:tblPr>
        <w:tblW w:w="9162" w:type="dxa"/>
        <w:jc w:val="center"/>
        <w:tblInd w:w="-194" w:type="dxa"/>
        <w:tblLayout w:type="fixed"/>
        <w:tblCellMar>
          <w:left w:w="10" w:type="dxa"/>
          <w:right w:w="10" w:type="dxa"/>
        </w:tblCellMar>
        <w:tblLook w:val="0000"/>
      </w:tblPr>
      <w:tblGrid>
        <w:gridCol w:w="2256"/>
        <w:gridCol w:w="986"/>
        <w:gridCol w:w="987"/>
        <w:gridCol w:w="986"/>
        <w:gridCol w:w="987"/>
        <w:gridCol w:w="986"/>
        <w:gridCol w:w="987"/>
        <w:gridCol w:w="987"/>
      </w:tblGrid>
      <w:tr w:rsidR="00151409" w:rsidRPr="0066263B" w:rsidTr="00151409">
        <w:trPr>
          <w:trHeight w:val="131"/>
          <w:jc w:val="center"/>
        </w:trPr>
        <w:tc>
          <w:tcPr>
            <w:tcW w:w="2256" w:type="dxa"/>
            <w:tcBorders>
              <w:top w:val="single" w:sz="4" w:space="0" w:color="auto"/>
              <w:left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Calibri" w:hAnsi="Times New Roman" w:cs="Times New Roman"/>
                <w:b/>
                <w:i/>
                <w:lang w:eastAsia="ru-RU"/>
              </w:rPr>
            </w:pPr>
          </w:p>
        </w:tc>
        <w:tc>
          <w:tcPr>
            <w:tcW w:w="986" w:type="dxa"/>
            <w:tcBorders>
              <w:top w:val="single" w:sz="4" w:space="0" w:color="auto"/>
              <w:left w:val="single" w:sz="4" w:space="0" w:color="auto"/>
              <w:right w:val="single" w:sz="4" w:space="0" w:color="auto"/>
            </w:tcBorders>
            <w:shd w:val="clear" w:color="auto" w:fill="FFFFFF"/>
          </w:tcPr>
          <w:p w:rsidR="00151409" w:rsidRPr="0066263B" w:rsidRDefault="0015140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2014</w:t>
            </w:r>
          </w:p>
        </w:tc>
        <w:tc>
          <w:tcPr>
            <w:tcW w:w="987" w:type="dxa"/>
            <w:tcBorders>
              <w:top w:val="single" w:sz="4" w:space="0" w:color="auto"/>
              <w:left w:val="single" w:sz="4" w:space="0" w:color="auto"/>
              <w:right w:val="single" w:sz="4" w:space="0" w:color="auto"/>
            </w:tcBorders>
            <w:shd w:val="clear" w:color="auto" w:fill="FFFFFF"/>
          </w:tcPr>
          <w:p w:rsidR="00151409" w:rsidRPr="0066263B" w:rsidRDefault="0015140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2015</w:t>
            </w:r>
          </w:p>
        </w:tc>
        <w:tc>
          <w:tcPr>
            <w:tcW w:w="986" w:type="dxa"/>
            <w:tcBorders>
              <w:top w:val="single" w:sz="4" w:space="0" w:color="auto"/>
              <w:left w:val="single" w:sz="4" w:space="0" w:color="auto"/>
              <w:right w:val="single" w:sz="4" w:space="0" w:color="auto"/>
            </w:tcBorders>
            <w:shd w:val="clear" w:color="auto" w:fill="FFFFFF"/>
          </w:tcPr>
          <w:p w:rsidR="00151409" w:rsidRPr="0066263B" w:rsidRDefault="0015140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2016</w:t>
            </w:r>
          </w:p>
        </w:tc>
        <w:tc>
          <w:tcPr>
            <w:tcW w:w="987" w:type="dxa"/>
            <w:tcBorders>
              <w:top w:val="single" w:sz="4" w:space="0" w:color="auto"/>
              <w:left w:val="single" w:sz="4" w:space="0" w:color="auto"/>
              <w:right w:val="single" w:sz="4" w:space="0" w:color="auto"/>
            </w:tcBorders>
            <w:shd w:val="clear" w:color="auto" w:fill="FFFFFF"/>
            <w:vAlign w:val="center"/>
          </w:tcPr>
          <w:p w:rsidR="00151409" w:rsidRPr="0066263B" w:rsidRDefault="0015140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2017</w:t>
            </w:r>
          </w:p>
        </w:tc>
        <w:tc>
          <w:tcPr>
            <w:tcW w:w="986" w:type="dxa"/>
            <w:tcBorders>
              <w:top w:val="single" w:sz="4" w:space="0" w:color="auto"/>
              <w:left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2018</w:t>
            </w:r>
          </w:p>
        </w:tc>
        <w:tc>
          <w:tcPr>
            <w:tcW w:w="987" w:type="dxa"/>
            <w:tcBorders>
              <w:top w:val="single" w:sz="4" w:space="0" w:color="auto"/>
              <w:left w:val="single" w:sz="4" w:space="0" w:color="auto"/>
              <w:right w:val="single" w:sz="4" w:space="0" w:color="auto"/>
            </w:tcBorders>
            <w:shd w:val="clear" w:color="auto" w:fill="FFFFFF"/>
            <w:vAlign w:val="center"/>
          </w:tcPr>
          <w:p w:rsidR="00151409" w:rsidRPr="0066263B" w:rsidRDefault="0015140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2019</w:t>
            </w:r>
          </w:p>
        </w:tc>
        <w:tc>
          <w:tcPr>
            <w:tcW w:w="987" w:type="dxa"/>
            <w:tcBorders>
              <w:top w:val="single" w:sz="4" w:space="0" w:color="auto"/>
              <w:left w:val="single" w:sz="4" w:space="0" w:color="auto"/>
              <w:right w:val="single" w:sz="4" w:space="0" w:color="auto"/>
            </w:tcBorders>
            <w:shd w:val="clear" w:color="auto" w:fill="FFFFFF"/>
            <w:vAlign w:val="center"/>
          </w:tcPr>
          <w:p w:rsidR="00151409" w:rsidRPr="0066263B" w:rsidRDefault="00151409" w:rsidP="00685039">
            <w:pPr>
              <w:spacing w:before="20" w:after="20"/>
              <w:jc w:val="center"/>
              <w:rPr>
                <w:rFonts w:ascii="Times New Roman" w:eastAsia="Calibri" w:hAnsi="Times New Roman" w:cs="Times New Roman"/>
                <w:b/>
                <w:i/>
                <w:lang w:eastAsia="ru-RU"/>
              </w:rPr>
            </w:pPr>
            <w:r w:rsidRPr="0066263B">
              <w:rPr>
                <w:rFonts w:ascii="Times New Roman" w:eastAsia="Calibri" w:hAnsi="Times New Roman" w:cs="Times New Roman"/>
                <w:b/>
                <w:i/>
                <w:lang w:eastAsia="ru-RU"/>
              </w:rPr>
              <w:t>2020</w:t>
            </w:r>
          </w:p>
        </w:tc>
      </w:tr>
      <w:tr w:rsidR="00151409" w:rsidRPr="0066263B" w:rsidTr="00151409">
        <w:trPr>
          <w:trHeight w:val="211"/>
          <w:jc w:val="center"/>
        </w:trPr>
        <w:tc>
          <w:tcPr>
            <w:tcW w:w="2256"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Брянская область</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2644,4</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2687,8</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2755,2</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2831,1</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2960,1</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3126,4</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3151,2</w:t>
            </w:r>
          </w:p>
        </w:tc>
      </w:tr>
      <w:tr w:rsidR="00151409" w:rsidRPr="0066263B" w:rsidTr="00151409">
        <w:trPr>
          <w:trHeight w:val="211"/>
          <w:jc w:val="center"/>
        </w:trPr>
        <w:tc>
          <w:tcPr>
            <w:tcW w:w="2256"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РФ</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2257,2</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2329,8</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2385,0</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2475,3</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2562,1</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2675,4</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н</w:t>
            </w:r>
            <w:proofErr w:type="spellEnd"/>
            <w:r w:rsidRPr="0066263B">
              <w:rPr>
                <w:rFonts w:ascii="Times New Roman" w:eastAsia="Times New Roman" w:hAnsi="Times New Roman" w:cs="Times New Roman"/>
                <w:lang w:eastAsia="ru-RU"/>
              </w:rPr>
              <w:t>/</w:t>
            </w:r>
            <w:proofErr w:type="spellStart"/>
            <w:r w:rsidRPr="0066263B">
              <w:rPr>
                <w:rFonts w:ascii="Times New Roman" w:eastAsia="Times New Roman" w:hAnsi="Times New Roman" w:cs="Times New Roman"/>
                <w:lang w:eastAsia="ru-RU"/>
              </w:rPr>
              <w:t>д</w:t>
            </w:r>
            <w:proofErr w:type="spellEnd"/>
          </w:p>
        </w:tc>
      </w:tr>
      <w:tr w:rsidR="00151409" w:rsidRPr="0066263B" w:rsidTr="00151409">
        <w:trPr>
          <w:trHeight w:val="285"/>
          <w:jc w:val="center"/>
        </w:trPr>
        <w:tc>
          <w:tcPr>
            <w:tcW w:w="2256"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ind w:left="57"/>
              <w:jc w:val="left"/>
              <w:rPr>
                <w:rFonts w:ascii="Times New Roman" w:eastAsia="Calibri" w:hAnsi="Times New Roman" w:cs="Times New Roman"/>
                <w:lang w:eastAsia="ru-RU"/>
              </w:rPr>
            </w:pPr>
            <w:r w:rsidRPr="0066263B">
              <w:rPr>
                <w:rFonts w:ascii="Times New Roman" w:eastAsia="Calibri" w:hAnsi="Times New Roman" w:cs="Times New Roman"/>
                <w:lang w:eastAsia="ru-RU"/>
              </w:rPr>
              <w:t>ЦФО</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2487,6</w:t>
            </w:r>
          </w:p>
        </w:tc>
        <w:tc>
          <w:tcPr>
            <w:tcW w:w="987"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2547,0</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2631,0</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2677,1</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2733,2</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2859,3</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151409" w:rsidRPr="0066263B" w:rsidRDefault="00151409" w:rsidP="00685039">
            <w:pPr>
              <w:autoSpaceDE w:val="0"/>
              <w:autoSpaceDN w:val="0"/>
              <w:adjustRightInd w:val="0"/>
              <w:spacing w:before="20" w:after="20"/>
              <w:jc w:val="center"/>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н</w:t>
            </w:r>
            <w:proofErr w:type="spellEnd"/>
            <w:r w:rsidRPr="0066263B">
              <w:rPr>
                <w:rFonts w:ascii="Times New Roman" w:eastAsia="Times New Roman" w:hAnsi="Times New Roman" w:cs="Times New Roman"/>
                <w:lang w:eastAsia="ru-RU"/>
              </w:rPr>
              <w:t>/</w:t>
            </w:r>
            <w:proofErr w:type="spellStart"/>
            <w:r w:rsidRPr="0066263B">
              <w:rPr>
                <w:rFonts w:ascii="Times New Roman" w:eastAsia="Times New Roman" w:hAnsi="Times New Roman" w:cs="Times New Roman"/>
                <w:lang w:eastAsia="ru-RU"/>
              </w:rPr>
              <w:t>д</w:t>
            </w:r>
            <w:proofErr w:type="spellEnd"/>
          </w:p>
        </w:tc>
      </w:tr>
    </w:tbl>
    <w:p w:rsidR="005B03BD" w:rsidRPr="0066263B" w:rsidRDefault="005B03BD" w:rsidP="00151409">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ind w:firstLine="709"/>
        <w:rPr>
          <w:rFonts w:ascii="Times New Roman" w:eastAsia="Calibri" w:hAnsi="Times New Roman" w:cs="Times New Roman"/>
          <w:i/>
          <w:sz w:val="24"/>
          <w:szCs w:val="24"/>
          <w:u w:val="single"/>
        </w:rPr>
      </w:pPr>
      <w:r w:rsidRPr="0066263B">
        <w:rPr>
          <w:rFonts w:ascii="Times New Roman" w:eastAsia="Calibri" w:hAnsi="Times New Roman" w:cs="Times New Roman"/>
          <w:i/>
          <w:sz w:val="24"/>
          <w:szCs w:val="24"/>
          <w:u w:val="single"/>
        </w:rPr>
        <w:t>Психические болезни</w:t>
      </w:r>
    </w:p>
    <w:p w:rsidR="001E56A2" w:rsidRPr="0066263B" w:rsidRDefault="001E56A2" w:rsidP="001E56A2">
      <w:pPr>
        <w:spacing w:before="0" w:after="0"/>
        <w:ind w:firstLine="709"/>
        <w:rPr>
          <w:rFonts w:ascii="Times New Roman" w:eastAsia="Calibri" w:hAnsi="Times New Roman" w:cs="Times New Roman"/>
          <w:sz w:val="24"/>
          <w:szCs w:val="24"/>
        </w:rPr>
      </w:pPr>
      <w:proofErr w:type="gramStart"/>
      <w:r w:rsidRPr="0066263B">
        <w:rPr>
          <w:rFonts w:ascii="Times New Roman" w:eastAsia="Calibri" w:hAnsi="Times New Roman" w:cs="Times New Roman"/>
          <w:sz w:val="24"/>
          <w:szCs w:val="24"/>
        </w:rPr>
        <w:t xml:space="preserve">В 2020 году в Брянской области было зарегистрировано 22 143 человека с психическими расстройствами и расстройствами поведения (кроме заболеваний, связанных с употреблением </w:t>
      </w:r>
      <w:proofErr w:type="spellStart"/>
      <w:r w:rsidRPr="0066263B">
        <w:rPr>
          <w:rFonts w:ascii="Times New Roman" w:eastAsia="Calibri" w:hAnsi="Times New Roman" w:cs="Times New Roman"/>
          <w:sz w:val="24"/>
          <w:szCs w:val="24"/>
        </w:rPr>
        <w:t>психоактивных</w:t>
      </w:r>
      <w:proofErr w:type="spellEnd"/>
      <w:r w:rsidRPr="0066263B">
        <w:rPr>
          <w:rFonts w:ascii="Times New Roman" w:eastAsia="Calibri" w:hAnsi="Times New Roman" w:cs="Times New Roman"/>
          <w:sz w:val="24"/>
          <w:szCs w:val="24"/>
        </w:rPr>
        <w:t xml:space="preserve"> веществ), что составило 1 856,8 на 100 тыс. населения (2019 – 22 481 чел. или 1 873,1 на 100 тыс. нас.; РФ 2019 – 2 680,2 на 100 тыс. нас.).</w:t>
      </w:r>
      <w:proofErr w:type="gramEnd"/>
      <w:r w:rsidRPr="0066263B">
        <w:rPr>
          <w:rFonts w:ascii="Times New Roman" w:eastAsia="Calibri" w:hAnsi="Times New Roman" w:cs="Times New Roman"/>
          <w:sz w:val="24"/>
          <w:szCs w:val="24"/>
        </w:rPr>
        <w:t xml:space="preserve"> </w:t>
      </w:r>
      <w:proofErr w:type="gramStart"/>
      <w:r w:rsidRPr="0066263B">
        <w:rPr>
          <w:rFonts w:ascii="Times New Roman" w:eastAsia="Calibri" w:hAnsi="Times New Roman" w:cs="Times New Roman"/>
          <w:sz w:val="24"/>
          <w:szCs w:val="24"/>
        </w:rPr>
        <w:t>Отмечается уменьшение данного показателя на 0,9%. Из числа зарегистрированных больных более половины составили мужчины – 60,0%, сельских жителей – 35,3%. По сравнению с 2019 годом контингент больных психическими расстройствами и расстройствами поведения уменьшился во всех возрастных категориях на 338 человек или на 1,5%: во взрослой группе – на 217 человек или на 1,2%, а среди детей от 0 до 17 лет – на 121</w:t>
      </w:r>
      <w:proofErr w:type="gramEnd"/>
      <w:r w:rsidRPr="0066263B">
        <w:rPr>
          <w:rFonts w:ascii="Times New Roman" w:eastAsia="Calibri" w:hAnsi="Times New Roman" w:cs="Times New Roman"/>
          <w:sz w:val="24"/>
          <w:szCs w:val="24"/>
        </w:rPr>
        <w:t xml:space="preserve"> человека или на 2,7%. В возрастной структуре общей заболеваемости населения области психическими расстройствами и расстройствами поведения преобладает возраст от 20 до 39 лет – 32,2% (табл. 6</w:t>
      </w:r>
      <w:r w:rsidR="00816777" w:rsidRPr="0066263B">
        <w:rPr>
          <w:rFonts w:ascii="Times New Roman" w:eastAsia="Calibri" w:hAnsi="Times New Roman" w:cs="Times New Roman"/>
          <w:sz w:val="24"/>
          <w:szCs w:val="24"/>
        </w:rPr>
        <w:t>3</w:t>
      </w:r>
      <w:r w:rsidRPr="0066263B">
        <w:rPr>
          <w:rFonts w:ascii="Times New Roman" w:eastAsia="Calibri" w:hAnsi="Times New Roman" w:cs="Times New Roman"/>
          <w:sz w:val="24"/>
          <w:szCs w:val="24"/>
        </w:rPr>
        <w:t>).</w:t>
      </w:r>
    </w:p>
    <w:p w:rsidR="001E56A2" w:rsidRPr="0066263B" w:rsidRDefault="001E56A2" w:rsidP="000F2FEB">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63</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iCs/>
          <w:lang w:eastAsia="ru-RU"/>
        </w:rPr>
      </w:pPr>
      <w:r w:rsidRPr="0066263B">
        <w:rPr>
          <w:rFonts w:ascii="Times New Roman" w:eastAsia="Times New Roman" w:hAnsi="Times New Roman" w:cs="Times New Roman"/>
          <w:b/>
          <w:iCs/>
          <w:lang w:eastAsia="ru-RU"/>
        </w:rPr>
        <w:t>Возрастная структура заболеваемости населения области психическими</w:t>
      </w:r>
      <w:r w:rsidRPr="0066263B">
        <w:rPr>
          <w:rFonts w:ascii="Times New Roman" w:eastAsia="Times New Roman" w:hAnsi="Times New Roman" w:cs="Times New Roman"/>
          <w:b/>
          <w:iCs/>
          <w:lang w:eastAsia="ru-RU"/>
        </w:rPr>
        <w:br/>
        <w:t>расстройствами и расстройствами поведения</w:t>
      </w:r>
    </w:p>
    <w:p w:rsidR="00324483" w:rsidRPr="0066263B" w:rsidRDefault="00324483" w:rsidP="00324483">
      <w:pPr>
        <w:spacing w:before="0" w:after="0"/>
        <w:jc w:val="center"/>
        <w:rPr>
          <w:rFonts w:ascii="Times New Roman" w:eastAsia="TimesNewRomanPSMT" w:hAnsi="Times New Roman" w:cs="Times New Roman"/>
          <w:b/>
          <w:highlight w:val="yellow"/>
        </w:rPr>
      </w:pPr>
    </w:p>
    <w:tbl>
      <w:tblPr>
        <w:tblW w:w="9160" w:type="dxa"/>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3"/>
        <w:gridCol w:w="850"/>
        <w:gridCol w:w="993"/>
        <w:gridCol w:w="1417"/>
        <w:gridCol w:w="992"/>
        <w:gridCol w:w="851"/>
        <w:gridCol w:w="850"/>
        <w:gridCol w:w="1134"/>
      </w:tblGrid>
      <w:tr w:rsidR="00324483" w:rsidRPr="0066263B" w:rsidTr="0097318F">
        <w:trPr>
          <w:trHeight w:val="318"/>
          <w:jc w:val="center"/>
        </w:trPr>
        <w:tc>
          <w:tcPr>
            <w:tcW w:w="2923" w:type="dxa"/>
            <w:gridSpan w:val="2"/>
            <w:vMerge w:val="restart"/>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Показатель</w:t>
            </w:r>
          </w:p>
        </w:tc>
        <w:tc>
          <w:tcPr>
            <w:tcW w:w="993" w:type="dxa"/>
            <w:vMerge w:val="restart"/>
            <w:vAlign w:val="center"/>
          </w:tcPr>
          <w:p w:rsidR="00324483" w:rsidRPr="0066263B" w:rsidRDefault="00324483" w:rsidP="0097318F">
            <w:pPr>
              <w:autoSpaceDE w:val="0"/>
              <w:autoSpaceDN w:val="0"/>
              <w:adjustRightInd w:val="0"/>
              <w:spacing w:before="20" w:after="20"/>
              <w:jc w:val="center"/>
              <w:rPr>
                <w:rFonts w:ascii="Times New Roman" w:eastAsia="TimesNewRomanPSMT" w:hAnsi="Times New Roman" w:cs="Times New Roman"/>
                <w:b/>
                <w:i/>
              </w:rPr>
            </w:pPr>
            <w:r w:rsidRPr="0066263B">
              <w:rPr>
                <w:rFonts w:ascii="Times New Roman" w:eastAsia="Times New Roman" w:hAnsi="Times New Roman" w:cs="Times New Roman"/>
                <w:b/>
                <w:i/>
                <w:lang w:eastAsia="ru-RU"/>
              </w:rPr>
              <w:t>Дети</w:t>
            </w:r>
            <w:r w:rsidRPr="0066263B">
              <w:rPr>
                <w:rFonts w:ascii="Times New Roman" w:eastAsia="Times New Roman" w:hAnsi="Times New Roman" w:cs="Times New Roman"/>
                <w:b/>
                <w:i/>
                <w:lang w:eastAsia="ru-RU"/>
              </w:rPr>
              <w:br/>
              <w:t>(0-14 лет)</w:t>
            </w:r>
          </w:p>
        </w:tc>
        <w:tc>
          <w:tcPr>
            <w:tcW w:w="1417" w:type="dxa"/>
            <w:vMerge w:val="restart"/>
            <w:vAlign w:val="center"/>
          </w:tcPr>
          <w:p w:rsidR="00324483" w:rsidRPr="0066263B" w:rsidRDefault="00324483" w:rsidP="0097318F">
            <w:pPr>
              <w:autoSpaceDE w:val="0"/>
              <w:autoSpaceDN w:val="0"/>
              <w:adjustRightInd w:val="0"/>
              <w:spacing w:before="20" w:after="20"/>
              <w:jc w:val="center"/>
              <w:rPr>
                <w:rFonts w:ascii="Times New Roman" w:eastAsia="TimesNewRomanPSMT" w:hAnsi="Times New Roman" w:cs="Times New Roman"/>
                <w:b/>
                <w:i/>
              </w:rPr>
            </w:pPr>
            <w:r w:rsidRPr="0066263B">
              <w:rPr>
                <w:rFonts w:ascii="Times New Roman" w:eastAsia="Times New Roman" w:hAnsi="Times New Roman" w:cs="Times New Roman"/>
                <w:b/>
                <w:i/>
                <w:lang w:eastAsia="ru-RU"/>
              </w:rPr>
              <w:t>Подростки</w:t>
            </w:r>
            <w:r w:rsidRPr="0066263B">
              <w:rPr>
                <w:rFonts w:ascii="Times New Roman" w:eastAsia="Times New Roman" w:hAnsi="Times New Roman" w:cs="Times New Roman"/>
                <w:b/>
                <w:i/>
                <w:lang w:eastAsia="ru-RU"/>
              </w:rPr>
              <w:br/>
              <w:t>(15-17 лет)</w:t>
            </w:r>
          </w:p>
        </w:tc>
        <w:tc>
          <w:tcPr>
            <w:tcW w:w="3827" w:type="dxa"/>
            <w:gridSpan w:val="4"/>
            <w:vAlign w:val="center"/>
          </w:tcPr>
          <w:p w:rsidR="00324483" w:rsidRPr="0066263B" w:rsidRDefault="00324483" w:rsidP="0097318F">
            <w:pPr>
              <w:spacing w:before="20" w:after="20"/>
              <w:jc w:val="center"/>
              <w:rPr>
                <w:rFonts w:ascii="Times New Roman" w:eastAsia="TimesNewRomanPSMT" w:hAnsi="Times New Roman" w:cs="Times New Roman"/>
                <w:b/>
                <w:i/>
              </w:rPr>
            </w:pPr>
            <w:r w:rsidRPr="0066263B">
              <w:rPr>
                <w:rFonts w:ascii="Times New Roman" w:eastAsia="TimesNewRomanPSMT" w:hAnsi="Times New Roman" w:cs="Times New Roman"/>
                <w:b/>
                <w:i/>
              </w:rPr>
              <w:t>Взрослые</w:t>
            </w:r>
          </w:p>
        </w:tc>
      </w:tr>
      <w:tr w:rsidR="00324483" w:rsidRPr="0066263B" w:rsidTr="0097318F">
        <w:trPr>
          <w:trHeight w:val="469"/>
          <w:jc w:val="center"/>
        </w:trPr>
        <w:tc>
          <w:tcPr>
            <w:tcW w:w="2923" w:type="dxa"/>
            <w:gridSpan w:val="2"/>
            <w:vMerge/>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b/>
                <w:i/>
                <w:lang w:eastAsia="ru-RU"/>
              </w:rPr>
            </w:pPr>
          </w:p>
        </w:tc>
        <w:tc>
          <w:tcPr>
            <w:tcW w:w="993" w:type="dxa"/>
            <w:vMerge/>
            <w:tcBorders>
              <w:bottom w:val="double" w:sz="4" w:space="0" w:color="auto"/>
            </w:tcBorders>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b/>
                <w:i/>
                <w:lang w:eastAsia="ru-RU"/>
              </w:rPr>
            </w:pPr>
          </w:p>
        </w:tc>
        <w:tc>
          <w:tcPr>
            <w:tcW w:w="1417" w:type="dxa"/>
            <w:vMerge/>
            <w:tcBorders>
              <w:bottom w:val="double" w:sz="4" w:space="0" w:color="auto"/>
            </w:tcBorders>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b/>
                <w:i/>
                <w:lang w:eastAsia="ru-RU"/>
              </w:rPr>
            </w:pPr>
          </w:p>
        </w:tc>
        <w:tc>
          <w:tcPr>
            <w:tcW w:w="992" w:type="dxa"/>
            <w:tcBorders>
              <w:bottom w:val="double" w:sz="4" w:space="0" w:color="auto"/>
            </w:tcBorders>
            <w:vAlign w:val="center"/>
          </w:tcPr>
          <w:p w:rsidR="00324483" w:rsidRPr="0066263B" w:rsidRDefault="00324483" w:rsidP="0097318F">
            <w:pPr>
              <w:autoSpaceDE w:val="0"/>
              <w:autoSpaceDN w:val="0"/>
              <w:adjustRightInd w:val="0"/>
              <w:spacing w:before="20" w:after="20"/>
              <w:jc w:val="center"/>
              <w:rPr>
                <w:rFonts w:ascii="Times New Roman" w:eastAsia="TimesNewRomanPSMT" w:hAnsi="Times New Roman" w:cs="Times New Roman"/>
                <w:b/>
                <w:i/>
              </w:rPr>
            </w:pPr>
            <w:r w:rsidRPr="0066263B">
              <w:rPr>
                <w:rFonts w:ascii="Times New Roman" w:eastAsia="Times New Roman" w:hAnsi="Times New Roman" w:cs="Times New Roman"/>
                <w:b/>
                <w:i/>
                <w:lang w:eastAsia="ru-RU"/>
              </w:rPr>
              <w:t>18-19 лет</w:t>
            </w:r>
          </w:p>
        </w:tc>
        <w:tc>
          <w:tcPr>
            <w:tcW w:w="851" w:type="dxa"/>
            <w:tcBorders>
              <w:bottom w:val="double" w:sz="4" w:space="0" w:color="auto"/>
            </w:tcBorders>
            <w:vAlign w:val="center"/>
          </w:tcPr>
          <w:p w:rsidR="00324483" w:rsidRPr="0066263B" w:rsidRDefault="00324483" w:rsidP="0097318F">
            <w:pPr>
              <w:autoSpaceDE w:val="0"/>
              <w:autoSpaceDN w:val="0"/>
              <w:adjustRightInd w:val="0"/>
              <w:spacing w:before="20" w:after="20"/>
              <w:jc w:val="center"/>
              <w:rPr>
                <w:rFonts w:ascii="Times New Roman" w:eastAsia="TimesNewRomanPSMT" w:hAnsi="Times New Roman" w:cs="Times New Roman"/>
                <w:b/>
                <w:i/>
              </w:rPr>
            </w:pPr>
            <w:r w:rsidRPr="0066263B">
              <w:rPr>
                <w:rFonts w:ascii="Times New Roman" w:eastAsia="Times New Roman" w:hAnsi="Times New Roman" w:cs="Times New Roman"/>
                <w:b/>
                <w:i/>
                <w:lang w:eastAsia="ru-RU"/>
              </w:rPr>
              <w:t>20-39 лет</w:t>
            </w:r>
          </w:p>
        </w:tc>
        <w:tc>
          <w:tcPr>
            <w:tcW w:w="850" w:type="dxa"/>
            <w:tcBorders>
              <w:bottom w:val="double" w:sz="4" w:space="0" w:color="auto"/>
            </w:tcBorders>
            <w:vAlign w:val="center"/>
          </w:tcPr>
          <w:p w:rsidR="00324483" w:rsidRPr="0066263B" w:rsidRDefault="00324483" w:rsidP="0097318F">
            <w:pPr>
              <w:autoSpaceDE w:val="0"/>
              <w:autoSpaceDN w:val="0"/>
              <w:adjustRightInd w:val="0"/>
              <w:spacing w:before="20" w:after="20"/>
              <w:jc w:val="center"/>
              <w:rPr>
                <w:rFonts w:ascii="Times New Roman" w:eastAsia="TimesNewRomanPSMT" w:hAnsi="Times New Roman" w:cs="Times New Roman"/>
                <w:b/>
                <w:i/>
              </w:rPr>
            </w:pPr>
            <w:r w:rsidRPr="0066263B">
              <w:rPr>
                <w:rFonts w:ascii="Times New Roman" w:eastAsia="Times New Roman" w:hAnsi="Times New Roman" w:cs="Times New Roman"/>
                <w:b/>
                <w:i/>
                <w:lang w:eastAsia="ru-RU"/>
              </w:rPr>
              <w:t>40-59 лет</w:t>
            </w:r>
          </w:p>
        </w:tc>
        <w:tc>
          <w:tcPr>
            <w:tcW w:w="1134" w:type="dxa"/>
            <w:tcBorders>
              <w:bottom w:val="double" w:sz="4" w:space="0" w:color="auto"/>
            </w:tcBorders>
            <w:vAlign w:val="center"/>
          </w:tcPr>
          <w:p w:rsidR="00324483" w:rsidRPr="0066263B" w:rsidRDefault="00324483" w:rsidP="0097318F">
            <w:pPr>
              <w:autoSpaceDE w:val="0"/>
              <w:autoSpaceDN w:val="0"/>
              <w:adjustRightInd w:val="0"/>
              <w:spacing w:before="20" w:after="20"/>
              <w:jc w:val="center"/>
              <w:rPr>
                <w:rFonts w:ascii="Times New Roman" w:eastAsia="TimesNewRomanPSMT" w:hAnsi="Times New Roman" w:cs="Times New Roman"/>
                <w:b/>
                <w:i/>
              </w:rPr>
            </w:pPr>
            <w:r w:rsidRPr="0066263B">
              <w:rPr>
                <w:rFonts w:ascii="Times New Roman" w:eastAsia="Times New Roman" w:hAnsi="Times New Roman" w:cs="Times New Roman"/>
                <w:b/>
                <w:i/>
                <w:lang w:eastAsia="ru-RU"/>
              </w:rPr>
              <w:t>60 лет и старше</w:t>
            </w:r>
          </w:p>
        </w:tc>
      </w:tr>
      <w:tr w:rsidR="00324483" w:rsidRPr="0066263B" w:rsidTr="0097318F">
        <w:trPr>
          <w:jc w:val="center"/>
        </w:trPr>
        <w:tc>
          <w:tcPr>
            <w:tcW w:w="2073" w:type="dxa"/>
            <w:vMerge w:val="restart"/>
            <w:vAlign w:val="center"/>
          </w:tcPr>
          <w:p w:rsidR="00324483" w:rsidRPr="0066263B" w:rsidRDefault="003A2548" w:rsidP="0097318F">
            <w:pPr>
              <w:autoSpaceDE w:val="0"/>
              <w:autoSpaceDN w:val="0"/>
              <w:adjustRightInd w:val="0"/>
              <w:spacing w:before="20" w:after="20"/>
              <w:jc w:val="left"/>
              <w:rPr>
                <w:rFonts w:ascii="Times New Roman" w:eastAsia="TimesNewRomanPSMT" w:hAnsi="Times New Roman" w:cs="Times New Roman"/>
              </w:rPr>
            </w:pPr>
            <w:r w:rsidRPr="0066263B">
              <w:rPr>
                <w:rFonts w:ascii="Times New Roman" w:eastAsia="Times New Roman" w:hAnsi="Times New Roman" w:cs="Times New Roman"/>
                <w:lang w:eastAsia="ru-RU"/>
              </w:rPr>
              <w:t>Число случаев, ед.</w:t>
            </w:r>
          </w:p>
        </w:tc>
        <w:tc>
          <w:tcPr>
            <w:tcW w:w="850" w:type="dxa"/>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2015</w:t>
            </w:r>
          </w:p>
        </w:tc>
        <w:tc>
          <w:tcPr>
            <w:tcW w:w="993"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4311</w:t>
            </w:r>
          </w:p>
        </w:tc>
        <w:tc>
          <w:tcPr>
            <w:tcW w:w="1417"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NewRomanPSMT" w:hAnsi="Times New Roman" w:cs="Times New Roman"/>
              </w:rPr>
              <w:t>887</w:t>
            </w:r>
          </w:p>
        </w:tc>
        <w:tc>
          <w:tcPr>
            <w:tcW w:w="992"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1271</w:t>
            </w:r>
          </w:p>
        </w:tc>
        <w:tc>
          <w:tcPr>
            <w:tcW w:w="851"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8725</w:t>
            </w:r>
          </w:p>
        </w:tc>
        <w:tc>
          <w:tcPr>
            <w:tcW w:w="850"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6873</w:t>
            </w:r>
          </w:p>
        </w:tc>
        <w:tc>
          <w:tcPr>
            <w:tcW w:w="1134"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3911</w:t>
            </w:r>
          </w:p>
        </w:tc>
      </w:tr>
      <w:tr w:rsidR="00324483" w:rsidRPr="0066263B" w:rsidTr="0097318F">
        <w:trPr>
          <w:jc w:val="center"/>
        </w:trPr>
        <w:tc>
          <w:tcPr>
            <w:tcW w:w="2073" w:type="dxa"/>
            <w:vMerge/>
            <w:vAlign w:val="center"/>
          </w:tcPr>
          <w:p w:rsidR="00324483" w:rsidRPr="0066263B" w:rsidRDefault="00324483" w:rsidP="0097318F">
            <w:pPr>
              <w:autoSpaceDE w:val="0"/>
              <w:autoSpaceDN w:val="0"/>
              <w:adjustRightInd w:val="0"/>
              <w:spacing w:before="20" w:after="20"/>
              <w:jc w:val="left"/>
              <w:rPr>
                <w:rFonts w:ascii="Times New Roman" w:eastAsia="TimesNewRomanPSMT" w:hAnsi="Times New Roman" w:cs="Times New Roman"/>
              </w:rPr>
            </w:pPr>
          </w:p>
        </w:tc>
        <w:tc>
          <w:tcPr>
            <w:tcW w:w="850" w:type="dxa"/>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2016</w:t>
            </w:r>
          </w:p>
        </w:tc>
        <w:tc>
          <w:tcPr>
            <w:tcW w:w="993"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4085</w:t>
            </w:r>
          </w:p>
        </w:tc>
        <w:tc>
          <w:tcPr>
            <w:tcW w:w="1417"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799</w:t>
            </w:r>
          </w:p>
        </w:tc>
        <w:tc>
          <w:tcPr>
            <w:tcW w:w="992"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1243</w:t>
            </w:r>
          </w:p>
        </w:tc>
        <w:tc>
          <w:tcPr>
            <w:tcW w:w="851"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8382</w:t>
            </w:r>
          </w:p>
        </w:tc>
        <w:tc>
          <w:tcPr>
            <w:tcW w:w="850"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6463</w:t>
            </w:r>
          </w:p>
        </w:tc>
        <w:tc>
          <w:tcPr>
            <w:tcW w:w="1134"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3877</w:t>
            </w:r>
          </w:p>
        </w:tc>
      </w:tr>
      <w:tr w:rsidR="00324483" w:rsidRPr="0066263B" w:rsidTr="0097318F">
        <w:trPr>
          <w:jc w:val="center"/>
        </w:trPr>
        <w:tc>
          <w:tcPr>
            <w:tcW w:w="2073" w:type="dxa"/>
            <w:vMerge/>
            <w:vAlign w:val="center"/>
          </w:tcPr>
          <w:p w:rsidR="00324483" w:rsidRPr="0066263B" w:rsidRDefault="00324483" w:rsidP="0097318F">
            <w:pPr>
              <w:autoSpaceDE w:val="0"/>
              <w:autoSpaceDN w:val="0"/>
              <w:adjustRightInd w:val="0"/>
              <w:spacing w:before="20" w:after="20"/>
              <w:jc w:val="left"/>
              <w:rPr>
                <w:rFonts w:ascii="Times New Roman" w:eastAsia="TimesNewRomanPSMT" w:hAnsi="Times New Roman" w:cs="Times New Roman"/>
              </w:rPr>
            </w:pPr>
          </w:p>
        </w:tc>
        <w:tc>
          <w:tcPr>
            <w:tcW w:w="850" w:type="dxa"/>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2017</w:t>
            </w:r>
          </w:p>
        </w:tc>
        <w:tc>
          <w:tcPr>
            <w:tcW w:w="993"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3973</w:t>
            </w:r>
          </w:p>
        </w:tc>
        <w:tc>
          <w:tcPr>
            <w:tcW w:w="1417"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811</w:t>
            </w:r>
          </w:p>
        </w:tc>
        <w:tc>
          <w:tcPr>
            <w:tcW w:w="992"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1192</w:t>
            </w:r>
          </w:p>
        </w:tc>
        <w:tc>
          <w:tcPr>
            <w:tcW w:w="851"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7947</w:t>
            </w:r>
          </w:p>
        </w:tc>
        <w:tc>
          <w:tcPr>
            <w:tcW w:w="850"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6222</w:t>
            </w:r>
          </w:p>
        </w:tc>
        <w:tc>
          <w:tcPr>
            <w:tcW w:w="1134" w:type="dxa"/>
            <w:vAlign w:val="center"/>
          </w:tcPr>
          <w:p w:rsidR="00324483" w:rsidRPr="0066263B" w:rsidRDefault="0032448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3729</w:t>
            </w:r>
          </w:p>
        </w:tc>
      </w:tr>
      <w:tr w:rsidR="003A2548" w:rsidRPr="0066263B" w:rsidTr="0097318F">
        <w:trPr>
          <w:jc w:val="center"/>
        </w:trPr>
        <w:tc>
          <w:tcPr>
            <w:tcW w:w="2073" w:type="dxa"/>
            <w:vMerge/>
            <w:vAlign w:val="center"/>
          </w:tcPr>
          <w:p w:rsidR="003A2548" w:rsidRPr="0066263B" w:rsidRDefault="003A2548" w:rsidP="0097318F">
            <w:pPr>
              <w:autoSpaceDE w:val="0"/>
              <w:autoSpaceDN w:val="0"/>
              <w:adjustRightInd w:val="0"/>
              <w:spacing w:before="20" w:after="20"/>
              <w:jc w:val="left"/>
              <w:rPr>
                <w:rFonts w:ascii="Times New Roman" w:eastAsia="TimesNewRomanPSMT" w:hAnsi="Times New Roman" w:cs="Times New Roman"/>
              </w:rPr>
            </w:pPr>
          </w:p>
        </w:tc>
        <w:tc>
          <w:tcPr>
            <w:tcW w:w="850" w:type="dxa"/>
          </w:tcPr>
          <w:p w:rsidR="003A2548" w:rsidRPr="0066263B" w:rsidRDefault="003A2548"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993" w:type="dxa"/>
            <w:vAlign w:val="center"/>
          </w:tcPr>
          <w:p w:rsidR="003A2548" w:rsidRPr="0066263B" w:rsidRDefault="003A2548"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3909</w:t>
            </w:r>
          </w:p>
        </w:tc>
        <w:tc>
          <w:tcPr>
            <w:tcW w:w="1417" w:type="dxa"/>
            <w:vAlign w:val="center"/>
          </w:tcPr>
          <w:p w:rsidR="003A2548" w:rsidRPr="0066263B" w:rsidRDefault="003A2548"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814</w:t>
            </w:r>
          </w:p>
        </w:tc>
        <w:tc>
          <w:tcPr>
            <w:tcW w:w="992" w:type="dxa"/>
            <w:vAlign w:val="center"/>
          </w:tcPr>
          <w:p w:rsidR="003A2548" w:rsidRPr="0066263B" w:rsidRDefault="003A2548"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1191</w:t>
            </w:r>
          </w:p>
        </w:tc>
        <w:tc>
          <w:tcPr>
            <w:tcW w:w="851" w:type="dxa"/>
            <w:vAlign w:val="center"/>
          </w:tcPr>
          <w:p w:rsidR="003A2548" w:rsidRPr="0066263B" w:rsidRDefault="003A2548"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7504</w:t>
            </w:r>
          </w:p>
        </w:tc>
        <w:tc>
          <w:tcPr>
            <w:tcW w:w="850" w:type="dxa"/>
            <w:vAlign w:val="center"/>
          </w:tcPr>
          <w:p w:rsidR="003A2548" w:rsidRPr="0066263B" w:rsidRDefault="003A2548"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6113</w:t>
            </w:r>
          </w:p>
        </w:tc>
        <w:tc>
          <w:tcPr>
            <w:tcW w:w="1134" w:type="dxa"/>
            <w:vAlign w:val="center"/>
          </w:tcPr>
          <w:p w:rsidR="003A2548" w:rsidRPr="0066263B" w:rsidRDefault="003A2548"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3763</w:t>
            </w:r>
          </w:p>
        </w:tc>
      </w:tr>
      <w:tr w:rsidR="001E56A2" w:rsidRPr="0066263B" w:rsidTr="0097318F">
        <w:trPr>
          <w:jc w:val="center"/>
        </w:trPr>
        <w:tc>
          <w:tcPr>
            <w:tcW w:w="2073" w:type="dxa"/>
            <w:vMerge/>
            <w:vAlign w:val="center"/>
          </w:tcPr>
          <w:p w:rsidR="001E56A2" w:rsidRPr="0066263B" w:rsidRDefault="001E56A2" w:rsidP="0097318F">
            <w:pPr>
              <w:autoSpaceDE w:val="0"/>
              <w:autoSpaceDN w:val="0"/>
              <w:adjustRightInd w:val="0"/>
              <w:spacing w:before="20" w:after="20"/>
              <w:jc w:val="left"/>
              <w:rPr>
                <w:rFonts w:ascii="Times New Roman" w:eastAsia="TimesNewRomanPSMT" w:hAnsi="Times New Roman" w:cs="Times New Roman"/>
              </w:rPr>
            </w:pPr>
          </w:p>
        </w:tc>
        <w:tc>
          <w:tcPr>
            <w:tcW w:w="850" w:type="dxa"/>
          </w:tcPr>
          <w:p w:rsidR="001E56A2" w:rsidRPr="0066263B" w:rsidRDefault="001E56A2"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993" w:type="dxa"/>
            <w:vAlign w:val="center"/>
          </w:tcPr>
          <w:p w:rsidR="001E56A2" w:rsidRPr="0066263B" w:rsidRDefault="001E56A2"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3783</w:t>
            </w:r>
          </w:p>
        </w:tc>
        <w:tc>
          <w:tcPr>
            <w:tcW w:w="1417" w:type="dxa"/>
            <w:vAlign w:val="center"/>
          </w:tcPr>
          <w:p w:rsidR="001E56A2" w:rsidRPr="0066263B" w:rsidRDefault="001E56A2"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809</w:t>
            </w:r>
          </w:p>
        </w:tc>
        <w:tc>
          <w:tcPr>
            <w:tcW w:w="992" w:type="dxa"/>
            <w:vAlign w:val="center"/>
          </w:tcPr>
          <w:p w:rsidR="001E56A2" w:rsidRPr="0066263B" w:rsidRDefault="001E56A2"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1174</w:t>
            </w:r>
          </w:p>
        </w:tc>
        <w:tc>
          <w:tcPr>
            <w:tcW w:w="851" w:type="dxa"/>
            <w:vAlign w:val="center"/>
          </w:tcPr>
          <w:p w:rsidR="001E56A2" w:rsidRPr="0066263B" w:rsidRDefault="001E56A2"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7187</w:t>
            </w:r>
          </w:p>
        </w:tc>
        <w:tc>
          <w:tcPr>
            <w:tcW w:w="850" w:type="dxa"/>
            <w:vAlign w:val="center"/>
          </w:tcPr>
          <w:p w:rsidR="001E56A2" w:rsidRPr="0066263B" w:rsidRDefault="001E56A2"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5681</w:t>
            </w:r>
          </w:p>
        </w:tc>
        <w:tc>
          <w:tcPr>
            <w:tcW w:w="1134" w:type="dxa"/>
            <w:vAlign w:val="center"/>
          </w:tcPr>
          <w:p w:rsidR="001E56A2" w:rsidRPr="0066263B" w:rsidRDefault="001E56A2"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3847</w:t>
            </w:r>
          </w:p>
        </w:tc>
      </w:tr>
      <w:tr w:rsidR="001E56A2" w:rsidRPr="0066263B" w:rsidTr="0097318F">
        <w:trPr>
          <w:jc w:val="center"/>
        </w:trPr>
        <w:tc>
          <w:tcPr>
            <w:tcW w:w="2073" w:type="dxa"/>
            <w:vMerge/>
            <w:tcBorders>
              <w:bottom w:val="double" w:sz="4" w:space="0" w:color="auto"/>
            </w:tcBorders>
            <w:vAlign w:val="center"/>
          </w:tcPr>
          <w:p w:rsidR="001E56A2" w:rsidRPr="0066263B" w:rsidRDefault="001E56A2" w:rsidP="0097318F">
            <w:pPr>
              <w:autoSpaceDE w:val="0"/>
              <w:autoSpaceDN w:val="0"/>
              <w:adjustRightInd w:val="0"/>
              <w:spacing w:before="20" w:after="20"/>
              <w:jc w:val="left"/>
              <w:rPr>
                <w:rFonts w:ascii="Times New Roman" w:eastAsia="TimesNewRomanPSMT" w:hAnsi="Times New Roman" w:cs="Times New Roman"/>
              </w:rPr>
            </w:pPr>
          </w:p>
        </w:tc>
        <w:tc>
          <w:tcPr>
            <w:tcW w:w="850" w:type="dxa"/>
            <w:tcBorders>
              <w:bottom w:val="double" w:sz="4" w:space="0" w:color="auto"/>
            </w:tcBorders>
          </w:tcPr>
          <w:p w:rsidR="001E56A2" w:rsidRPr="0066263B" w:rsidRDefault="001E56A2"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993" w:type="dxa"/>
            <w:tcBorders>
              <w:bottom w:val="double" w:sz="4" w:space="0" w:color="auto"/>
            </w:tcBorders>
            <w:vAlign w:val="center"/>
          </w:tcPr>
          <w:p w:rsidR="001E56A2" w:rsidRPr="0066263B" w:rsidRDefault="00454A13" w:rsidP="00454A1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3662</w:t>
            </w:r>
          </w:p>
        </w:tc>
        <w:tc>
          <w:tcPr>
            <w:tcW w:w="1417" w:type="dxa"/>
            <w:tcBorders>
              <w:bottom w:val="double" w:sz="4" w:space="0" w:color="auto"/>
            </w:tcBorders>
            <w:vAlign w:val="center"/>
          </w:tcPr>
          <w:p w:rsidR="001E56A2" w:rsidRPr="0066263B" w:rsidRDefault="00454A1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809</w:t>
            </w:r>
          </w:p>
        </w:tc>
        <w:tc>
          <w:tcPr>
            <w:tcW w:w="992" w:type="dxa"/>
            <w:tcBorders>
              <w:bottom w:val="double" w:sz="4" w:space="0" w:color="auto"/>
            </w:tcBorders>
            <w:vAlign w:val="center"/>
          </w:tcPr>
          <w:p w:rsidR="001E56A2" w:rsidRPr="0066263B" w:rsidRDefault="00454A13" w:rsidP="00454A1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1166</w:t>
            </w:r>
          </w:p>
        </w:tc>
        <w:tc>
          <w:tcPr>
            <w:tcW w:w="851" w:type="dxa"/>
            <w:tcBorders>
              <w:bottom w:val="double" w:sz="4" w:space="0" w:color="auto"/>
            </w:tcBorders>
            <w:vAlign w:val="center"/>
          </w:tcPr>
          <w:p w:rsidR="001E56A2" w:rsidRPr="0066263B" w:rsidRDefault="00454A13" w:rsidP="00454A1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7143</w:t>
            </w:r>
          </w:p>
        </w:tc>
        <w:tc>
          <w:tcPr>
            <w:tcW w:w="850" w:type="dxa"/>
            <w:tcBorders>
              <w:bottom w:val="double" w:sz="4" w:space="0" w:color="auto"/>
            </w:tcBorders>
            <w:vAlign w:val="center"/>
          </w:tcPr>
          <w:p w:rsidR="001E56A2" w:rsidRPr="0066263B" w:rsidRDefault="00454A13" w:rsidP="00454A1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5560</w:t>
            </w:r>
          </w:p>
        </w:tc>
        <w:tc>
          <w:tcPr>
            <w:tcW w:w="1134" w:type="dxa"/>
            <w:tcBorders>
              <w:bottom w:val="double" w:sz="4" w:space="0" w:color="auto"/>
            </w:tcBorders>
            <w:vAlign w:val="center"/>
          </w:tcPr>
          <w:p w:rsidR="001E56A2" w:rsidRPr="0066263B" w:rsidRDefault="00454A13" w:rsidP="00454A1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3803</w:t>
            </w:r>
          </w:p>
        </w:tc>
      </w:tr>
      <w:tr w:rsidR="001E56A2" w:rsidRPr="0066263B" w:rsidTr="0097318F">
        <w:trPr>
          <w:jc w:val="center"/>
        </w:trPr>
        <w:tc>
          <w:tcPr>
            <w:tcW w:w="2073" w:type="dxa"/>
            <w:vMerge w:val="restart"/>
            <w:tcBorders>
              <w:top w:val="double" w:sz="4" w:space="0" w:color="auto"/>
            </w:tcBorders>
            <w:vAlign w:val="center"/>
          </w:tcPr>
          <w:p w:rsidR="001E56A2" w:rsidRPr="0066263B" w:rsidRDefault="001E56A2" w:rsidP="0097318F">
            <w:pPr>
              <w:autoSpaceDE w:val="0"/>
              <w:autoSpaceDN w:val="0"/>
              <w:adjustRightInd w:val="0"/>
              <w:spacing w:before="20" w:after="20"/>
              <w:jc w:val="left"/>
              <w:rPr>
                <w:rFonts w:ascii="Times New Roman" w:eastAsia="TimesNewRomanPSMT" w:hAnsi="Times New Roman" w:cs="Times New Roman"/>
              </w:rPr>
            </w:pPr>
            <w:r w:rsidRPr="0066263B">
              <w:rPr>
                <w:rFonts w:ascii="Times New Roman" w:eastAsia="Times New Roman" w:hAnsi="Times New Roman" w:cs="Times New Roman"/>
                <w:lang w:eastAsia="ru-RU"/>
              </w:rPr>
              <w:t>Доля, %</w:t>
            </w:r>
          </w:p>
        </w:tc>
        <w:tc>
          <w:tcPr>
            <w:tcW w:w="850" w:type="dxa"/>
            <w:tcBorders>
              <w:top w:val="double" w:sz="4" w:space="0" w:color="auto"/>
            </w:tcBorders>
          </w:tcPr>
          <w:p w:rsidR="001E56A2" w:rsidRPr="0066263B" w:rsidRDefault="001E56A2" w:rsidP="003A2548">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2015</w:t>
            </w:r>
          </w:p>
        </w:tc>
        <w:tc>
          <w:tcPr>
            <w:tcW w:w="993" w:type="dxa"/>
            <w:tcBorders>
              <w:top w:val="double" w:sz="4" w:space="0" w:color="auto"/>
            </w:tcBorders>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NewRomanPSMT" w:hAnsi="Times New Roman" w:cs="Times New Roman"/>
              </w:rPr>
              <w:t>16,6</w:t>
            </w:r>
          </w:p>
        </w:tc>
        <w:tc>
          <w:tcPr>
            <w:tcW w:w="1417" w:type="dxa"/>
            <w:tcBorders>
              <w:top w:val="double" w:sz="4" w:space="0" w:color="auto"/>
            </w:tcBorders>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NewRomanPSMT" w:hAnsi="Times New Roman" w:cs="Times New Roman"/>
              </w:rPr>
              <w:t>3,4</w:t>
            </w:r>
          </w:p>
        </w:tc>
        <w:tc>
          <w:tcPr>
            <w:tcW w:w="992" w:type="dxa"/>
            <w:tcBorders>
              <w:top w:val="double" w:sz="4" w:space="0" w:color="auto"/>
            </w:tcBorders>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NewRomanPSMT" w:hAnsi="Times New Roman" w:cs="Times New Roman"/>
              </w:rPr>
              <w:t>4,9</w:t>
            </w:r>
          </w:p>
        </w:tc>
        <w:tc>
          <w:tcPr>
            <w:tcW w:w="851" w:type="dxa"/>
            <w:tcBorders>
              <w:top w:val="double" w:sz="4" w:space="0" w:color="auto"/>
            </w:tcBorders>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33,6</w:t>
            </w:r>
          </w:p>
        </w:tc>
        <w:tc>
          <w:tcPr>
            <w:tcW w:w="850" w:type="dxa"/>
            <w:tcBorders>
              <w:top w:val="double" w:sz="4" w:space="0" w:color="auto"/>
            </w:tcBorders>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26,5</w:t>
            </w:r>
          </w:p>
        </w:tc>
        <w:tc>
          <w:tcPr>
            <w:tcW w:w="1134" w:type="dxa"/>
            <w:tcBorders>
              <w:top w:val="double" w:sz="4" w:space="0" w:color="auto"/>
            </w:tcBorders>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15,0</w:t>
            </w:r>
          </w:p>
        </w:tc>
      </w:tr>
      <w:tr w:rsidR="001E56A2" w:rsidRPr="0066263B" w:rsidTr="0097318F">
        <w:trPr>
          <w:jc w:val="center"/>
        </w:trPr>
        <w:tc>
          <w:tcPr>
            <w:tcW w:w="2073" w:type="dxa"/>
            <w:vMerge/>
            <w:vAlign w:val="center"/>
          </w:tcPr>
          <w:p w:rsidR="001E56A2" w:rsidRPr="0066263B" w:rsidRDefault="001E56A2" w:rsidP="0097318F">
            <w:pPr>
              <w:autoSpaceDE w:val="0"/>
              <w:autoSpaceDN w:val="0"/>
              <w:adjustRightInd w:val="0"/>
              <w:spacing w:before="20" w:after="20"/>
              <w:jc w:val="left"/>
              <w:rPr>
                <w:rFonts w:ascii="Times New Roman" w:eastAsia="TimesNewRomanPSMT" w:hAnsi="Times New Roman" w:cs="Times New Roman"/>
              </w:rPr>
            </w:pPr>
          </w:p>
        </w:tc>
        <w:tc>
          <w:tcPr>
            <w:tcW w:w="850" w:type="dxa"/>
          </w:tcPr>
          <w:p w:rsidR="001E56A2" w:rsidRPr="0066263B" w:rsidRDefault="001E56A2" w:rsidP="003A2548">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2016</w:t>
            </w:r>
          </w:p>
        </w:tc>
        <w:tc>
          <w:tcPr>
            <w:tcW w:w="993"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16,4</w:t>
            </w:r>
          </w:p>
        </w:tc>
        <w:tc>
          <w:tcPr>
            <w:tcW w:w="1417"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w:t>
            </w:r>
          </w:p>
        </w:tc>
        <w:tc>
          <w:tcPr>
            <w:tcW w:w="992"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851"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33,7</w:t>
            </w:r>
          </w:p>
        </w:tc>
        <w:tc>
          <w:tcPr>
            <w:tcW w:w="850"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26,0</w:t>
            </w:r>
          </w:p>
        </w:tc>
        <w:tc>
          <w:tcPr>
            <w:tcW w:w="1134"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15,6</w:t>
            </w:r>
          </w:p>
        </w:tc>
      </w:tr>
      <w:tr w:rsidR="001E56A2" w:rsidRPr="0066263B" w:rsidTr="0097318F">
        <w:trPr>
          <w:jc w:val="center"/>
        </w:trPr>
        <w:tc>
          <w:tcPr>
            <w:tcW w:w="2073" w:type="dxa"/>
            <w:vMerge/>
            <w:vAlign w:val="center"/>
          </w:tcPr>
          <w:p w:rsidR="001E56A2" w:rsidRPr="0066263B" w:rsidRDefault="001E56A2" w:rsidP="0097318F">
            <w:pPr>
              <w:autoSpaceDE w:val="0"/>
              <w:autoSpaceDN w:val="0"/>
              <w:adjustRightInd w:val="0"/>
              <w:spacing w:before="20" w:after="20"/>
              <w:jc w:val="left"/>
              <w:rPr>
                <w:rFonts w:ascii="Times New Roman" w:eastAsia="TimesNewRomanPSMT" w:hAnsi="Times New Roman" w:cs="Times New Roman"/>
              </w:rPr>
            </w:pPr>
          </w:p>
        </w:tc>
        <w:tc>
          <w:tcPr>
            <w:tcW w:w="850" w:type="dxa"/>
          </w:tcPr>
          <w:p w:rsidR="001E56A2" w:rsidRPr="0066263B" w:rsidRDefault="001E56A2" w:rsidP="003A2548">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2017</w:t>
            </w:r>
          </w:p>
        </w:tc>
        <w:tc>
          <w:tcPr>
            <w:tcW w:w="993"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16,6</w:t>
            </w:r>
          </w:p>
        </w:tc>
        <w:tc>
          <w:tcPr>
            <w:tcW w:w="1417"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w:t>
            </w:r>
          </w:p>
        </w:tc>
        <w:tc>
          <w:tcPr>
            <w:tcW w:w="992"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851"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33,3</w:t>
            </w:r>
          </w:p>
        </w:tc>
        <w:tc>
          <w:tcPr>
            <w:tcW w:w="850"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26,1</w:t>
            </w:r>
          </w:p>
        </w:tc>
        <w:tc>
          <w:tcPr>
            <w:tcW w:w="1134"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15,6</w:t>
            </w:r>
          </w:p>
        </w:tc>
      </w:tr>
      <w:tr w:rsidR="001E56A2" w:rsidRPr="0066263B" w:rsidTr="0097318F">
        <w:trPr>
          <w:jc w:val="center"/>
        </w:trPr>
        <w:tc>
          <w:tcPr>
            <w:tcW w:w="2073" w:type="dxa"/>
            <w:vMerge/>
            <w:vAlign w:val="center"/>
          </w:tcPr>
          <w:p w:rsidR="001E56A2" w:rsidRPr="0066263B" w:rsidRDefault="001E56A2" w:rsidP="0097318F">
            <w:pPr>
              <w:autoSpaceDE w:val="0"/>
              <w:autoSpaceDN w:val="0"/>
              <w:adjustRightInd w:val="0"/>
              <w:spacing w:before="20" w:after="20"/>
              <w:jc w:val="left"/>
              <w:rPr>
                <w:rFonts w:ascii="Times New Roman" w:eastAsia="TimesNewRomanPSMT" w:hAnsi="Times New Roman" w:cs="Times New Roman"/>
              </w:rPr>
            </w:pPr>
          </w:p>
        </w:tc>
        <w:tc>
          <w:tcPr>
            <w:tcW w:w="850" w:type="dxa"/>
          </w:tcPr>
          <w:p w:rsidR="001E56A2" w:rsidRPr="0066263B" w:rsidRDefault="001E56A2" w:rsidP="003A2548">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2018</w:t>
            </w:r>
          </w:p>
        </w:tc>
        <w:tc>
          <w:tcPr>
            <w:tcW w:w="993"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16,8</w:t>
            </w:r>
          </w:p>
        </w:tc>
        <w:tc>
          <w:tcPr>
            <w:tcW w:w="1417"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w:t>
            </w:r>
          </w:p>
        </w:tc>
        <w:tc>
          <w:tcPr>
            <w:tcW w:w="992"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w:t>
            </w:r>
          </w:p>
        </w:tc>
        <w:tc>
          <w:tcPr>
            <w:tcW w:w="851"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32,2</w:t>
            </w:r>
          </w:p>
        </w:tc>
        <w:tc>
          <w:tcPr>
            <w:tcW w:w="850"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26,2</w:t>
            </w:r>
          </w:p>
        </w:tc>
        <w:tc>
          <w:tcPr>
            <w:tcW w:w="1134" w:type="dxa"/>
            <w:vAlign w:val="center"/>
          </w:tcPr>
          <w:p w:rsidR="001E56A2" w:rsidRPr="0066263B" w:rsidRDefault="001E56A2" w:rsidP="003A2548">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16,2</w:t>
            </w:r>
          </w:p>
        </w:tc>
      </w:tr>
      <w:tr w:rsidR="001E56A2" w:rsidRPr="0066263B" w:rsidTr="0097318F">
        <w:trPr>
          <w:jc w:val="center"/>
        </w:trPr>
        <w:tc>
          <w:tcPr>
            <w:tcW w:w="2073" w:type="dxa"/>
            <w:vMerge/>
            <w:vAlign w:val="center"/>
          </w:tcPr>
          <w:p w:rsidR="001E56A2" w:rsidRPr="0066263B" w:rsidRDefault="001E56A2" w:rsidP="0097318F">
            <w:pPr>
              <w:autoSpaceDE w:val="0"/>
              <w:autoSpaceDN w:val="0"/>
              <w:adjustRightInd w:val="0"/>
              <w:spacing w:before="20" w:after="20"/>
              <w:jc w:val="left"/>
              <w:rPr>
                <w:rFonts w:ascii="Times New Roman" w:eastAsia="TimesNewRomanPSMT" w:hAnsi="Times New Roman" w:cs="Times New Roman"/>
              </w:rPr>
            </w:pPr>
          </w:p>
        </w:tc>
        <w:tc>
          <w:tcPr>
            <w:tcW w:w="850" w:type="dxa"/>
          </w:tcPr>
          <w:p w:rsidR="001E56A2" w:rsidRPr="0066263B" w:rsidRDefault="001E56A2" w:rsidP="0097318F">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2019</w:t>
            </w:r>
          </w:p>
        </w:tc>
        <w:tc>
          <w:tcPr>
            <w:tcW w:w="993" w:type="dxa"/>
            <w:vAlign w:val="center"/>
          </w:tcPr>
          <w:p w:rsidR="001E56A2" w:rsidRPr="0066263B" w:rsidRDefault="001E56A2"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16,8</w:t>
            </w:r>
          </w:p>
        </w:tc>
        <w:tc>
          <w:tcPr>
            <w:tcW w:w="1417" w:type="dxa"/>
            <w:vAlign w:val="center"/>
          </w:tcPr>
          <w:p w:rsidR="001E56A2" w:rsidRPr="0066263B" w:rsidRDefault="001E56A2"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w:t>
            </w:r>
          </w:p>
        </w:tc>
        <w:tc>
          <w:tcPr>
            <w:tcW w:w="992" w:type="dxa"/>
            <w:vAlign w:val="center"/>
          </w:tcPr>
          <w:p w:rsidR="001E56A2" w:rsidRPr="0066263B" w:rsidRDefault="001E56A2"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5,2</w:t>
            </w:r>
          </w:p>
        </w:tc>
        <w:tc>
          <w:tcPr>
            <w:tcW w:w="851" w:type="dxa"/>
            <w:vAlign w:val="center"/>
          </w:tcPr>
          <w:p w:rsidR="001E56A2" w:rsidRPr="0066263B" w:rsidRDefault="001E56A2"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31,9</w:t>
            </w:r>
          </w:p>
        </w:tc>
        <w:tc>
          <w:tcPr>
            <w:tcW w:w="850" w:type="dxa"/>
            <w:vAlign w:val="center"/>
          </w:tcPr>
          <w:p w:rsidR="001E56A2" w:rsidRPr="0066263B" w:rsidRDefault="001E56A2"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25,3</w:t>
            </w:r>
          </w:p>
        </w:tc>
        <w:tc>
          <w:tcPr>
            <w:tcW w:w="1134" w:type="dxa"/>
            <w:vAlign w:val="center"/>
          </w:tcPr>
          <w:p w:rsidR="001E56A2" w:rsidRPr="0066263B" w:rsidRDefault="001E56A2"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17,1</w:t>
            </w:r>
          </w:p>
        </w:tc>
      </w:tr>
      <w:tr w:rsidR="001E56A2" w:rsidRPr="0066263B" w:rsidTr="0097318F">
        <w:trPr>
          <w:jc w:val="center"/>
        </w:trPr>
        <w:tc>
          <w:tcPr>
            <w:tcW w:w="2073" w:type="dxa"/>
            <w:vMerge/>
            <w:vAlign w:val="center"/>
          </w:tcPr>
          <w:p w:rsidR="001E56A2" w:rsidRPr="0066263B" w:rsidRDefault="001E56A2" w:rsidP="0097318F">
            <w:pPr>
              <w:autoSpaceDE w:val="0"/>
              <w:autoSpaceDN w:val="0"/>
              <w:adjustRightInd w:val="0"/>
              <w:spacing w:before="20" w:after="20"/>
              <w:jc w:val="left"/>
              <w:rPr>
                <w:rFonts w:ascii="Times New Roman" w:eastAsia="TimesNewRomanPSMT" w:hAnsi="Times New Roman" w:cs="Times New Roman"/>
              </w:rPr>
            </w:pPr>
          </w:p>
        </w:tc>
        <w:tc>
          <w:tcPr>
            <w:tcW w:w="850" w:type="dxa"/>
          </w:tcPr>
          <w:p w:rsidR="001E56A2" w:rsidRPr="0066263B" w:rsidRDefault="001E56A2" w:rsidP="0097318F">
            <w:pPr>
              <w:spacing w:before="20" w:after="20"/>
              <w:jc w:val="center"/>
              <w:rPr>
                <w:rFonts w:ascii="Times New Roman" w:eastAsia="TimesNewRomanPSMT" w:hAnsi="Times New Roman" w:cs="Times New Roman"/>
              </w:rPr>
            </w:pPr>
            <w:r w:rsidRPr="0066263B">
              <w:rPr>
                <w:rFonts w:ascii="Times New Roman" w:eastAsia="TimesNewRomanPSMT" w:hAnsi="Times New Roman" w:cs="Times New Roman"/>
              </w:rPr>
              <w:t>2020</w:t>
            </w:r>
          </w:p>
        </w:tc>
        <w:tc>
          <w:tcPr>
            <w:tcW w:w="993" w:type="dxa"/>
            <w:vAlign w:val="center"/>
          </w:tcPr>
          <w:p w:rsidR="001E56A2" w:rsidRPr="0066263B" w:rsidRDefault="00454A1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16,5</w:t>
            </w:r>
          </w:p>
        </w:tc>
        <w:tc>
          <w:tcPr>
            <w:tcW w:w="1417" w:type="dxa"/>
            <w:vAlign w:val="center"/>
          </w:tcPr>
          <w:p w:rsidR="001E56A2" w:rsidRPr="0066263B" w:rsidRDefault="00454A1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w:t>
            </w:r>
          </w:p>
        </w:tc>
        <w:tc>
          <w:tcPr>
            <w:tcW w:w="992" w:type="dxa"/>
            <w:vAlign w:val="center"/>
          </w:tcPr>
          <w:p w:rsidR="001E56A2" w:rsidRPr="0066263B" w:rsidRDefault="00454A1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w:t>
            </w:r>
          </w:p>
        </w:tc>
        <w:tc>
          <w:tcPr>
            <w:tcW w:w="851" w:type="dxa"/>
            <w:vAlign w:val="center"/>
          </w:tcPr>
          <w:p w:rsidR="001E56A2" w:rsidRPr="0066263B" w:rsidRDefault="00454A1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32,2</w:t>
            </w:r>
          </w:p>
        </w:tc>
        <w:tc>
          <w:tcPr>
            <w:tcW w:w="850" w:type="dxa"/>
            <w:vAlign w:val="center"/>
          </w:tcPr>
          <w:p w:rsidR="001E56A2" w:rsidRPr="0066263B" w:rsidRDefault="00454A1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25,1</w:t>
            </w:r>
          </w:p>
        </w:tc>
        <w:tc>
          <w:tcPr>
            <w:tcW w:w="1134" w:type="dxa"/>
            <w:vAlign w:val="center"/>
          </w:tcPr>
          <w:p w:rsidR="001E56A2" w:rsidRPr="0066263B" w:rsidRDefault="00454A13" w:rsidP="0097318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17,2</w:t>
            </w:r>
          </w:p>
        </w:tc>
      </w:tr>
    </w:tbl>
    <w:p w:rsidR="003A2548" w:rsidRPr="0066263B" w:rsidRDefault="003A2548" w:rsidP="003A2548">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lastRenderedPageBreak/>
        <w:t>По сравнению с предыдущим годом практически нет изменений в величине контингента по основным нозологическим группам психических болезней, в общей структуре психических болезней среди психических расстрой</w:t>
      </w:r>
      <w:proofErr w:type="gramStart"/>
      <w:r w:rsidRPr="0066263B">
        <w:rPr>
          <w:rFonts w:ascii="Times New Roman" w:eastAsia="Calibri" w:hAnsi="Times New Roman" w:cs="Times New Roman"/>
          <w:sz w:val="24"/>
          <w:szCs w:val="24"/>
        </w:rPr>
        <w:t>ств пр</w:t>
      </w:r>
      <w:proofErr w:type="gramEnd"/>
      <w:r w:rsidRPr="0066263B">
        <w:rPr>
          <w:rFonts w:ascii="Times New Roman" w:eastAsia="Calibri" w:hAnsi="Times New Roman" w:cs="Times New Roman"/>
          <w:sz w:val="24"/>
          <w:szCs w:val="24"/>
        </w:rPr>
        <w:t>еобладает умственная отсталость – 37,</w:t>
      </w:r>
      <w:r w:rsidR="00454A13" w:rsidRPr="0066263B">
        <w:rPr>
          <w:rFonts w:ascii="Times New Roman" w:eastAsia="Calibri" w:hAnsi="Times New Roman" w:cs="Times New Roman"/>
          <w:sz w:val="24"/>
          <w:szCs w:val="24"/>
        </w:rPr>
        <w:t>9</w:t>
      </w:r>
      <w:r w:rsidRPr="0066263B">
        <w:rPr>
          <w:rFonts w:ascii="Times New Roman" w:eastAsia="Calibri" w:hAnsi="Times New Roman" w:cs="Times New Roman"/>
          <w:sz w:val="24"/>
          <w:szCs w:val="24"/>
        </w:rPr>
        <w:t>%.</w:t>
      </w:r>
    </w:p>
    <w:p w:rsidR="00454A13" w:rsidRPr="0066263B" w:rsidRDefault="00454A13" w:rsidP="00454A13">
      <w:pPr>
        <w:spacing w:before="0" w:after="0"/>
        <w:ind w:firstLine="709"/>
        <w:rPr>
          <w:rFonts w:ascii="Times New Roman" w:eastAsia="Calibri" w:hAnsi="Times New Roman" w:cs="Times New Roman"/>
          <w:sz w:val="24"/>
          <w:szCs w:val="24"/>
        </w:rPr>
      </w:pPr>
      <w:proofErr w:type="gramStart"/>
      <w:r w:rsidRPr="0066263B">
        <w:rPr>
          <w:rFonts w:ascii="Times New Roman" w:eastAsia="Calibri" w:hAnsi="Times New Roman" w:cs="Times New Roman"/>
          <w:sz w:val="24"/>
          <w:szCs w:val="24"/>
        </w:rPr>
        <w:t>С</w:t>
      </w:r>
      <w:proofErr w:type="gramEnd"/>
      <w:r w:rsidRPr="0066263B">
        <w:rPr>
          <w:rFonts w:ascii="Times New Roman" w:eastAsia="Calibri" w:hAnsi="Times New Roman" w:cs="Times New Roman"/>
          <w:sz w:val="24"/>
          <w:szCs w:val="24"/>
        </w:rPr>
        <w:t xml:space="preserve"> впервые </w:t>
      </w:r>
      <w:proofErr w:type="gramStart"/>
      <w:r w:rsidRPr="0066263B">
        <w:rPr>
          <w:rFonts w:ascii="Times New Roman" w:eastAsia="Calibri" w:hAnsi="Times New Roman" w:cs="Times New Roman"/>
          <w:sz w:val="24"/>
          <w:szCs w:val="24"/>
        </w:rPr>
        <w:t>в</w:t>
      </w:r>
      <w:proofErr w:type="gramEnd"/>
      <w:r w:rsidRPr="0066263B">
        <w:rPr>
          <w:rFonts w:ascii="Times New Roman" w:eastAsia="Calibri" w:hAnsi="Times New Roman" w:cs="Times New Roman"/>
          <w:sz w:val="24"/>
          <w:szCs w:val="24"/>
        </w:rPr>
        <w:t xml:space="preserve"> жизни установленным диагнозом в 2020 году в Брянской области было зарегистрировано 1 013 человек, или 84,9 на 100 тыс. населения (2019 –1 121 чел. или 93,4 на 100 тыс. нас.). </w:t>
      </w:r>
      <w:proofErr w:type="gramStart"/>
      <w:r w:rsidRPr="0066263B">
        <w:rPr>
          <w:rFonts w:ascii="Times New Roman" w:eastAsia="Calibri" w:hAnsi="Times New Roman" w:cs="Times New Roman"/>
          <w:sz w:val="24"/>
          <w:szCs w:val="24"/>
        </w:rPr>
        <w:t>Этот показатель в целом уменьшился на 9,1%. Следует отметить, что из общего числа впервые диагностированных было 545 взрослых и 468 детей, что составило 53,8% и 46,2% соответственно от общего числа больных всех возрастов с впервые в жизни установленным диагнозом, т. е. почти каждый второй из тех, кому был установлен диагноз впервые в жизни, оказался ребёнком от 0 до 17 лет.</w:t>
      </w:r>
      <w:proofErr w:type="gramEnd"/>
    </w:p>
    <w:p w:rsidR="00454A13" w:rsidRPr="0066263B" w:rsidRDefault="00454A13" w:rsidP="00454A13">
      <w:pPr>
        <w:spacing w:before="0" w:after="0"/>
        <w:ind w:firstLine="709"/>
        <w:rPr>
          <w:rFonts w:ascii="Times New Roman" w:eastAsia="Calibri" w:hAnsi="Times New Roman" w:cs="Times New Roman"/>
          <w:sz w:val="24"/>
          <w:szCs w:val="24"/>
        </w:rPr>
      </w:pPr>
      <w:proofErr w:type="gramStart"/>
      <w:r w:rsidRPr="0066263B">
        <w:rPr>
          <w:rFonts w:ascii="Times New Roman" w:eastAsia="Calibri" w:hAnsi="Times New Roman" w:cs="Times New Roman"/>
          <w:sz w:val="24"/>
          <w:szCs w:val="24"/>
        </w:rPr>
        <w:t>Из впервые в жизни с установленным диагнозом лиц, взятых под наблюдение, диспансерную группу составили 290 человек, или 24,3 на 100 тыс. населения (2019 – 418 чел. или 34,8 на 100 тыс. нас.; РФ 2019 – 40,0 на 100 тыс. нас.), консультативную группу – 723 человека или 60,6 на 100 тыс. населения (2019 – 723 чел. или 58,6 на 100 тыс. нас.; РФ 2019 – 272,2</w:t>
      </w:r>
      <w:proofErr w:type="gramEnd"/>
      <w:r w:rsidRPr="0066263B">
        <w:rPr>
          <w:rFonts w:ascii="Times New Roman" w:eastAsia="Calibri" w:hAnsi="Times New Roman" w:cs="Times New Roman"/>
          <w:sz w:val="24"/>
          <w:szCs w:val="24"/>
        </w:rPr>
        <w:t xml:space="preserve"> на 100 тыс. нас.).</w:t>
      </w:r>
    </w:p>
    <w:p w:rsidR="00454A13" w:rsidRPr="0066263B" w:rsidRDefault="00454A13" w:rsidP="00454A13">
      <w:pPr>
        <w:spacing w:before="0" w:after="0"/>
        <w:ind w:firstLine="709"/>
        <w:rPr>
          <w:rFonts w:ascii="Times New Roman" w:eastAsia="Calibri" w:hAnsi="Times New Roman" w:cs="Times New Roman"/>
          <w:sz w:val="24"/>
          <w:szCs w:val="24"/>
        </w:rPr>
      </w:pPr>
      <w:proofErr w:type="gramStart"/>
      <w:r w:rsidRPr="0066263B">
        <w:rPr>
          <w:rFonts w:ascii="Times New Roman" w:eastAsia="Calibri" w:hAnsi="Times New Roman" w:cs="Times New Roman"/>
          <w:sz w:val="24"/>
          <w:szCs w:val="24"/>
        </w:rPr>
        <w:t>В 2020 году число больных, имеющих группу инвалидности по психическому заболеванию, составило 8 306 человек (2019 – 8 273 чел.), из них детей-инвалидов от 0 до 17 лет – 1 589 человек (2019 – 1 295 чел.), что больше по сравнению с 2019 годом на 294 человека или на 22,7%. Доля инвалидов от всех больных, состоящих под диспансерным наблюдением и получающих консультативно-лечебную помощь</w:t>
      </w:r>
      <w:proofErr w:type="gramEnd"/>
      <w:r w:rsidRPr="0066263B">
        <w:rPr>
          <w:rFonts w:ascii="Times New Roman" w:eastAsia="Calibri" w:hAnsi="Times New Roman" w:cs="Times New Roman"/>
          <w:sz w:val="24"/>
          <w:szCs w:val="24"/>
        </w:rPr>
        <w:t>, составляет 39,6%. Хотелось бы отметить, что доля впервые признанных инвалидами детей от 0 до 17 лет составляет 62,4% от всех признанных впервые инвалидами по психическому расстройству. Современные формы психосоциального лечения и психосоциальной реабилитации, применение лекарственных препаратов нового поколения, сохранение социального статуса пациента и его трудоспособности направлены на предупреждение инвалидности, повышение качества жизни психически больных.</w:t>
      </w:r>
    </w:p>
    <w:p w:rsidR="00324483" w:rsidRPr="0066263B" w:rsidRDefault="00324483" w:rsidP="00324483">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ind w:firstLine="709"/>
        <w:jc w:val="left"/>
        <w:rPr>
          <w:rFonts w:ascii="Times New Roman" w:eastAsia="TimesNewRomanPS-BoldMT" w:hAnsi="Times New Roman" w:cs="Times New Roman"/>
          <w:bCs/>
          <w:i/>
          <w:sz w:val="24"/>
          <w:szCs w:val="24"/>
          <w:u w:val="single"/>
        </w:rPr>
      </w:pPr>
      <w:r w:rsidRPr="0066263B">
        <w:rPr>
          <w:rFonts w:ascii="Times New Roman" w:eastAsia="TimesNewRomanPS-BoldMT" w:hAnsi="Times New Roman" w:cs="Times New Roman"/>
          <w:bCs/>
          <w:i/>
          <w:sz w:val="24"/>
          <w:szCs w:val="24"/>
          <w:u w:val="single"/>
        </w:rPr>
        <w:t>Оценка динамики наркомании, хронического алкоголизма и алкогольных психозов</w:t>
      </w:r>
    </w:p>
    <w:p w:rsidR="00454A13" w:rsidRPr="0066263B" w:rsidRDefault="00454A13" w:rsidP="00454A13">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В 2020 году наркологическими медицинскими организациями и наркологическими подразделениями медицинских организаций зарегистрировано 26 918 пациентов с наркологическими расстройствами или 2 257,3 на 100 тыс. населения (2019 – 2 475,9 на 100 тыс. нас</w:t>
      </w:r>
      <w:proofErr w:type="gramStart"/>
      <w:r w:rsidRPr="0066263B">
        <w:rPr>
          <w:rFonts w:ascii="Times New Roman" w:eastAsia="Calibri" w:hAnsi="Times New Roman" w:cs="Times New Roman"/>
          <w:sz w:val="24"/>
          <w:szCs w:val="24"/>
        </w:rPr>
        <w:t xml:space="preserve">.; </w:t>
      </w:r>
      <w:proofErr w:type="gramEnd"/>
      <w:r w:rsidRPr="0066263B">
        <w:rPr>
          <w:rFonts w:ascii="Times New Roman" w:eastAsia="Calibri" w:hAnsi="Times New Roman" w:cs="Times New Roman"/>
          <w:sz w:val="24"/>
          <w:szCs w:val="24"/>
        </w:rPr>
        <w:t>РФ 2019 – 1 293,35 на 100 тыс. нас.). Сокращение числа</w:t>
      </w:r>
      <w:r w:rsidR="00BF40F1"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зарегистрированных пациентов по сравнению с уровнем 2019 года составило 8,8%.</w:t>
      </w:r>
    </w:p>
    <w:p w:rsidR="00454A13" w:rsidRPr="0066263B" w:rsidRDefault="00454A13" w:rsidP="00454A13">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Число пациентов, обратившихся за наркологической помощью впервые в жизни, также снизилось с 1</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395 в 2019 г</w:t>
      </w:r>
      <w:r w:rsidR="00BF40F1" w:rsidRPr="0066263B">
        <w:rPr>
          <w:rFonts w:ascii="Times New Roman" w:eastAsia="Calibri" w:hAnsi="Times New Roman" w:cs="Times New Roman"/>
          <w:sz w:val="24"/>
          <w:szCs w:val="24"/>
        </w:rPr>
        <w:t>оду</w:t>
      </w:r>
      <w:r w:rsidRPr="0066263B">
        <w:rPr>
          <w:rFonts w:ascii="Times New Roman" w:eastAsia="Calibri" w:hAnsi="Times New Roman" w:cs="Times New Roman"/>
          <w:sz w:val="24"/>
          <w:szCs w:val="24"/>
        </w:rPr>
        <w:t xml:space="preserve"> до 997 в 2020 г</w:t>
      </w:r>
      <w:r w:rsidR="00BF40F1" w:rsidRPr="0066263B">
        <w:rPr>
          <w:rFonts w:ascii="Times New Roman" w:eastAsia="Calibri" w:hAnsi="Times New Roman" w:cs="Times New Roman"/>
          <w:sz w:val="24"/>
          <w:szCs w:val="24"/>
        </w:rPr>
        <w:t>оду</w:t>
      </w:r>
      <w:r w:rsidRPr="0066263B">
        <w:rPr>
          <w:rFonts w:ascii="Times New Roman" w:eastAsia="Calibri" w:hAnsi="Times New Roman" w:cs="Times New Roman"/>
          <w:sz w:val="24"/>
          <w:szCs w:val="24"/>
        </w:rPr>
        <w:t>. Интенсивный показатель в</w:t>
      </w:r>
      <w:r w:rsidR="00BF40F1"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2020 г</w:t>
      </w:r>
      <w:r w:rsidR="00BF40F1" w:rsidRPr="0066263B">
        <w:rPr>
          <w:rFonts w:ascii="Times New Roman" w:eastAsia="Calibri" w:hAnsi="Times New Roman" w:cs="Times New Roman"/>
          <w:sz w:val="24"/>
          <w:szCs w:val="24"/>
        </w:rPr>
        <w:t>оду</w:t>
      </w:r>
      <w:r w:rsidRPr="0066263B">
        <w:rPr>
          <w:rFonts w:ascii="Times New Roman" w:eastAsia="Calibri" w:hAnsi="Times New Roman" w:cs="Times New Roman"/>
          <w:sz w:val="24"/>
          <w:szCs w:val="24"/>
        </w:rPr>
        <w:t xml:space="preserve"> снизился на 28,0% и составил 83,6 на 100 тыс. населения (2019 – 116,2</w:t>
      </w:r>
      <w:r w:rsidR="00BF40F1" w:rsidRPr="0066263B">
        <w:rPr>
          <w:rFonts w:ascii="Times New Roman" w:eastAsia="Calibri" w:hAnsi="Times New Roman" w:cs="Times New Roman"/>
          <w:sz w:val="24"/>
          <w:szCs w:val="24"/>
        </w:rPr>
        <w:t xml:space="preserve"> на 100 тыс. нас</w:t>
      </w:r>
      <w:proofErr w:type="gramStart"/>
      <w:r w:rsidR="00BF40F1" w:rsidRPr="0066263B">
        <w:rPr>
          <w:rFonts w:ascii="Times New Roman" w:eastAsia="Calibri" w:hAnsi="Times New Roman" w:cs="Times New Roman"/>
          <w:sz w:val="24"/>
          <w:szCs w:val="24"/>
        </w:rPr>
        <w:t>.</w:t>
      </w:r>
      <w:r w:rsidRPr="0066263B">
        <w:rPr>
          <w:rFonts w:ascii="Times New Roman" w:eastAsia="Calibri" w:hAnsi="Times New Roman" w:cs="Times New Roman"/>
          <w:sz w:val="24"/>
          <w:szCs w:val="24"/>
        </w:rPr>
        <w:t xml:space="preserve">; </w:t>
      </w:r>
      <w:proofErr w:type="gramEnd"/>
      <w:r w:rsidRPr="0066263B">
        <w:rPr>
          <w:rFonts w:ascii="Times New Roman" w:eastAsia="Calibri" w:hAnsi="Times New Roman" w:cs="Times New Roman"/>
          <w:sz w:val="24"/>
          <w:szCs w:val="24"/>
        </w:rPr>
        <w:t>РФ</w:t>
      </w:r>
      <w:r w:rsidR="00BF40F1"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2019 – 111,2</w:t>
      </w:r>
      <w:r w:rsidR="00BF40F1" w:rsidRPr="0066263B">
        <w:rPr>
          <w:rFonts w:ascii="Times New Roman" w:eastAsia="Calibri" w:hAnsi="Times New Roman" w:cs="Times New Roman"/>
          <w:sz w:val="24"/>
          <w:szCs w:val="24"/>
        </w:rPr>
        <w:t xml:space="preserve"> на 100 тыс. нас.</w:t>
      </w:r>
      <w:r w:rsidRPr="0066263B">
        <w:rPr>
          <w:rFonts w:ascii="Times New Roman" w:eastAsia="Calibri" w:hAnsi="Times New Roman" w:cs="Times New Roman"/>
          <w:sz w:val="24"/>
          <w:szCs w:val="24"/>
        </w:rPr>
        <w:t>).</w:t>
      </w:r>
    </w:p>
    <w:p w:rsidR="00454A13" w:rsidRPr="0066263B" w:rsidRDefault="00454A13" w:rsidP="00454A13">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Среди районов области уровень общей заболеваемости, превышающий</w:t>
      </w:r>
      <w:r w:rsidR="00BF40F1"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 xml:space="preserve">среднеобластной показатель, зарегистрирован в 14 районах. </w:t>
      </w:r>
      <w:proofErr w:type="gramStart"/>
      <w:r w:rsidRPr="0066263B">
        <w:rPr>
          <w:rFonts w:ascii="Times New Roman" w:eastAsia="Calibri" w:hAnsi="Times New Roman" w:cs="Times New Roman"/>
          <w:sz w:val="24"/>
          <w:szCs w:val="24"/>
        </w:rPr>
        <w:t>Первые 5 ранговых мест</w:t>
      </w:r>
      <w:r w:rsidR="00BF40F1"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так же, как и в предыдущем году, занимают г.</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Фокино – 4</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052,0 на 100 тыс.</w:t>
      </w:r>
      <w:r w:rsidR="00BF40F1"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населения; г.</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Клинцы и Клинцовский район – 3</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883,5</w:t>
      </w:r>
      <w:r w:rsidR="00BF40F1" w:rsidRPr="0066263B">
        <w:rPr>
          <w:rFonts w:ascii="Times New Roman" w:eastAsia="Calibri" w:hAnsi="Times New Roman" w:cs="Times New Roman"/>
          <w:sz w:val="24"/>
          <w:szCs w:val="24"/>
        </w:rPr>
        <w:t xml:space="preserve"> на 100 тыс. населения</w:t>
      </w:r>
      <w:r w:rsidRPr="0066263B">
        <w:rPr>
          <w:rFonts w:ascii="Times New Roman" w:eastAsia="Calibri" w:hAnsi="Times New Roman" w:cs="Times New Roman"/>
          <w:sz w:val="24"/>
          <w:szCs w:val="24"/>
        </w:rPr>
        <w:t>; Погарский район – 3</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663,9</w:t>
      </w:r>
      <w:r w:rsidR="00BF40F1" w:rsidRPr="0066263B">
        <w:rPr>
          <w:rFonts w:ascii="Times New Roman" w:eastAsia="Calibri" w:hAnsi="Times New Roman" w:cs="Times New Roman"/>
          <w:sz w:val="24"/>
          <w:szCs w:val="24"/>
        </w:rPr>
        <w:t xml:space="preserve"> на 100 тыс. населения</w:t>
      </w:r>
      <w:r w:rsidRPr="0066263B">
        <w:rPr>
          <w:rFonts w:ascii="Times New Roman" w:eastAsia="Calibri" w:hAnsi="Times New Roman" w:cs="Times New Roman"/>
          <w:sz w:val="24"/>
          <w:szCs w:val="24"/>
        </w:rPr>
        <w:t>;</w:t>
      </w:r>
      <w:r w:rsidR="00BF40F1"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Злынковский район – 3</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000,6</w:t>
      </w:r>
      <w:r w:rsidR="00BF40F1" w:rsidRPr="0066263B">
        <w:rPr>
          <w:rFonts w:ascii="Times New Roman" w:eastAsia="Calibri" w:hAnsi="Times New Roman" w:cs="Times New Roman"/>
          <w:sz w:val="24"/>
          <w:szCs w:val="24"/>
        </w:rPr>
        <w:t xml:space="preserve"> на 100 тыс. населения</w:t>
      </w:r>
      <w:r w:rsidRPr="0066263B">
        <w:rPr>
          <w:rFonts w:ascii="Times New Roman" w:eastAsia="Calibri" w:hAnsi="Times New Roman" w:cs="Times New Roman"/>
          <w:sz w:val="24"/>
          <w:szCs w:val="24"/>
        </w:rPr>
        <w:t>; Трубчевский район – 2</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989,7</w:t>
      </w:r>
      <w:r w:rsidR="00BF40F1" w:rsidRPr="0066263B">
        <w:rPr>
          <w:rFonts w:ascii="Times New Roman" w:eastAsia="Calibri" w:hAnsi="Times New Roman" w:cs="Times New Roman"/>
          <w:sz w:val="24"/>
          <w:szCs w:val="24"/>
        </w:rPr>
        <w:t xml:space="preserve"> на 100 тыс. населения</w:t>
      </w:r>
      <w:r w:rsidRPr="0066263B">
        <w:rPr>
          <w:rFonts w:ascii="Times New Roman" w:eastAsia="Calibri" w:hAnsi="Times New Roman" w:cs="Times New Roman"/>
          <w:sz w:val="24"/>
          <w:szCs w:val="24"/>
        </w:rPr>
        <w:t>.</w:t>
      </w:r>
      <w:proofErr w:type="gramEnd"/>
    </w:p>
    <w:p w:rsidR="00454A13" w:rsidRPr="0066263B" w:rsidRDefault="00454A13" w:rsidP="00454A13">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Минимальные показатели общей заболеваемости наркологическими расстройствами в 2020 году на 100 тыс. населения зарегистрированы в Унечском районе –</w:t>
      </w:r>
      <w:r w:rsidR="00BF40F1"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1</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125,4</w:t>
      </w:r>
      <w:r w:rsidR="0057363C" w:rsidRPr="0057363C">
        <w:rPr>
          <w:rFonts w:ascii="Times New Roman" w:eastAsia="Calibri" w:hAnsi="Times New Roman" w:cs="Times New Roman"/>
          <w:sz w:val="24"/>
          <w:szCs w:val="24"/>
        </w:rPr>
        <w:t xml:space="preserve"> </w:t>
      </w:r>
      <w:r w:rsidR="0057363C" w:rsidRPr="0066263B">
        <w:rPr>
          <w:rFonts w:ascii="Times New Roman" w:eastAsia="Calibri" w:hAnsi="Times New Roman" w:cs="Times New Roman"/>
          <w:sz w:val="24"/>
          <w:szCs w:val="24"/>
        </w:rPr>
        <w:t>на 100 тыс. населения</w:t>
      </w:r>
      <w:r w:rsidRPr="0066263B">
        <w:rPr>
          <w:rFonts w:ascii="Times New Roman" w:eastAsia="Calibri" w:hAnsi="Times New Roman" w:cs="Times New Roman"/>
          <w:sz w:val="24"/>
          <w:szCs w:val="24"/>
        </w:rPr>
        <w:t>; в Дубровском районе – 1</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303,9</w:t>
      </w:r>
      <w:r w:rsidR="00BF40F1" w:rsidRPr="0066263B">
        <w:rPr>
          <w:rFonts w:ascii="Times New Roman" w:eastAsia="Calibri" w:hAnsi="Times New Roman" w:cs="Times New Roman"/>
          <w:sz w:val="24"/>
          <w:szCs w:val="24"/>
        </w:rPr>
        <w:t xml:space="preserve"> </w:t>
      </w:r>
      <w:r w:rsidR="0057363C" w:rsidRPr="0066263B">
        <w:rPr>
          <w:rFonts w:ascii="Times New Roman" w:eastAsia="Calibri" w:hAnsi="Times New Roman" w:cs="Times New Roman"/>
          <w:sz w:val="24"/>
          <w:szCs w:val="24"/>
        </w:rPr>
        <w:t xml:space="preserve">на 100 тыс. населения </w:t>
      </w:r>
      <w:r w:rsidR="00BF40F1" w:rsidRPr="0066263B">
        <w:rPr>
          <w:rFonts w:ascii="Times New Roman" w:eastAsia="Calibri" w:hAnsi="Times New Roman" w:cs="Times New Roman"/>
          <w:sz w:val="24"/>
          <w:szCs w:val="24"/>
        </w:rPr>
        <w:t>и</w:t>
      </w:r>
      <w:r w:rsidRPr="0066263B">
        <w:rPr>
          <w:rFonts w:ascii="Times New Roman" w:eastAsia="Calibri" w:hAnsi="Times New Roman" w:cs="Times New Roman"/>
          <w:sz w:val="24"/>
          <w:szCs w:val="24"/>
        </w:rPr>
        <w:t xml:space="preserve"> в Выгоничском районе – 1</w:t>
      </w:r>
      <w:r w:rsidR="00BF40F1"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378,8</w:t>
      </w:r>
      <w:r w:rsidR="0057363C" w:rsidRPr="0057363C">
        <w:rPr>
          <w:rFonts w:ascii="Times New Roman" w:eastAsia="Calibri" w:hAnsi="Times New Roman" w:cs="Times New Roman"/>
          <w:sz w:val="24"/>
          <w:szCs w:val="24"/>
        </w:rPr>
        <w:t xml:space="preserve"> </w:t>
      </w:r>
      <w:r w:rsidR="0057363C" w:rsidRPr="0066263B">
        <w:rPr>
          <w:rFonts w:ascii="Times New Roman" w:eastAsia="Calibri" w:hAnsi="Times New Roman" w:cs="Times New Roman"/>
          <w:sz w:val="24"/>
          <w:szCs w:val="24"/>
        </w:rPr>
        <w:t>на 100 тыс. населения</w:t>
      </w:r>
      <w:r w:rsidRPr="0066263B">
        <w:rPr>
          <w:rFonts w:ascii="Times New Roman" w:eastAsia="Calibri" w:hAnsi="Times New Roman" w:cs="Times New Roman"/>
          <w:sz w:val="24"/>
          <w:szCs w:val="24"/>
        </w:rPr>
        <w:t>.</w:t>
      </w:r>
    </w:p>
    <w:p w:rsidR="00454A13" w:rsidRPr="0066263B" w:rsidRDefault="00454A13" w:rsidP="00AE23D1">
      <w:pPr>
        <w:spacing w:before="0" w:after="0"/>
        <w:ind w:firstLine="709"/>
        <w:rPr>
          <w:rFonts w:ascii="Times New Roman" w:eastAsia="Calibri" w:hAnsi="Times New Roman" w:cs="Times New Roman"/>
          <w:sz w:val="24"/>
          <w:szCs w:val="24"/>
        </w:rPr>
      </w:pPr>
    </w:p>
    <w:p w:rsidR="00BF40F1" w:rsidRPr="0066263B" w:rsidRDefault="00BF40F1" w:rsidP="00BF40F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lastRenderedPageBreak/>
        <w:t>Соотношение мужчин и женщин в контингенте зарегистрированных больных в 2020 году составило 5,0:1 (2019 – 5,0:1; 2018 – 4,1:1).</w:t>
      </w:r>
    </w:p>
    <w:p w:rsidR="00BF40F1" w:rsidRPr="0066263B" w:rsidRDefault="00BF40F1" w:rsidP="00BF40F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Как и в предыдущие годы, большинство в общей заболеваемости составили потребители алкоголя (алкоголизм, алкогольные психозы и пагубное употребление алкоголя) – 85,5% от общего числа зарегистрированных больных или 1 929,1 на 100 тыс. населения (РФ 2019 – 1 009,6 на 100 тыс. нас.). Этот показатель в Брянской области по сравнению с 2019 годом снизился на 9,9%.</w:t>
      </w:r>
    </w:p>
    <w:p w:rsidR="00BF40F1" w:rsidRPr="0066263B" w:rsidRDefault="00BF40F1" w:rsidP="00BF40F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Всего в 2020 году за наркологической помощью обратились 23 005 человек с алкогольными расстройствами, или 1 929,1 на 100 тыс. населения (2019 – 2 141,3 на 100 тыс. нас.).</w:t>
      </w:r>
    </w:p>
    <w:p w:rsidR="00BF40F1" w:rsidRPr="0066263B" w:rsidRDefault="00BF40F1" w:rsidP="00BF40F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Число больных алкоголизмом и алкогольными психозами, зарегистрированных наркологической службой области по сравнению с 2019</w:t>
      </w:r>
      <w:r w:rsidR="00816777"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годом снизилось на 9,7% и составило 20 046 человек или 1 681,0 на 100 тыс. населения (2019 – 22 363 чел. или 1 863,3 на 100 тыс. нас.).</w:t>
      </w:r>
    </w:p>
    <w:p w:rsidR="00BF40F1" w:rsidRPr="0066263B" w:rsidRDefault="00BF40F1" w:rsidP="00BF40F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Кроме того, наркологической службой области зарегистрировано 2 959 человек, употребляющих алкоголь с вредными последствиями или 248,1 на 100 тыс. населения, что на 10,7% ниже уровня 2019 года (3 337 чел. или 278,0 на 100 тыс. нас.).</w:t>
      </w:r>
    </w:p>
    <w:p w:rsidR="00BF40F1" w:rsidRPr="0066263B" w:rsidRDefault="00BF40F1" w:rsidP="00BF40F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Впервые в жизни обратились за наркологической помощью 646 больных алкоголизмом, включая алкогольные психозы (2019 – 849 чел.). Показатель первичной заболеваемости алкоголизмом составил 54,1 на 100 тыс. населения и по сравнению с уровнем 2019 года снизился на 23,3% (2019 – 70,7 на 100 тыс. нас.), еще 142 пациента впервые зарегистрированы с диагнозом «употребление алкоголя с вредными последствиями» (2019 – 276 чел.).</w:t>
      </w:r>
    </w:p>
    <w:p w:rsidR="00BF40F1" w:rsidRPr="0066263B" w:rsidRDefault="00BF40F1" w:rsidP="00BF40F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Общее число </w:t>
      </w:r>
      <w:proofErr w:type="gramStart"/>
      <w:r w:rsidRPr="0066263B">
        <w:rPr>
          <w:rFonts w:ascii="Times New Roman" w:eastAsia="Calibri" w:hAnsi="Times New Roman" w:cs="Times New Roman"/>
          <w:sz w:val="24"/>
          <w:szCs w:val="24"/>
        </w:rPr>
        <w:t>пациентов, зарегистрированных впервые в жизни с алкогольными расстройствами составило</w:t>
      </w:r>
      <w:proofErr w:type="gramEnd"/>
      <w:r w:rsidRPr="0066263B">
        <w:rPr>
          <w:rFonts w:ascii="Times New Roman" w:eastAsia="Calibri" w:hAnsi="Times New Roman" w:cs="Times New Roman"/>
          <w:sz w:val="24"/>
          <w:szCs w:val="24"/>
        </w:rPr>
        <w:t xml:space="preserve"> 788 человек или 66,1 на 100 тыс. населения, что на 29,4% ниже уровня 2019 года (2019 – 93,7 на 100 тыс. нас.).</w:t>
      </w:r>
    </w:p>
    <w:p w:rsidR="00BF40F1" w:rsidRPr="0066263B" w:rsidRDefault="00BF40F1" w:rsidP="00BF40F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Показатель первичной заболеваемости алкогольными психозами в Брянской области в 2020 году составил 18,6 на 100 тыс. населения, что на 10,9% ниже уровня 2019 года (2019 – 20,9 на 100 тыс. нас.).</w:t>
      </w:r>
    </w:p>
    <w:p w:rsidR="008E719D" w:rsidRPr="0066263B" w:rsidRDefault="00BF40F1" w:rsidP="00BF40F1">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Показатель первичной обращаемости по поводу употребления алкоголя с вредными последствиями в 2020 году по сравнению с 2019 годом снизился на 46,6% (табл. 6</w:t>
      </w:r>
      <w:r w:rsidR="00816777" w:rsidRPr="0066263B">
        <w:rPr>
          <w:rFonts w:ascii="Times New Roman" w:eastAsia="Calibri" w:hAnsi="Times New Roman" w:cs="Times New Roman"/>
          <w:sz w:val="24"/>
          <w:szCs w:val="24"/>
        </w:rPr>
        <w:t>4</w:t>
      </w:r>
      <w:r w:rsidRPr="0066263B">
        <w:rPr>
          <w:rFonts w:ascii="Times New Roman" w:eastAsia="Calibri" w:hAnsi="Times New Roman" w:cs="Times New Roman"/>
          <w:sz w:val="24"/>
          <w:szCs w:val="24"/>
        </w:rPr>
        <w:t>).</w:t>
      </w:r>
    </w:p>
    <w:p w:rsidR="00BF40F1" w:rsidRPr="0066263B" w:rsidRDefault="00BF40F1" w:rsidP="008E719D">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iCs/>
          <w:lang w:eastAsia="ru-RU"/>
        </w:rPr>
      </w:pPr>
      <w:r w:rsidRPr="0066263B">
        <w:rPr>
          <w:rFonts w:ascii="Times New Roman" w:eastAsia="Times New Roman" w:hAnsi="Times New Roman" w:cs="Times New Roman"/>
          <w:b/>
          <w:iCs/>
          <w:lang w:eastAsia="ru-RU"/>
        </w:rPr>
        <w:t>Первичная заболеваемость алкогольными расстройствами в Брянской области</w:t>
      </w:r>
    </w:p>
    <w:p w:rsidR="00324483" w:rsidRPr="0066263B" w:rsidRDefault="00324483" w:rsidP="00324483">
      <w:pPr>
        <w:spacing w:before="0" w:after="0"/>
        <w:ind w:firstLine="709"/>
        <w:jc w:val="center"/>
        <w:rPr>
          <w:rFonts w:ascii="Times New Roman" w:eastAsia="Times New Roman" w:hAnsi="Times New Roman" w:cs="Times New Roman"/>
          <w:b/>
          <w:iCs/>
          <w:lang w:eastAsia="ru-RU"/>
        </w:rPr>
      </w:pP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70"/>
        <w:gridCol w:w="1322"/>
        <w:gridCol w:w="1323"/>
        <w:gridCol w:w="943"/>
        <w:gridCol w:w="943"/>
        <w:gridCol w:w="1377"/>
      </w:tblGrid>
      <w:tr w:rsidR="00324483" w:rsidRPr="0066263B" w:rsidTr="00425537">
        <w:trPr>
          <w:trHeight w:val="368"/>
          <w:jc w:val="center"/>
        </w:trPr>
        <w:tc>
          <w:tcPr>
            <w:tcW w:w="1781" w:type="pct"/>
            <w:vMerge w:val="restart"/>
            <w:vAlign w:val="center"/>
          </w:tcPr>
          <w:p w:rsidR="00324483" w:rsidRPr="0066263B" w:rsidRDefault="00324483" w:rsidP="00324483">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Наркотические расстройства</w:t>
            </w:r>
          </w:p>
        </w:tc>
        <w:tc>
          <w:tcPr>
            <w:tcW w:w="1441" w:type="pct"/>
            <w:gridSpan w:val="2"/>
            <w:vAlign w:val="center"/>
          </w:tcPr>
          <w:p w:rsidR="00324483" w:rsidRPr="0066263B" w:rsidRDefault="00324483" w:rsidP="00324483">
            <w:pPr>
              <w:autoSpaceDE w:val="0"/>
              <w:autoSpaceDN w:val="0"/>
              <w:adjustRightInd w:val="0"/>
              <w:spacing w:before="20" w:after="20"/>
              <w:jc w:val="center"/>
              <w:rPr>
                <w:rFonts w:ascii="Times New Roman" w:eastAsia="TimesNewRomanPSMT" w:hAnsi="Times New Roman" w:cs="Times New Roman"/>
                <w:b/>
                <w:i/>
              </w:rPr>
            </w:pPr>
            <w:r w:rsidRPr="0066263B">
              <w:rPr>
                <w:rFonts w:ascii="Times New Roman" w:eastAsia="Times New Roman" w:hAnsi="Times New Roman" w:cs="Times New Roman"/>
                <w:b/>
                <w:i/>
                <w:lang w:eastAsia="ru-RU"/>
              </w:rPr>
              <w:t>Число зарегистрированных пациентов, абс.</w:t>
            </w:r>
          </w:p>
        </w:tc>
        <w:tc>
          <w:tcPr>
            <w:tcW w:w="1027" w:type="pct"/>
            <w:gridSpan w:val="2"/>
            <w:vAlign w:val="center"/>
          </w:tcPr>
          <w:p w:rsidR="00324483" w:rsidRPr="0066263B" w:rsidRDefault="00324483" w:rsidP="00324483">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Доля, %</w:t>
            </w:r>
          </w:p>
        </w:tc>
        <w:tc>
          <w:tcPr>
            <w:tcW w:w="750" w:type="pct"/>
            <w:vMerge w:val="restart"/>
            <w:vAlign w:val="center"/>
          </w:tcPr>
          <w:p w:rsidR="00324483" w:rsidRPr="0066263B" w:rsidRDefault="008E719D" w:rsidP="00BF40F1">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w:t>
            </w:r>
            <w:r w:rsidR="00324483" w:rsidRPr="0066263B">
              <w:rPr>
                <w:rFonts w:ascii="Times New Roman" w:eastAsia="Times New Roman" w:hAnsi="Times New Roman" w:cs="Times New Roman"/>
                <w:b/>
                <w:i/>
                <w:lang w:eastAsia="ru-RU"/>
              </w:rPr>
              <w:t xml:space="preserve">рирост </w:t>
            </w:r>
            <w:r w:rsidRPr="0066263B">
              <w:rPr>
                <w:rFonts w:ascii="Times New Roman" w:eastAsia="Times New Roman" w:hAnsi="Times New Roman" w:cs="Times New Roman"/>
                <w:b/>
                <w:i/>
                <w:lang w:eastAsia="ru-RU"/>
              </w:rPr>
              <w:t>20</w:t>
            </w:r>
            <w:r w:rsidR="00BF40F1" w:rsidRPr="0066263B">
              <w:rPr>
                <w:rFonts w:ascii="Times New Roman" w:eastAsia="Times New Roman" w:hAnsi="Times New Roman" w:cs="Times New Roman"/>
                <w:b/>
                <w:i/>
                <w:lang w:eastAsia="ru-RU"/>
              </w:rPr>
              <w:t>20</w:t>
            </w:r>
            <w:r w:rsidRPr="0066263B">
              <w:rPr>
                <w:rFonts w:ascii="Times New Roman" w:eastAsia="Times New Roman" w:hAnsi="Times New Roman" w:cs="Times New Roman"/>
                <w:b/>
                <w:i/>
                <w:lang w:eastAsia="ru-RU"/>
              </w:rPr>
              <w:t xml:space="preserve"> / </w:t>
            </w:r>
            <w:r w:rsidR="00324483" w:rsidRPr="0066263B">
              <w:rPr>
                <w:rFonts w:ascii="Times New Roman" w:eastAsia="Times New Roman" w:hAnsi="Times New Roman" w:cs="Times New Roman"/>
                <w:b/>
                <w:i/>
                <w:lang w:eastAsia="ru-RU"/>
              </w:rPr>
              <w:t>201</w:t>
            </w:r>
            <w:r w:rsidR="00BF40F1" w:rsidRPr="0066263B">
              <w:rPr>
                <w:rFonts w:ascii="Times New Roman" w:eastAsia="Times New Roman" w:hAnsi="Times New Roman" w:cs="Times New Roman"/>
                <w:b/>
                <w:i/>
                <w:lang w:eastAsia="ru-RU"/>
              </w:rPr>
              <w:t>9</w:t>
            </w:r>
            <w:r w:rsidR="00324483" w:rsidRPr="0066263B">
              <w:rPr>
                <w:rFonts w:ascii="Times New Roman" w:eastAsia="Times New Roman" w:hAnsi="Times New Roman" w:cs="Times New Roman"/>
                <w:b/>
                <w:i/>
                <w:lang w:eastAsia="ru-RU"/>
              </w:rPr>
              <w:t>, %</w:t>
            </w:r>
          </w:p>
        </w:tc>
      </w:tr>
      <w:tr w:rsidR="00BF40F1" w:rsidRPr="0066263B" w:rsidTr="00425537">
        <w:trPr>
          <w:trHeight w:val="234"/>
          <w:jc w:val="center"/>
        </w:trPr>
        <w:tc>
          <w:tcPr>
            <w:tcW w:w="1781" w:type="pct"/>
            <w:vMerge/>
            <w:vAlign w:val="center"/>
          </w:tcPr>
          <w:p w:rsidR="00BF40F1" w:rsidRPr="0066263B" w:rsidRDefault="00BF40F1" w:rsidP="00324483">
            <w:pPr>
              <w:autoSpaceDE w:val="0"/>
              <w:autoSpaceDN w:val="0"/>
              <w:adjustRightInd w:val="0"/>
              <w:spacing w:before="20" w:after="20"/>
              <w:jc w:val="center"/>
              <w:rPr>
                <w:rFonts w:ascii="Times New Roman" w:eastAsia="Times New Roman" w:hAnsi="Times New Roman" w:cs="Times New Roman"/>
                <w:b/>
                <w:i/>
                <w:lang w:eastAsia="ru-RU"/>
              </w:rPr>
            </w:pPr>
          </w:p>
        </w:tc>
        <w:tc>
          <w:tcPr>
            <w:tcW w:w="720" w:type="pct"/>
            <w:vAlign w:val="center"/>
          </w:tcPr>
          <w:p w:rsidR="00BF40F1" w:rsidRPr="0066263B" w:rsidRDefault="00BF40F1" w:rsidP="00685039">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21" w:type="pct"/>
            <w:vAlign w:val="center"/>
          </w:tcPr>
          <w:p w:rsidR="00BF40F1" w:rsidRPr="0066263B" w:rsidRDefault="00BF40F1" w:rsidP="00324483">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514" w:type="pct"/>
            <w:vAlign w:val="center"/>
          </w:tcPr>
          <w:p w:rsidR="00BF40F1" w:rsidRPr="0066263B" w:rsidRDefault="00BF40F1" w:rsidP="00685039">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514" w:type="pct"/>
            <w:vAlign w:val="center"/>
          </w:tcPr>
          <w:p w:rsidR="00BF40F1" w:rsidRPr="0066263B" w:rsidRDefault="00BF40F1" w:rsidP="00324483">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50" w:type="pct"/>
            <w:vMerge/>
          </w:tcPr>
          <w:p w:rsidR="00BF40F1" w:rsidRPr="0066263B" w:rsidRDefault="00BF40F1" w:rsidP="00324483">
            <w:pPr>
              <w:autoSpaceDE w:val="0"/>
              <w:autoSpaceDN w:val="0"/>
              <w:adjustRightInd w:val="0"/>
              <w:spacing w:before="20" w:after="20"/>
              <w:jc w:val="center"/>
              <w:rPr>
                <w:rFonts w:ascii="Times New Roman" w:eastAsia="Times New Roman" w:hAnsi="Times New Roman" w:cs="Times New Roman"/>
                <w:b/>
                <w:i/>
                <w:lang w:eastAsia="ru-RU"/>
              </w:rPr>
            </w:pPr>
          </w:p>
        </w:tc>
      </w:tr>
      <w:tr w:rsidR="00BF40F1" w:rsidRPr="0066263B" w:rsidTr="00425537">
        <w:trPr>
          <w:trHeight w:val="209"/>
          <w:jc w:val="center"/>
        </w:trPr>
        <w:tc>
          <w:tcPr>
            <w:tcW w:w="1781" w:type="pct"/>
            <w:vAlign w:val="center"/>
          </w:tcPr>
          <w:p w:rsidR="00BF40F1" w:rsidRPr="0066263B" w:rsidRDefault="00BF40F1" w:rsidP="00324483">
            <w:pPr>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Потребление алкоголя, всего</w:t>
            </w:r>
          </w:p>
        </w:tc>
        <w:tc>
          <w:tcPr>
            <w:tcW w:w="720" w:type="pct"/>
            <w:vAlign w:val="center"/>
          </w:tcPr>
          <w:p w:rsidR="00BF40F1" w:rsidRPr="0066263B" w:rsidRDefault="00BF40F1"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1125</w:t>
            </w:r>
          </w:p>
        </w:tc>
        <w:tc>
          <w:tcPr>
            <w:tcW w:w="721" w:type="pct"/>
            <w:vAlign w:val="center"/>
          </w:tcPr>
          <w:p w:rsidR="00BF40F1" w:rsidRPr="0066263B" w:rsidRDefault="00BF40F1"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788</w:t>
            </w:r>
          </w:p>
        </w:tc>
        <w:tc>
          <w:tcPr>
            <w:tcW w:w="514"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514" w:type="pct"/>
            <w:vAlign w:val="center"/>
          </w:tcPr>
          <w:p w:rsidR="00BF40F1" w:rsidRPr="0066263B" w:rsidRDefault="00685039" w:rsidP="00324483">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750"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r w:rsidR="00685039" w:rsidRPr="0066263B">
              <w:rPr>
                <w:rFonts w:ascii="Times New Roman" w:eastAsia="Times New Roman" w:hAnsi="Times New Roman" w:cs="Times New Roman"/>
                <w:lang w:eastAsia="ru-RU"/>
              </w:rPr>
              <w:t>29</w:t>
            </w:r>
            <w:r w:rsidRPr="0066263B">
              <w:rPr>
                <w:rFonts w:ascii="Times New Roman" w:eastAsia="Times New Roman" w:hAnsi="Times New Roman" w:cs="Times New Roman"/>
                <w:lang w:eastAsia="ru-RU"/>
              </w:rPr>
              <w:t>,4</w:t>
            </w:r>
          </w:p>
        </w:tc>
      </w:tr>
      <w:tr w:rsidR="00BF40F1" w:rsidRPr="0066263B" w:rsidTr="00425537">
        <w:trPr>
          <w:trHeight w:val="60"/>
          <w:jc w:val="center"/>
        </w:trPr>
        <w:tc>
          <w:tcPr>
            <w:tcW w:w="1781" w:type="pct"/>
            <w:vAlign w:val="center"/>
          </w:tcPr>
          <w:p w:rsidR="00BF40F1" w:rsidRPr="0066263B" w:rsidRDefault="00BF40F1" w:rsidP="00324483">
            <w:pPr>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Синдром зависимости от алкоголя, включая алкогольные психозы</w:t>
            </w:r>
          </w:p>
        </w:tc>
        <w:tc>
          <w:tcPr>
            <w:tcW w:w="720" w:type="pct"/>
            <w:vAlign w:val="center"/>
          </w:tcPr>
          <w:p w:rsidR="00BF40F1" w:rsidRPr="0066263B" w:rsidRDefault="00BF40F1"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849</w:t>
            </w:r>
          </w:p>
        </w:tc>
        <w:tc>
          <w:tcPr>
            <w:tcW w:w="721" w:type="pct"/>
            <w:vAlign w:val="center"/>
          </w:tcPr>
          <w:p w:rsidR="00BF40F1" w:rsidRPr="0066263B" w:rsidRDefault="00BF40F1"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646</w:t>
            </w:r>
          </w:p>
        </w:tc>
        <w:tc>
          <w:tcPr>
            <w:tcW w:w="514"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75,5</w:t>
            </w:r>
          </w:p>
        </w:tc>
        <w:tc>
          <w:tcPr>
            <w:tcW w:w="514" w:type="pct"/>
            <w:vAlign w:val="center"/>
          </w:tcPr>
          <w:p w:rsidR="00BF40F1" w:rsidRPr="0066263B" w:rsidRDefault="00685039" w:rsidP="00324483">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81,9</w:t>
            </w:r>
          </w:p>
        </w:tc>
        <w:tc>
          <w:tcPr>
            <w:tcW w:w="750"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r w:rsidR="00685039" w:rsidRPr="0066263B">
              <w:rPr>
                <w:rFonts w:ascii="Times New Roman" w:eastAsia="Times New Roman" w:hAnsi="Times New Roman" w:cs="Times New Roman"/>
                <w:lang w:eastAsia="ru-RU"/>
              </w:rPr>
              <w:t>23,3</w:t>
            </w:r>
          </w:p>
        </w:tc>
      </w:tr>
      <w:tr w:rsidR="00BF40F1" w:rsidRPr="0066263B" w:rsidTr="00425537">
        <w:trPr>
          <w:trHeight w:val="60"/>
          <w:jc w:val="center"/>
        </w:trPr>
        <w:tc>
          <w:tcPr>
            <w:tcW w:w="1781" w:type="pct"/>
            <w:vAlign w:val="center"/>
          </w:tcPr>
          <w:p w:rsidR="00BF40F1" w:rsidRPr="0066263B" w:rsidRDefault="00BF40F1" w:rsidP="00324483">
            <w:pPr>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Алкогольные психозы</w:t>
            </w:r>
          </w:p>
        </w:tc>
        <w:tc>
          <w:tcPr>
            <w:tcW w:w="720" w:type="pct"/>
            <w:vAlign w:val="center"/>
          </w:tcPr>
          <w:p w:rsidR="00BF40F1" w:rsidRPr="0066263B" w:rsidRDefault="00BF40F1"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251</w:t>
            </w:r>
          </w:p>
        </w:tc>
        <w:tc>
          <w:tcPr>
            <w:tcW w:w="721" w:type="pct"/>
            <w:vAlign w:val="center"/>
          </w:tcPr>
          <w:p w:rsidR="00BF40F1" w:rsidRPr="0066263B" w:rsidRDefault="00BF40F1"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222</w:t>
            </w:r>
          </w:p>
        </w:tc>
        <w:tc>
          <w:tcPr>
            <w:tcW w:w="514"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22,3</w:t>
            </w:r>
          </w:p>
        </w:tc>
        <w:tc>
          <w:tcPr>
            <w:tcW w:w="514" w:type="pct"/>
            <w:vAlign w:val="center"/>
          </w:tcPr>
          <w:p w:rsidR="00BF40F1" w:rsidRPr="0066263B" w:rsidRDefault="00685039" w:rsidP="008E719D">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28,1</w:t>
            </w:r>
          </w:p>
        </w:tc>
        <w:tc>
          <w:tcPr>
            <w:tcW w:w="750"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r w:rsidR="00685039" w:rsidRPr="0066263B">
              <w:rPr>
                <w:rFonts w:ascii="Times New Roman" w:eastAsia="Times New Roman" w:hAnsi="Times New Roman" w:cs="Times New Roman"/>
                <w:lang w:eastAsia="ru-RU"/>
              </w:rPr>
              <w:t>10,9</w:t>
            </w:r>
          </w:p>
        </w:tc>
      </w:tr>
      <w:tr w:rsidR="00BF40F1" w:rsidRPr="0066263B" w:rsidTr="00425537">
        <w:trPr>
          <w:trHeight w:val="175"/>
          <w:jc w:val="center"/>
        </w:trPr>
        <w:tc>
          <w:tcPr>
            <w:tcW w:w="1781" w:type="pct"/>
            <w:vAlign w:val="center"/>
          </w:tcPr>
          <w:p w:rsidR="00BF40F1" w:rsidRPr="0066263B" w:rsidRDefault="00BF40F1" w:rsidP="00324483">
            <w:pPr>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Синдром зависимости от алкоголя без алкогольных психозов</w:t>
            </w:r>
          </w:p>
        </w:tc>
        <w:tc>
          <w:tcPr>
            <w:tcW w:w="720" w:type="pct"/>
            <w:vAlign w:val="center"/>
          </w:tcPr>
          <w:p w:rsidR="00BF40F1" w:rsidRPr="0066263B" w:rsidRDefault="00BF40F1"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598</w:t>
            </w:r>
          </w:p>
        </w:tc>
        <w:tc>
          <w:tcPr>
            <w:tcW w:w="721" w:type="pct"/>
            <w:vAlign w:val="center"/>
          </w:tcPr>
          <w:p w:rsidR="00BF40F1" w:rsidRPr="0066263B" w:rsidRDefault="00BF40F1"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424</w:t>
            </w:r>
          </w:p>
        </w:tc>
        <w:tc>
          <w:tcPr>
            <w:tcW w:w="514"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53,2</w:t>
            </w:r>
          </w:p>
        </w:tc>
        <w:tc>
          <w:tcPr>
            <w:tcW w:w="514" w:type="pct"/>
            <w:vAlign w:val="center"/>
          </w:tcPr>
          <w:p w:rsidR="00BF40F1" w:rsidRPr="0066263B" w:rsidRDefault="00685039" w:rsidP="00324483">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53,8</w:t>
            </w:r>
          </w:p>
        </w:tc>
        <w:tc>
          <w:tcPr>
            <w:tcW w:w="750"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r w:rsidR="00685039" w:rsidRPr="0066263B">
              <w:rPr>
                <w:rFonts w:ascii="Times New Roman" w:eastAsia="Times New Roman" w:hAnsi="Times New Roman" w:cs="Times New Roman"/>
                <w:lang w:eastAsia="ru-RU"/>
              </w:rPr>
              <w:t>28,6</w:t>
            </w:r>
          </w:p>
        </w:tc>
      </w:tr>
      <w:tr w:rsidR="00BF40F1" w:rsidRPr="0066263B" w:rsidTr="00425537">
        <w:trPr>
          <w:trHeight w:val="457"/>
          <w:jc w:val="center"/>
        </w:trPr>
        <w:tc>
          <w:tcPr>
            <w:tcW w:w="1781" w:type="pct"/>
            <w:vAlign w:val="center"/>
          </w:tcPr>
          <w:p w:rsidR="00BF40F1" w:rsidRPr="0066263B" w:rsidRDefault="00BF40F1" w:rsidP="00324483">
            <w:pPr>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Употребление алкоголя с вредными последствиями</w:t>
            </w:r>
          </w:p>
        </w:tc>
        <w:tc>
          <w:tcPr>
            <w:tcW w:w="720" w:type="pct"/>
            <w:vAlign w:val="center"/>
          </w:tcPr>
          <w:p w:rsidR="00BF40F1" w:rsidRPr="0066263B" w:rsidRDefault="00BF40F1" w:rsidP="0068503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276</w:t>
            </w:r>
          </w:p>
        </w:tc>
        <w:tc>
          <w:tcPr>
            <w:tcW w:w="721" w:type="pct"/>
            <w:vAlign w:val="center"/>
          </w:tcPr>
          <w:p w:rsidR="00BF40F1" w:rsidRPr="0066263B" w:rsidRDefault="00BF40F1"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142</w:t>
            </w:r>
          </w:p>
        </w:tc>
        <w:tc>
          <w:tcPr>
            <w:tcW w:w="514"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24,5</w:t>
            </w:r>
          </w:p>
        </w:tc>
        <w:tc>
          <w:tcPr>
            <w:tcW w:w="514" w:type="pct"/>
            <w:vAlign w:val="center"/>
          </w:tcPr>
          <w:p w:rsidR="00BF40F1" w:rsidRPr="0066263B" w:rsidRDefault="00685039" w:rsidP="00324483">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18,0</w:t>
            </w:r>
          </w:p>
        </w:tc>
        <w:tc>
          <w:tcPr>
            <w:tcW w:w="750" w:type="pct"/>
            <w:vAlign w:val="center"/>
          </w:tcPr>
          <w:p w:rsidR="00BF40F1" w:rsidRPr="0066263B" w:rsidRDefault="00BF40F1" w:rsidP="00685039">
            <w:pPr>
              <w:keepNext/>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r w:rsidR="00685039" w:rsidRPr="0066263B">
              <w:rPr>
                <w:rFonts w:ascii="Times New Roman" w:eastAsia="Times New Roman" w:hAnsi="Times New Roman" w:cs="Times New Roman"/>
                <w:lang w:eastAsia="ru-RU"/>
              </w:rPr>
              <w:t>46,6</w:t>
            </w:r>
          </w:p>
        </w:tc>
      </w:tr>
    </w:tbl>
    <w:p w:rsidR="00324483" w:rsidRPr="0066263B" w:rsidRDefault="00324483" w:rsidP="00324483">
      <w:pPr>
        <w:spacing w:before="0" w:after="0"/>
        <w:ind w:firstLine="709"/>
        <w:rPr>
          <w:rFonts w:ascii="Times New Roman" w:eastAsia="Calibri" w:hAnsi="Times New Roman" w:cs="Times New Roman"/>
          <w:sz w:val="24"/>
          <w:szCs w:val="24"/>
        </w:rPr>
      </w:pPr>
    </w:p>
    <w:p w:rsidR="00685039" w:rsidRPr="0066263B" w:rsidRDefault="00685039" w:rsidP="00685039">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lastRenderedPageBreak/>
        <w:t>Таким образом, в 2020 г</w:t>
      </w:r>
      <w:r w:rsidR="00580882" w:rsidRPr="0066263B">
        <w:rPr>
          <w:rFonts w:ascii="Times New Roman" w:eastAsia="Calibri" w:hAnsi="Times New Roman" w:cs="Times New Roman"/>
          <w:sz w:val="24"/>
          <w:szCs w:val="24"/>
        </w:rPr>
        <w:t>оду</w:t>
      </w:r>
      <w:r w:rsidRPr="0066263B">
        <w:rPr>
          <w:rFonts w:ascii="Times New Roman" w:eastAsia="Calibri" w:hAnsi="Times New Roman" w:cs="Times New Roman"/>
          <w:sz w:val="24"/>
          <w:szCs w:val="24"/>
        </w:rPr>
        <w:t xml:space="preserve"> наблюдалось снижение первичной заболеваемости по всем показателям алкогольных расстройств.</w:t>
      </w:r>
    </w:p>
    <w:p w:rsidR="00685039" w:rsidRPr="0066263B" w:rsidRDefault="00685039" w:rsidP="00685039">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В 2020 году специализированными наркологическими учреждениями и наркологическими кабинетами медицинских организаций зарегистрированы 2 528 больных наркоманией или 211,9 на 100 тыс. населения, что на 0,37% выше, чем в 2019 году – 211,1 на 100 тыс. населения (2018 – 208,8 на 100 тыс. нас</w:t>
      </w:r>
      <w:proofErr w:type="gramStart"/>
      <w:r w:rsidRPr="0066263B">
        <w:rPr>
          <w:rFonts w:ascii="Times New Roman" w:eastAsia="Calibri" w:hAnsi="Times New Roman" w:cs="Times New Roman"/>
          <w:sz w:val="24"/>
          <w:szCs w:val="24"/>
        </w:rPr>
        <w:t xml:space="preserve">.; </w:t>
      </w:r>
      <w:proofErr w:type="gramEnd"/>
      <w:r w:rsidRPr="0066263B">
        <w:rPr>
          <w:rFonts w:ascii="Times New Roman" w:eastAsia="Calibri" w:hAnsi="Times New Roman" w:cs="Times New Roman"/>
          <w:sz w:val="24"/>
          <w:szCs w:val="24"/>
        </w:rPr>
        <w:t>РФ 2019 – 160,93 на 100 тыс. нас.).</w:t>
      </w:r>
    </w:p>
    <w:p w:rsidR="00685039" w:rsidRPr="0066263B" w:rsidRDefault="00685039" w:rsidP="00685039">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Структура зарегистрированных больных наркоманией изменилась в 2020 году незначительно и в целом соответствует среднероссийским показателям 2019 года. Как и в предыдущие годы, подавляющее большинство составили лица с </w:t>
      </w:r>
      <w:proofErr w:type="spellStart"/>
      <w:r w:rsidRPr="0066263B">
        <w:rPr>
          <w:rFonts w:ascii="Times New Roman" w:eastAsia="Calibri" w:hAnsi="Times New Roman" w:cs="Times New Roman"/>
          <w:sz w:val="24"/>
          <w:szCs w:val="24"/>
        </w:rPr>
        <w:t>опиоидной</w:t>
      </w:r>
      <w:proofErr w:type="spellEnd"/>
      <w:r w:rsidRPr="0066263B">
        <w:rPr>
          <w:rFonts w:ascii="Times New Roman" w:eastAsia="Calibri" w:hAnsi="Times New Roman" w:cs="Times New Roman"/>
          <w:sz w:val="24"/>
          <w:szCs w:val="24"/>
        </w:rPr>
        <w:t xml:space="preserve"> зависимостью – 55,6% (РФ 2019 – 56,8%). Второе ранговое место заняла группа пациентов, включающая больных </w:t>
      </w:r>
      <w:proofErr w:type="spellStart"/>
      <w:r w:rsidRPr="0066263B">
        <w:rPr>
          <w:rFonts w:ascii="Times New Roman" w:eastAsia="Calibri" w:hAnsi="Times New Roman" w:cs="Times New Roman"/>
          <w:sz w:val="24"/>
          <w:szCs w:val="24"/>
        </w:rPr>
        <w:t>полинаркоманией</w:t>
      </w:r>
      <w:proofErr w:type="spellEnd"/>
      <w:r w:rsidRPr="0066263B">
        <w:rPr>
          <w:rFonts w:ascii="Times New Roman" w:eastAsia="Calibri" w:hAnsi="Times New Roman" w:cs="Times New Roman"/>
          <w:sz w:val="24"/>
          <w:szCs w:val="24"/>
        </w:rPr>
        <w:t xml:space="preserve"> и зависимых от других наркотиков, – 27,8% (РФ 2019 – 23,3%). На третьем месте – больные с зависимостью от </w:t>
      </w:r>
      <w:proofErr w:type="spellStart"/>
      <w:r w:rsidRPr="0066263B">
        <w:rPr>
          <w:rFonts w:ascii="Times New Roman" w:eastAsia="Calibri" w:hAnsi="Times New Roman" w:cs="Times New Roman"/>
          <w:sz w:val="24"/>
          <w:szCs w:val="24"/>
        </w:rPr>
        <w:t>каннабиноидов</w:t>
      </w:r>
      <w:proofErr w:type="spellEnd"/>
      <w:r w:rsidRPr="0066263B">
        <w:rPr>
          <w:rFonts w:ascii="Times New Roman" w:eastAsia="Calibri" w:hAnsi="Times New Roman" w:cs="Times New Roman"/>
          <w:sz w:val="24"/>
          <w:szCs w:val="24"/>
        </w:rPr>
        <w:t xml:space="preserve"> – 14,3% (РФ 2019 – 11,9%). На четвёртом месте – группа пациентов с зависимостью от </w:t>
      </w:r>
      <w:proofErr w:type="spellStart"/>
      <w:r w:rsidRPr="0066263B">
        <w:rPr>
          <w:rFonts w:ascii="Times New Roman" w:eastAsia="Calibri" w:hAnsi="Times New Roman" w:cs="Times New Roman"/>
          <w:sz w:val="24"/>
          <w:szCs w:val="24"/>
        </w:rPr>
        <w:t>психостимуляторов</w:t>
      </w:r>
      <w:proofErr w:type="spellEnd"/>
      <w:r w:rsidRPr="0066263B">
        <w:rPr>
          <w:rFonts w:ascii="Times New Roman" w:eastAsia="Calibri" w:hAnsi="Times New Roman" w:cs="Times New Roman"/>
          <w:sz w:val="24"/>
          <w:szCs w:val="24"/>
        </w:rPr>
        <w:t xml:space="preserve"> (</w:t>
      </w:r>
      <w:proofErr w:type="spellStart"/>
      <w:r w:rsidRPr="0066263B">
        <w:rPr>
          <w:rFonts w:ascii="Times New Roman" w:eastAsia="Calibri" w:hAnsi="Times New Roman" w:cs="Times New Roman"/>
          <w:sz w:val="24"/>
          <w:szCs w:val="24"/>
        </w:rPr>
        <w:t>амфетамин</w:t>
      </w:r>
      <w:proofErr w:type="spellEnd"/>
      <w:r w:rsidRPr="0066263B">
        <w:rPr>
          <w:rFonts w:ascii="Times New Roman" w:eastAsia="Calibri" w:hAnsi="Times New Roman" w:cs="Times New Roman"/>
          <w:sz w:val="24"/>
          <w:szCs w:val="24"/>
        </w:rPr>
        <w:t>, кокаин и т. п.) – 2,25% (РФ 2019 – 8%).</w:t>
      </w:r>
    </w:p>
    <w:p w:rsidR="00685039" w:rsidRPr="0066263B" w:rsidRDefault="00685039" w:rsidP="00685039">
      <w:pPr>
        <w:spacing w:before="0" w:after="0"/>
        <w:ind w:firstLine="709"/>
        <w:rPr>
          <w:rFonts w:ascii="Times New Roman" w:eastAsia="Calibri" w:hAnsi="Times New Roman" w:cs="Times New Roman"/>
          <w:sz w:val="24"/>
          <w:szCs w:val="24"/>
        </w:rPr>
      </w:pPr>
      <w:proofErr w:type="gramStart"/>
      <w:r w:rsidRPr="0066263B">
        <w:rPr>
          <w:rFonts w:ascii="Times New Roman" w:eastAsia="Calibri" w:hAnsi="Times New Roman" w:cs="Times New Roman"/>
          <w:sz w:val="24"/>
          <w:szCs w:val="24"/>
        </w:rPr>
        <w:t xml:space="preserve">В Брянской области самый высокий уровень общей заболеваемости наркоманией в 2020 году отмечался в г. Клинцы и Клинцовском районе – 432,5 на 100 тыс. населения; в г. Сельцо – 372,7 на 100 тыс. населения; в </w:t>
      </w:r>
      <w:proofErr w:type="spellStart"/>
      <w:r w:rsidRPr="0066263B">
        <w:rPr>
          <w:rFonts w:ascii="Times New Roman" w:eastAsia="Calibri" w:hAnsi="Times New Roman" w:cs="Times New Roman"/>
          <w:sz w:val="24"/>
          <w:szCs w:val="24"/>
        </w:rPr>
        <w:t>Бежицком</w:t>
      </w:r>
      <w:proofErr w:type="spellEnd"/>
      <w:r w:rsidRPr="0066263B">
        <w:rPr>
          <w:rFonts w:ascii="Times New Roman" w:eastAsia="Calibri" w:hAnsi="Times New Roman" w:cs="Times New Roman"/>
          <w:sz w:val="24"/>
          <w:szCs w:val="24"/>
        </w:rPr>
        <w:t xml:space="preserve"> районе г. Брянска – 392,8 на 100 тыс. населения; в </w:t>
      </w:r>
      <w:proofErr w:type="spellStart"/>
      <w:r w:rsidRPr="0066263B">
        <w:rPr>
          <w:rFonts w:ascii="Times New Roman" w:eastAsia="Calibri" w:hAnsi="Times New Roman" w:cs="Times New Roman"/>
          <w:sz w:val="24"/>
          <w:szCs w:val="24"/>
        </w:rPr>
        <w:t>Фокинском</w:t>
      </w:r>
      <w:proofErr w:type="spellEnd"/>
      <w:r w:rsidRPr="0066263B">
        <w:rPr>
          <w:rFonts w:ascii="Times New Roman" w:eastAsia="Calibri" w:hAnsi="Times New Roman" w:cs="Times New Roman"/>
          <w:sz w:val="24"/>
          <w:szCs w:val="24"/>
        </w:rPr>
        <w:t xml:space="preserve"> районе г. Брянска – 354,7 на 100 тыс. населения;</w:t>
      </w:r>
      <w:proofErr w:type="gramEnd"/>
      <w:r w:rsidRPr="0066263B">
        <w:rPr>
          <w:rFonts w:ascii="Times New Roman" w:eastAsia="Calibri" w:hAnsi="Times New Roman" w:cs="Times New Roman"/>
          <w:sz w:val="24"/>
          <w:szCs w:val="24"/>
        </w:rPr>
        <w:t xml:space="preserve"> в Володарском районе </w:t>
      </w:r>
      <w:proofErr w:type="gramStart"/>
      <w:r w:rsidRPr="0066263B">
        <w:rPr>
          <w:rFonts w:ascii="Times New Roman" w:eastAsia="Calibri" w:hAnsi="Times New Roman" w:cs="Times New Roman"/>
          <w:sz w:val="24"/>
          <w:szCs w:val="24"/>
        </w:rPr>
        <w:t>г</w:t>
      </w:r>
      <w:proofErr w:type="gramEnd"/>
      <w:r w:rsidRPr="0066263B">
        <w:rPr>
          <w:rFonts w:ascii="Times New Roman" w:eastAsia="Calibri" w:hAnsi="Times New Roman" w:cs="Times New Roman"/>
          <w:sz w:val="24"/>
          <w:szCs w:val="24"/>
        </w:rPr>
        <w:t>. Брянска – 256,8 на 100 тыс. населения; в Советском районе г. Брянска – 238,4 на 100 тыс. населения.</w:t>
      </w:r>
    </w:p>
    <w:p w:rsidR="00685039" w:rsidRPr="0066263B" w:rsidRDefault="00685039" w:rsidP="00685039">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Кроме того, в 2020 году 1 317 человек были зарегистрированы с диагнозом «употребление наркотиков с вредными последствиями». В расчёте на 100 тыс. населения этот показатель составил 110,4. По сравнению с 2019 годом он снизился на 6,3%.</w:t>
      </w:r>
    </w:p>
    <w:p w:rsidR="00685039" w:rsidRPr="0066263B" w:rsidRDefault="00685039" w:rsidP="00685039">
      <w:pPr>
        <w:spacing w:before="0" w:after="0"/>
        <w:ind w:firstLine="709"/>
        <w:rPr>
          <w:rFonts w:ascii="Times New Roman" w:eastAsia="Calibri" w:hAnsi="Times New Roman" w:cs="Times New Roman"/>
          <w:sz w:val="24"/>
          <w:szCs w:val="24"/>
        </w:rPr>
      </w:pPr>
      <w:proofErr w:type="gramStart"/>
      <w:r w:rsidRPr="0066263B">
        <w:rPr>
          <w:rFonts w:ascii="Times New Roman" w:eastAsia="Calibri" w:hAnsi="Times New Roman" w:cs="Times New Roman"/>
          <w:sz w:val="24"/>
          <w:szCs w:val="24"/>
        </w:rPr>
        <w:t>Общее число зарегистрированных потребителей наркотиков в 2020 году, включая больных наркоманией и лиц, употребляющих наркотики с вредными последствиями, составило 3 845, или 322,4 на 100 тыс. населения, что ниже уровня 2019 года на 2,0% – 329,0 на 100 тыс. населения (2018 – 327,6 на 100 тыс. нас.; РФ 2019 – 273,4 на 100 тыс. нас.).</w:t>
      </w:r>
      <w:proofErr w:type="gramEnd"/>
    </w:p>
    <w:p w:rsidR="00685039" w:rsidRPr="0066263B" w:rsidRDefault="00685039" w:rsidP="00685039">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В общем числе потребителей наркотиков в 2020 году (из числа зарегистрированных) 2 100 человек употребляли наркотики инъекционным путём (далее – ПИН). Показатель учтённой распространённости ПИН уменьшился по сравнению с 2019 годом на 1,3% и составил 176,1 на 100 тыс. населения (2019 – 178,5 на 100 тыс. нас</w:t>
      </w:r>
      <w:proofErr w:type="gramStart"/>
      <w:r w:rsidRPr="0066263B">
        <w:rPr>
          <w:rFonts w:ascii="Times New Roman" w:eastAsia="Calibri" w:hAnsi="Times New Roman" w:cs="Times New Roman"/>
          <w:sz w:val="24"/>
          <w:szCs w:val="24"/>
        </w:rPr>
        <w:t xml:space="preserve">.; </w:t>
      </w:r>
      <w:proofErr w:type="gramEnd"/>
      <w:r w:rsidRPr="0066263B">
        <w:rPr>
          <w:rFonts w:ascii="Times New Roman" w:eastAsia="Calibri" w:hAnsi="Times New Roman" w:cs="Times New Roman"/>
          <w:sz w:val="24"/>
          <w:szCs w:val="24"/>
        </w:rPr>
        <w:t>РФ 2019 – 120,6 на 100 тыс. нас.).</w:t>
      </w:r>
    </w:p>
    <w:p w:rsidR="00685039" w:rsidRPr="0066263B" w:rsidRDefault="00685039" w:rsidP="00685039">
      <w:pPr>
        <w:spacing w:before="0" w:after="0"/>
        <w:ind w:firstLine="709"/>
        <w:rPr>
          <w:rFonts w:ascii="Times New Roman" w:eastAsia="Calibri" w:hAnsi="Times New Roman" w:cs="Times New Roman"/>
          <w:sz w:val="24"/>
          <w:szCs w:val="24"/>
        </w:rPr>
      </w:pPr>
      <w:proofErr w:type="gramStart"/>
      <w:r w:rsidRPr="0066263B">
        <w:rPr>
          <w:rFonts w:ascii="Times New Roman" w:eastAsia="Calibri" w:hAnsi="Times New Roman" w:cs="Times New Roman"/>
          <w:sz w:val="24"/>
          <w:szCs w:val="24"/>
        </w:rPr>
        <w:t xml:space="preserve">Превышающий среднеобластной уровень распространенности ПИН зарегистрирован в </w:t>
      </w:r>
      <w:proofErr w:type="spellStart"/>
      <w:r w:rsidRPr="0066263B">
        <w:rPr>
          <w:rFonts w:ascii="Times New Roman" w:eastAsia="Calibri" w:hAnsi="Times New Roman" w:cs="Times New Roman"/>
          <w:sz w:val="24"/>
          <w:szCs w:val="24"/>
        </w:rPr>
        <w:t>Бежицком</w:t>
      </w:r>
      <w:proofErr w:type="spellEnd"/>
      <w:r w:rsidRPr="0066263B">
        <w:rPr>
          <w:rFonts w:ascii="Times New Roman" w:eastAsia="Calibri" w:hAnsi="Times New Roman" w:cs="Times New Roman"/>
          <w:sz w:val="24"/>
          <w:szCs w:val="24"/>
        </w:rPr>
        <w:t xml:space="preserve"> районе г. Брянска – 425,2 на 100 тыс. населения; в г. Клинцы</w:t>
      </w:r>
      <w:r w:rsidR="00580882"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и Клинцовском районе – 391,1</w:t>
      </w:r>
      <w:r w:rsidR="00580882" w:rsidRPr="0066263B">
        <w:rPr>
          <w:rFonts w:ascii="Times New Roman" w:eastAsia="Calibri" w:hAnsi="Times New Roman" w:cs="Times New Roman"/>
          <w:sz w:val="24"/>
          <w:szCs w:val="24"/>
        </w:rPr>
        <w:t xml:space="preserve"> на 100 тыс. населения</w:t>
      </w:r>
      <w:r w:rsidRPr="0066263B">
        <w:rPr>
          <w:rFonts w:ascii="Times New Roman" w:eastAsia="Calibri" w:hAnsi="Times New Roman" w:cs="Times New Roman"/>
          <w:sz w:val="24"/>
          <w:szCs w:val="24"/>
        </w:rPr>
        <w:t xml:space="preserve">; </w:t>
      </w:r>
      <w:proofErr w:type="spellStart"/>
      <w:r w:rsidRPr="0066263B">
        <w:rPr>
          <w:rFonts w:ascii="Times New Roman" w:eastAsia="Calibri" w:hAnsi="Times New Roman" w:cs="Times New Roman"/>
          <w:sz w:val="24"/>
          <w:szCs w:val="24"/>
        </w:rPr>
        <w:t>Фокинском</w:t>
      </w:r>
      <w:proofErr w:type="spellEnd"/>
      <w:r w:rsidRPr="0066263B">
        <w:rPr>
          <w:rFonts w:ascii="Times New Roman" w:eastAsia="Calibri" w:hAnsi="Times New Roman" w:cs="Times New Roman"/>
          <w:sz w:val="24"/>
          <w:szCs w:val="24"/>
        </w:rPr>
        <w:t xml:space="preserve"> районе г.</w:t>
      </w:r>
      <w:r w:rsidR="00580882"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Брянска – 310,4</w:t>
      </w:r>
      <w:r w:rsidR="00580882" w:rsidRPr="0066263B">
        <w:rPr>
          <w:rFonts w:ascii="Times New Roman" w:eastAsia="Calibri" w:hAnsi="Times New Roman" w:cs="Times New Roman"/>
          <w:sz w:val="24"/>
          <w:szCs w:val="24"/>
        </w:rPr>
        <w:t xml:space="preserve"> на 100 тыс. населения</w:t>
      </w:r>
      <w:r w:rsidRPr="0066263B">
        <w:rPr>
          <w:rFonts w:ascii="Times New Roman" w:eastAsia="Calibri" w:hAnsi="Times New Roman" w:cs="Times New Roman"/>
          <w:sz w:val="24"/>
          <w:szCs w:val="24"/>
        </w:rPr>
        <w:t>; в Володарском районе г.</w:t>
      </w:r>
      <w:r w:rsidR="00580882"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Брянска – 225,3</w:t>
      </w:r>
      <w:r w:rsidR="00580882" w:rsidRPr="0066263B">
        <w:rPr>
          <w:rFonts w:ascii="Times New Roman" w:eastAsia="Calibri" w:hAnsi="Times New Roman" w:cs="Times New Roman"/>
          <w:sz w:val="24"/>
          <w:szCs w:val="24"/>
        </w:rPr>
        <w:t xml:space="preserve"> на 100 тыс. населения</w:t>
      </w:r>
      <w:r w:rsidRPr="0066263B">
        <w:rPr>
          <w:rFonts w:ascii="Times New Roman" w:eastAsia="Calibri" w:hAnsi="Times New Roman" w:cs="Times New Roman"/>
          <w:sz w:val="24"/>
          <w:szCs w:val="24"/>
        </w:rPr>
        <w:t>; в Советском районе г.</w:t>
      </w:r>
      <w:r w:rsidR="00580882"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Брянска – 200,7</w:t>
      </w:r>
      <w:r w:rsidR="00580882" w:rsidRPr="0066263B">
        <w:rPr>
          <w:rFonts w:ascii="Times New Roman" w:eastAsia="Calibri" w:hAnsi="Times New Roman" w:cs="Times New Roman"/>
          <w:sz w:val="24"/>
          <w:szCs w:val="24"/>
        </w:rPr>
        <w:t xml:space="preserve"> на 100 тыс. населения</w:t>
      </w:r>
      <w:r w:rsidRPr="0066263B">
        <w:rPr>
          <w:rFonts w:ascii="Times New Roman" w:eastAsia="Calibri" w:hAnsi="Times New Roman" w:cs="Times New Roman"/>
          <w:sz w:val="24"/>
          <w:szCs w:val="24"/>
        </w:rPr>
        <w:t>;</w:t>
      </w:r>
      <w:proofErr w:type="gramEnd"/>
      <w:r w:rsidRPr="0066263B">
        <w:rPr>
          <w:rFonts w:ascii="Times New Roman" w:eastAsia="Calibri" w:hAnsi="Times New Roman" w:cs="Times New Roman"/>
          <w:sz w:val="24"/>
          <w:szCs w:val="24"/>
        </w:rPr>
        <w:t xml:space="preserve"> в Дятьковском районе – 153,3</w:t>
      </w:r>
      <w:r w:rsidR="00580882" w:rsidRPr="0066263B">
        <w:rPr>
          <w:rFonts w:ascii="Times New Roman" w:eastAsia="Calibri" w:hAnsi="Times New Roman" w:cs="Times New Roman"/>
          <w:sz w:val="24"/>
          <w:szCs w:val="24"/>
        </w:rPr>
        <w:t xml:space="preserve"> на 100 тыс. населения</w:t>
      </w:r>
      <w:r w:rsidRPr="0066263B">
        <w:rPr>
          <w:rFonts w:ascii="Times New Roman" w:eastAsia="Calibri" w:hAnsi="Times New Roman" w:cs="Times New Roman"/>
          <w:sz w:val="24"/>
          <w:szCs w:val="24"/>
        </w:rPr>
        <w:t>. Из общего числа зарегистрированных ПИН инфицированы</w:t>
      </w:r>
      <w:r w:rsidR="00580882"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ВИЧ 322 человека (15,3%), имеют положительный статус по гепатиту</w:t>
      </w:r>
      <w:proofErr w:type="gramStart"/>
      <w:r w:rsidRPr="0066263B">
        <w:rPr>
          <w:rFonts w:ascii="Times New Roman" w:eastAsia="Calibri" w:hAnsi="Times New Roman" w:cs="Times New Roman"/>
          <w:sz w:val="24"/>
          <w:szCs w:val="24"/>
        </w:rPr>
        <w:t xml:space="preserve"> С</w:t>
      </w:r>
      <w:proofErr w:type="gramEnd"/>
      <w:r w:rsidRPr="0066263B">
        <w:rPr>
          <w:rFonts w:ascii="Times New Roman" w:eastAsia="Calibri" w:hAnsi="Times New Roman" w:cs="Times New Roman"/>
          <w:sz w:val="24"/>
          <w:szCs w:val="24"/>
        </w:rPr>
        <w:t xml:space="preserve"> – 1</w:t>
      </w:r>
      <w:r w:rsidR="00580882" w:rsidRPr="0066263B">
        <w:rPr>
          <w:rFonts w:ascii="Times New Roman" w:eastAsia="Calibri" w:hAnsi="Times New Roman" w:cs="Times New Roman"/>
          <w:sz w:val="24"/>
          <w:szCs w:val="24"/>
        </w:rPr>
        <w:t> </w:t>
      </w:r>
      <w:r w:rsidRPr="0066263B">
        <w:rPr>
          <w:rFonts w:ascii="Times New Roman" w:eastAsia="Calibri" w:hAnsi="Times New Roman" w:cs="Times New Roman"/>
          <w:sz w:val="24"/>
          <w:szCs w:val="24"/>
        </w:rPr>
        <w:t>264</w:t>
      </w:r>
      <w:r w:rsidR="00580882"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человека (60,2%), по гепатиту В – 171 человек (8,1%).</w:t>
      </w:r>
    </w:p>
    <w:p w:rsidR="005A79D7" w:rsidRPr="0066263B" w:rsidRDefault="005A79D7" w:rsidP="005A79D7">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Из общего числа </w:t>
      </w:r>
      <w:proofErr w:type="gramStart"/>
      <w:r w:rsidRPr="0066263B">
        <w:rPr>
          <w:rFonts w:ascii="Times New Roman" w:eastAsia="Calibri" w:hAnsi="Times New Roman" w:cs="Times New Roman"/>
          <w:sz w:val="24"/>
          <w:szCs w:val="24"/>
        </w:rPr>
        <w:t>зарегистрированных</w:t>
      </w:r>
      <w:proofErr w:type="gramEnd"/>
      <w:r w:rsidRPr="0066263B">
        <w:rPr>
          <w:rFonts w:ascii="Times New Roman" w:eastAsia="Calibri" w:hAnsi="Times New Roman" w:cs="Times New Roman"/>
          <w:sz w:val="24"/>
          <w:szCs w:val="24"/>
        </w:rPr>
        <w:t xml:space="preserve"> ПИН:</w:t>
      </w:r>
    </w:p>
    <w:p w:rsidR="005A79D7" w:rsidRPr="0066263B" w:rsidRDefault="005A79D7" w:rsidP="00160BD2">
      <w:pPr>
        <w:numPr>
          <w:ilvl w:val="0"/>
          <w:numId w:val="36"/>
        </w:numPr>
        <w:spacing w:before="0" w:after="0"/>
        <w:ind w:left="851" w:hanging="284"/>
        <w:contextualSpacing/>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в </w:t>
      </w:r>
      <w:proofErr w:type="gramStart"/>
      <w:r w:rsidRPr="0066263B">
        <w:rPr>
          <w:rFonts w:ascii="Times New Roman" w:eastAsia="Calibri" w:hAnsi="Times New Roman" w:cs="Times New Roman"/>
          <w:sz w:val="24"/>
          <w:szCs w:val="24"/>
        </w:rPr>
        <w:t>г</w:t>
      </w:r>
      <w:proofErr w:type="gramEnd"/>
      <w:r w:rsidRPr="0066263B">
        <w:rPr>
          <w:rFonts w:ascii="Times New Roman" w:eastAsia="Calibri" w:hAnsi="Times New Roman" w:cs="Times New Roman"/>
          <w:sz w:val="24"/>
          <w:szCs w:val="24"/>
        </w:rPr>
        <w:t>. Брянске – 1 2</w:t>
      </w:r>
      <w:r w:rsidR="00580882" w:rsidRPr="0066263B">
        <w:rPr>
          <w:rFonts w:ascii="Times New Roman" w:eastAsia="Calibri" w:hAnsi="Times New Roman" w:cs="Times New Roman"/>
          <w:sz w:val="24"/>
          <w:szCs w:val="24"/>
        </w:rPr>
        <w:t>4</w:t>
      </w:r>
      <w:r w:rsidRPr="0066263B">
        <w:rPr>
          <w:rFonts w:ascii="Times New Roman" w:eastAsia="Calibri" w:hAnsi="Times New Roman" w:cs="Times New Roman"/>
          <w:sz w:val="24"/>
          <w:szCs w:val="24"/>
        </w:rPr>
        <w:t>2 человека, инфицированы ВИЧ – 1</w:t>
      </w:r>
      <w:r w:rsidR="00580882" w:rsidRPr="0066263B">
        <w:rPr>
          <w:rFonts w:ascii="Times New Roman" w:eastAsia="Calibri" w:hAnsi="Times New Roman" w:cs="Times New Roman"/>
          <w:sz w:val="24"/>
          <w:szCs w:val="24"/>
        </w:rPr>
        <w:t>42</w:t>
      </w:r>
      <w:r w:rsidRPr="0066263B">
        <w:rPr>
          <w:rFonts w:ascii="Times New Roman" w:eastAsia="Calibri" w:hAnsi="Times New Roman" w:cs="Times New Roman"/>
          <w:sz w:val="24"/>
          <w:szCs w:val="24"/>
        </w:rPr>
        <w:t xml:space="preserve"> (</w:t>
      </w:r>
      <w:r w:rsidR="00580882" w:rsidRPr="0066263B">
        <w:rPr>
          <w:rFonts w:ascii="Times New Roman" w:eastAsia="Calibri" w:hAnsi="Times New Roman" w:cs="Times New Roman"/>
          <w:sz w:val="24"/>
          <w:szCs w:val="24"/>
        </w:rPr>
        <w:t>11,4</w:t>
      </w:r>
      <w:r w:rsidRPr="0066263B">
        <w:rPr>
          <w:rFonts w:ascii="Times New Roman" w:eastAsia="Calibri" w:hAnsi="Times New Roman" w:cs="Times New Roman"/>
          <w:sz w:val="24"/>
          <w:szCs w:val="24"/>
        </w:rPr>
        <w:t>%);</w:t>
      </w:r>
    </w:p>
    <w:p w:rsidR="005A79D7" w:rsidRPr="0066263B" w:rsidRDefault="005A79D7" w:rsidP="00160BD2">
      <w:pPr>
        <w:numPr>
          <w:ilvl w:val="0"/>
          <w:numId w:val="36"/>
        </w:numPr>
        <w:spacing w:before="0" w:after="0"/>
        <w:ind w:left="851" w:hanging="284"/>
        <w:contextualSpacing/>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в </w:t>
      </w:r>
      <w:proofErr w:type="gramStart"/>
      <w:r w:rsidRPr="0066263B">
        <w:rPr>
          <w:rFonts w:ascii="Times New Roman" w:eastAsia="Calibri" w:hAnsi="Times New Roman" w:cs="Times New Roman"/>
          <w:sz w:val="24"/>
          <w:szCs w:val="24"/>
        </w:rPr>
        <w:t>г</w:t>
      </w:r>
      <w:proofErr w:type="gramEnd"/>
      <w:r w:rsidRPr="0066263B">
        <w:rPr>
          <w:rFonts w:ascii="Times New Roman" w:eastAsia="Calibri" w:hAnsi="Times New Roman" w:cs="Times New Roman"/>
          <w:sz w:val="24"/>
          <w:szCs w:val="24"/>
        </w:rPr>
        <w:t>. Клинцы – 34</w:t>
      </w:r>
      <w:r w:rsidR="00580882" w:rsidRPr="0066263B">
        <w:rPr>
          <w:rFonts w:ascii="Times New Roman" w:eastAsia="Calibri" w:hAnsi="Times New Roman" w:cs="Times New Roman"/>
          <w:sz w:val="24"/>
          <w:szCs w:val="24"/>
        </w:rPr>
        <w:t>0</w:t>
      </w:r>
      <w:r w:rsidRPr="0066263B">
        <w:rPr>
          <w:rFonts w:ascii="Times New Roman" w:eastAsia="Calibri" w:hAnsi="Times New Roman" w:cs="Times New Roman"/>
          <w:sz w:val="24"/>
          <w:szCs w:val="24"/>
        </w:rPr>
        <w:t xml:space="preserve"> человек, инфицированы ВИЧ – 106 (31,</w:t>
      </w:r>
      <w:r w:rsidR="00580882" w:rsidRPr="0066263B">
        <w:rPr>
          <w:rFonts w:ascii="Times New Roman" w:eastAsia="Calibri" w:hAnsi="Times New Roman" w:cs="Times New Roman"/>
          <w:sz w:val="24"/>
          <w:szCs w:val="24"/>
        </w:rPr>
        <w:t>2</w:t>
      </w:r>
      <w:r w:rsidRPr="0066263B">
        <w:rPr>
          <w:rFonts w:ascii="Times New Roman" w:eastAsia="Calibri" w:hAnsi="Times New Roman" w:cs="Times New Roman"/>
          <w:sz w:val="24"/>
          <w:szCs w:val="24"/>
        </w:rPr>
        <w:t>%);</w:t>
      </w:r>
    </w:p>
    <w:p w:rsidR="005A79D7" w:rsidRPr="0066263B" w:rsidRDefault="005A79D7" w:rsidP="00160BD2">
      <w:pPr>
        <w:numPr>
          <w:ilvl w:val="0"/>
          <w:numId w:val="36"/>
        </w:numPr>
        <w:spacing w:before="0" w:after="0"/>
        <w:ind w:left="851" w:hanging="284"/>
        <w:contextualSpacing/>
        <w:rPr>
          <w:rFonts w:ascii="Times New Roman" w:eastAsia="Calibri" w:hAnsi="Times New Roman" w:cs="Times New Roman"/>
          <w:sz w:val="24"/>
          <w:szCs w:val="24"/>
        </w:rPr>
      </w:pPr>
      <w:r w:rsidRPr="0066263B">
        <w:rPr>
          <w:rFonts w:ascii="Times New Roman" w:eastAsia="Calibri" w:hAnsi="Times New Roman" w:cs="Times New Roman"/>
          <w:sz w:val="24"/>
          <w:szCs w:val="24"/>
        </w:rPr>
        <w:t>в Брянском районе – 8</w:t>
      </w:r>
      <w:r w:rsidR="00580882" w:rsidRPr="0066263B">
        <w:rPr>
          <w:rFonts w:ascii="Times New Roman" w:eastAsia="Calibri" w:hAnsi="Times New Roman" w:cs="Times New Roman"/>
          <w:sz w:val="24"/>
          <w:szCs w:val="24"/>
        </w:rPr>
        <w:t>7</w:t>
      </w:r>
      <w:r w:rsidRPr="0066263B">
        <w:rPr>
          <w:rFonts w:ascii="Times New Roman" w:eastAsia="Calibri" w:hAnsi="Times New Roman" w:cs="Times New Roman"/>
          <w:sz w:val="24"/>
          <w:szCs w:val="24"/>
        </w:rPr>
        <w:t xml:space="preserve"> человек, инфицированы ВИЧ – </w:t>
      </w:r>
      <w:r w:rsidR="00580882" w:rsidRPr="0066263B">
        <w:rPr>
          <w:rFonts w:ascii="Times New Roman" w:eastAsia="Calibri" w:hAnsi="Times New Roman" w:cs="Times New Roman"/>
          <w:sz w:val="24"/>
          <w:szCs w:val="24"/>
        </w:rPr>
        <w:t>1</w:t>
      </w:r>
      <w:r w:rsidRPr="0066263B">
        <w:rPr>
          <w:rFonts w:ascii="Times New Roman" w:eastAsia="Calibri" w:hAnsi="Times New Roman" w:cs="Times New Roman"/>
          <w:sz w:val="24"/>
          <w:szCs w:val="24"/>
        </w:rPr>
        <w:t>3 (</w:t>
      </w:r>
      <w:r w:rsidR="00580882" w:rsidRPr="0066263B">
        <w:rPr>
          <w:rFonts w:ascii="Times New Roman" w:eastAsia="Calibri" w:hAnsi="Times New Roman" w:cs="Times New Roman"/>
          <w:sz w:val="24"/>
          <w:szCs w:val="24"/>
        </w:rPr>
        <w:t>14,9</w:t>
      </w:r>
      <w:r w:rsidRPr="0066263B">
        <w:rPr>
          <w:rFonts w:ascii="Times New Roman" w:eastAsia="Calibri" w:hAnsi="Times New Roman" w:cs="Times New Roman"/>
          <w:sz w:val="24"/>
          <w:szCs w:val="24"/>
        </w:rPr>
        <w:t>%);</w:t>
      </w:r>
    </w:p>
    <w:p w:rsidR="005A79D7" w:rsidRPr="0066263B" w:rsidRDefault="005A79D7" w:rsidP="00160BD2">
      <w:pPr>
        <w:numPr>
          <w:ilvl w:val="0"/>
          <w:numId w:val="36"/>
        </w:numPr>
        <w:spacing w:before="0" w:after="0"/>
        <w:ind w:left="851" w:hanging="284"/>
        <w:contextualSpacing/>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в </w:t>
      </w:r>
      <w:proofErr w:type="gramStart"/>
      <w:r w:rsidRPr="0066263B">
        <w:rPr>
          <w:rFonts w:ascii="Times New Roman" w:eastAsia="Calibri" w:hAnsi="Times New Roman" w:cs="Times New Roman"/>
          <w:sz w:val="24"/>
          <w:szCs w:val="24"/>
        </w:rPr>
        <w:t>г</w:t>
      </w:r>
      <w:proofErr w:type="gramEnd"/>
      <w:r w:rsidRPr="0066263B">
        <w:rPr>
          <w:rFonts w:ascii="Times New Roman" w:eastAsia="Calibri" w:hAnsi="Times New Roman" w:cs="Times New Roman"/>
          <w:sz w:val="24"/>
          <w:szCs w:val="24"/>
        </w:rPr>
        <w:t xml:space="preserve">. Сельцо – 16 человек, инфицированы ВИЧ – </w:t>
      </w:r>
      <w:r w:rsidR="00580882" w:rsidRPr="0066263B">
        <w:rPr>
          <w:rFonts w:ascii="Times New Roman" w:eastAsia="Calibri" w:hAnsi="Times New Roman" w:cs="Times New Roman"/>
          <w:sz w:val="24"/>
          <w:szCs w:val="24"/>
        </w:rPr>
        <w:t>11</w:t>
      </w:r>
      <w:r w:rsidRPr="0066263B">
        <w:rPr>
          <w:rFonts w:ascii="Times New Roman" w:eastAsia="Calibri" w:hAnsi="Times New Roman" w:cs="Times New Roman"/>
          <w:sz w:val="24"/>
          <w:szCs w:val="24"/>
        </w:rPr>
        <w:t xml:space="preserve"> (</w:t>
      </w:r>
      <w:r w:rsidR="00580882" w:rsidRPr="0066263B">
        <w:rPr>
          <w:rFonts w:ascii="Times New Roman" w:eastAsia="Calibri" w:hAnsi="Times New Roman" w:cs="Times New Roman"/>
          <w:sz w:val="24"/>
          <w:szCs w:val="24"/>
        </w:rPr>
        <w:t>68,8</w:t>
      </w:r>
      <w:r w:rsidRPr="0066263B">
        <w:rPr>
          <w:rFonts w:ascii="Times New Roman" w:eastAsia="Calibri" w:hAnsi="Times New Roman" w:cs="Times New Roman"/>
          <w:sz w:val="24"/>
          <w:szCs w:val="24"/>
        </w:rPr>
        <w:t>%);</w:t>
      </w:r>
    </w:p>
    <w:p w:rsidR="005A79D7" w:rsidRPr="0066263B" w:rsidRDefault="005A79D7" w:rsidP="00160BD2">
      <w:pPr>
        <w:numPr>
          <w:ilvl w:val="0"/>
          <w:numId w:val="36"/>
        </w:numPr>
        <w:spacing w:before="0" w:after="0"/>
        <w:ind w:left="851" w:hanging="284"/>
        <w:contextualSpacing/>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в Дятьковском районе – </w:t>
      </w:r>
      <w:r w:rsidR="00580882" w:rsidRPr="0066263B">
        <w:rPr>
          <w:rFonts w:ascii="Times New Roman" w:eastAsia="Calibri" w:hAnsi="Times New Roman" w:cs="Times New Roman"/>
          <w:sz w:val="24"/>
          <w:szCs w:val="24"/>
        </w:rPr>
        <w:t>88</w:t>
      </w:r>
      <w:r w:rsidRPr="0066263B">
        <w:rPr>
          <w:rFonts w:ascii="Times New Roman" w:eastAsia="Calibri" w:hAnsi="Times New Roman" w:cs="Times New Roman"/>
          <w:sz w:val="24"/>
          <w:szCs w:val="24"/>
        </w:rPr>
        <w:t xml:space="preserve"> человек, инфицированы ВИЧ – 1</w:t>
      </w:r>
      <w:r w:rsidR="00580882" w:rsidRPr="0066263B">
        <w:rPr>
          <w:rFonts w:ascii="Times New Roman" w:eastAsia="Calibri" w:hAnsi="Times New Roman" w:cs="Times New Roman"/>
          <w:sz w:val="24"/>
          <w:szCs w:val="24"/>
        </w:rPr>
        <w:t>4</w:t>
      </w:r>
      <w:r w:rsidRPr="0066263B">
        <w:rPr>
          <w:rFonts w:ascii="Times New Roman" w:eastAsia="Calibri" w:hAnsi="Times New Roman" w:cs="Times New Roman"/>
          <w:sz w:val="24"/>
          <w:szCs w:val="24"/>
        </w:rPr>
        <w:t xml:space="preserve"> (</w:t>
      </w:r>
      <w:r w:rsidR="00580882" w:rsidRPr="0066263B">
        <w:rPr>
          <w:rFonts w:ascii="Times New Roman" w:eastAsia="Calibri" w:hAnsi="Times New Roman" w:cs="Times New Roman"/>
          <w:sz w:val="24"/>
          <w:szCs w:val="24"/>
        </w:rPr>
        <w:t>15,9</w:t>
      </w:r>
      <w:r w:rsidRPr="0066263B">
        <w:rPr>
          <w:rFonts w:ascii="Times New Roman" w:eastAsia="Calibri" w:hAnsi="Times New Roman" w:cs="Times New Roman"/>
          <w:sz w:val="24"/>
          <w:szCs w:val="24"/>
        </w:rPr>
        <w:t>%).</w:t>
      </w:r>
    </w:p>
    <w:p w:rsidR="005A79D7" w:rsidRPr="0066263B" w:rsidRDefault="005A79D7" w:rsidP="005A79D7">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lastRenderedPageBreak/>
        <w:t>Таким образом, данные о числе зарегистрированных потребителей инъекционных наркотиков свидетельствуют о высоком уровне распространённости инъекционного потребления наркотиков в Брянской области и высокой степени инфицированности потребителей инъекционных наркотиков ВИЧ, а также инфекций гепатита</w:t>
      </w:r>
      <w:proofErr w:type="gramStart"/>
      <w:r w:rsidRPr="0066263B">
        <w:rPr>
          <w:rFonts w:ascii="Times New Roman" w:eastAsia="Calibri" w:hAnsi="Times New Roman" w:cs="Times New Roman"/>
          <w:sz w:val="24"/>
          <w:szCs w:val="24"/>
        </w:rPr>
        <w:t xml:space="preserve"> С</w:t>
      </w:r>
      <w:proofErr w:type="gramEnd"/>
      <w:r w:rsidRPr="0066263B">
        <w:rPr>
          <w:rFonts w:ascii="Times New Roman" w:eastAsia="Calibri" w:hAnsi="Times New Roman" w:cs="Times New Roman"/>
          <w:sz w:val="24"/>
          <w:szCs w:val="24"/>
        </w:rPr>
        <w:t xml:space="preserve"> и В.</w:t>
      </w:r>
    </w:p>
    <w:p w:rsidR="005B03BD" w:rsidRPr="0066263B" w:rsidRDefault="005B03BD" w:rsidP="00580882">
      <w:pPr>
        <w:spacing w:before="0" w:after="0"/>
        <w:ind w:firstLine="709"/>
        <w:rPr>
          <w:rFonts w:ascii="Times New Roman" w:eastAsia="Calibri" w:hAnsi="Times New Roman" w:cs="Times New Roman"/>
          <w:sz w:val="24"/>
          <w:szCs w:val="24"/>
        </w:rPr>
      </w:pPr>
    </w:p>
    <w:p w:rsidR="00580882" w:rsidRPr="0066263B" w:rsidRDefault="00580882" w:rsidP="00580882">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В 2020 году впервые в жизни обратились за наркологической помощью по поводу наркомании 94 пациента, что на 9,7% больше, чем в 2019 году. Показатель первичной заболеваемости наркоманией составил 7,9 на 100 тыс. населения (2019 – 7,2 на 100 тыс. нас</w:t>
      </w:r>
      <w:proofErr w:type="gramStart"/>
      <w:r w:rsidRPr="0066263B">
        <w:rPr>
          <w:rFonts w:ascii="Times New Roman" w:eastAsia="Calibri" w:hAnsi="Times New Roman" w:cs="Times New Roman"/>
          <w:sz w:val="24"/>
          <w:szCs w:val="24"/>
        </w:rPr>
        <w:t xml:space="preserve">.; </w:t>
      </w:r>
      <w:proofErr w:type="gramEnd"/>
      <w:r w:rsidRPr="0066263B">
        <w:rPr>
          <w:rFonts w:ascii="Times New Roman" w:eastAsia="Calibri" w:hAnsi="Times New Roman" w:cs="Times New Roman"/>
          <w:sz w:val="24"/>
          <w:szCs w:val="24"/>
        </w:rPr>
        <w:t>РФ 2019 – 9,89 на 100 тыс. нас.).</w:t>
      </w:r>
    </w:p>
    <w:p w:rsidR="00580882" w:rsidRPr="0066263B" w:rsidRDefault="00580882" w:rsidP="00580882">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В 2020 году наблюдалось значительное снижение показателя первичной обращаемости пациентов по поводу пагубного употребления наркотических средств с вредными последствиями на 36,9% – показатель составил 9,2 на 100 тыс. населения (2019 – 14,6 на 100 тыс. нас</w:t>
      </w:r>
      <w:proofErr w:type="gramStart"/>
      <w:r w:rsidRPr="0066263B">
        <w:rPr>
          <w:rFonts w:ascii="Times New Roman" w:eastAsia="Calibri" w:hAnsi="Times New Roman" w:cs="Times New Roman"/>
          <w:sz w:val="24"/>
          <w:szCs w:val="24"/>
        </w:rPr>
        <w:t xml:space="preserve">.; </w:t>
      </w:r>
      <w:proofErr w:type="gramEnd"/>
      <w:r w:rsidRPr="0066263B">
        <w:rPr>
          <w:rFonts w:ascii="Times New Roman" w:eastAsia="Calibri" w:hAnsi="Times New Roman" w:cs="Times New Roman"/>
          <w:sz w:val="24"/>
          <w:szCs w:val="24"/>
        </w:rPr>
        <w:t>РФ 2019 – 19,9 на 100 тыс. нас.).</w:t>
      </w:r>
    </w:p>
    <w:p w:rsidR="005B03BD" w:rsidRPr="0066263B" w:rsidRDefault="005B03BD" w:rsidP="00580882">
      <w:pPr>
        <w:spacing w:before="0" w:after="0"/>
        <w:ind w:firstLine="709"/>
        <w:rPr>
          <w:rFonts w:ascii="Times New Roman" w:eastAsia="Calibri" w:hAnsi="Times New Roman" w:cs="Times New Roman"/>
          <w:sz w:val="24"/>
          <w:szCs w:val="24"/>
        </w:rPr>
      </w:pPr>
    </w:p>
    <w:p w:rsidR="00580882" w:rsidRPr="0066263B" w:rsidRDefault="00580882" w:rsidP="00580882">
      <w:pPr>
        <w:spacing w:before="0" w:after="0"/>
        <w:ind w:firstLine="709"/>
        <w:rPr>
          <w:rFonts w:ascii="Times New Roman" w:eastAsia="Calibri" w:hAnsi="Times New Roman" w:cs="Times New Roman"/>
          <w:sz w:val="24"/>
          <w:szCs w:val="24"/>
        </w:rPr>
      </w:pPr>
      <w:proofErr w:type="gramStart"/>
      <w:r w:rsidRPr="0066263B">
        <w:rPr>
          <w:rFonts w:ascii="Times New Roman" w:eastAsia="Calibri" w:hAnsi="Times New Roman" w:cs="Times New Roman"/>
          <w:sz w:val="24"/>
          <w:szCs w:val="24"/>
        </w:rPr>
        <w:t>В целом показатель первичной обращаемости за наркологической помощью пациентов с психическими и поведенческими расстройствами, связанными с употреблением наркотиков, включая пациентов с синдромом зависимости и пагубным употреблением наркотиков, за последний год снизился на 21,5% и составил 17,1 на 100 тыс. населения (2019 – 21,8 на 100 тыс. нас.; РФ 2019 – 29,8 на 100 тыс. нас.).</w:t>
      </w:r>
      <w:proofErr w:type="gramEnd"/>
    </w:p>
    <w:p w:rsidR="00580882" w:rsidRPr="0066263B" w:rsidRDefault="00580882" w:rsidP="00580882">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Показатель первичной обращаемости ПИН в 2020 году увеличился на 4,8% и составил 6,5 на 100 тыс. населения (2019 – 6,2 на 100 тыс. нас.).</w:t>
      </w:r>
    </w:p>
    <w:p w:rsidR="005B03BD" w:rsidRPr="0066263B" w:rsidRDefault="005B03BD" w:rsidP="00580882">
      <w:pPr>
        <w:spacing w:before="0" w:after="0"/>
        <w:ind w:firstLine="709"/>
        <w:rPr>
          <w:rFonts w:ascii="Times New Roman" w:eastAsia="Calibri" w:hAnsi="Times New Roman" w:cs="Times New Roman"/>
          <w:sz w:val="24"/>
          <w:szCs w:val="24"/>
        </w:rPr>
      </w:pPr>
    </w:p>
    <w:p w:rsidR="00580882" w:rsidRPr="0066263B" w:rsidRDefault="00580882" w:rsidP="00580882">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 xml:space="preserve">Выявленные изменения первичной обращаемости свидетельствуют об изменениях в структуре потребляемых наркотиков населением Брянской области и </w:t>
      </w:r>
      <w:proofErr w:type="gramStart"/>
      <w:r w:rsidRPr="0066263B">
        <w:rPr>
          <w:rFonts w:ascii="Times New Roman" w:eastAsia="Calibri" w:hAnsi="Times New Roman" w:cs="Times New Roman"/>
          <w:sz w:val="24"/>
          <w:szCs w:val="24"/>
        </w:rPr>
        <w:t>необходимости</w:t>
      </w:r>
      <w:proofErr w:type="gramEnd"/>
      <w:r w:rsidRPr="0066263B">
        <w:rPr>
          <w:rFonts w:ascii="Times New Roman" w:eastAsia="Calibri" w:hAnsi="Times New Roman" w:cs="Times New Roman"/>
          <w:sz w:val="24"/>
          <w:szCs w:val="24"/>
        </w:rPr>
        <w:t xml:space="preserve"> как дальнейших эпидемиологических исследований, так и пристального внимания со стороны контролирующих органов за происходящими изменениями.</w:t>
      </w:r>
    </w:p>
    <w:p w:rsidR="005B03BD" w:rsidRPr="0066263B" w:rsidRDefault="005B03BD" w:rsidP="00580882">
      <w:pPr>
        <w:spacing w:before="0" w:after="0"/>
        <w:ind w:firstLine="709"/>
        <w:rPr>
          <w:rFonts w:ascii="Times New Roman" w:eastAsia="Calibri" w:hAnsi="Times New Roman" w:cs="Times New Roman"/>
          <w:sz w:val="24"/>
          <w:szCs w:val="24"/>
        </w:rPr>
      </w:pPr>
    </w:p>
    <w:p w:rsidR="00580882" w:rsidRPr="0066263B" w:rsidRDefault="00580882" w:rsidP="00580882">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Одной из причин, влияющих на наркотическую ситуацию, является географическое положение области, находящейся на перекрестке транспортных магистралей (автомобильных, железнодорожных), связывающих Россию с Беларусью, Украиной, Молдовой – традиционными поставщиками наркотиков растительного происхождения и сырья для их изготовления в центральные области России.</w:t>
      </w:r>
    </w:p>
    <w:p w:rsidR="00580882" w:rsidRPr="0066263B" w:rsidRDefault="00580882" w:rsidP="00580882">
      <w:pPr>
        <w:spacing w:before="0" w:after="0"/>
        <w:ind w:firstLine="709"/>
        <w:rPr>
          <w:rFonts w:ascii="Times New Roman" w:eastAsia="Calibri" w:hAnsi="Times New Roman" w:cs="Times New Roman"/>
          <w:sz w:val="24"/>
          <w:szCs w:val="24"/>
        </w:rPr>
      </w:pPr>
      <w:r w:rsidRPr="0066263B">
        <w:rPr>
          <w:rFonts w:ascii="Times New Roman" w:eastAsia="Calibri" w:hAnsi="Times New Roman" w:cs="Times New Roman"/>
          <w:sz w:val="24"/>
          <w:szCs w:val="24"/>
        </w:rPr>
        <w:t>Стабилизация и снижение показателей первичной заболеваемости наркоманией и употребления наркотиков с вредными последствиями связаны с реализацией мероприятий, направленных на раннее выявление лиц, употребляющих наркотические средства в немедицинских целях, полный охват диспансерным и профилактическим наблюдением больных, страдающих наркоманией и употребляющих</w:t>
      </w:r>
      <w:r w:rsidR="005B03BD"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наркотические средства с вредными последствиями, усилением межведомственного</w:t>
      </w:r>
      <w:r w:rsidR="005B03BD"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szCs w:val="24"/>
        </w:rPr>
        <w:t xml:space="preserve">взаимодействия </w:t>
      </w:r>
      <w:r w:rsidR="005B03BD" w:rsidRPr="0066263B">
        <w:rPr>
          <w:rFonts w:ascii="Times New Roman" w:eastAsia="Calibri" w:hAnsi="Times New Roman" w:cs="Times New Roman"/>
          <w:sz w:val="24"/>
          <w:szCs w:val="24"/>
        </w:rPr>
        <w:t>органов исполнительной власти</w:t>
      </w:r>
      <w:r w:rsidRPr="0066263B">
        <w:rPr>
          <w:rFonts w:ascii="Times New Roman" w:eastAsia="Calibri" w:hAnsi="Times New Roman" w:cs="Times New Roman"/>
          <w:sz w:val="24"/>
          <w:szCs w:val="24"/>
        </w:rPr>
        <w:t>.</w:t>
      </w:r>
    </w:p>
    <w:p w:rsidR="00C23EB0" w:rsidRPr="0066263B" w:rsidRDefault="00C23EB0" w:rsidP="00580882">
      <w:pPr>
        <w:spacing w:before="0" w:after="0"/>
        <w:ind w:firstLine="709"/>
        <w:rPr>
          <w:rFonts w:ascii="Times New Roman" w:eastAsia="Calibri" w:hAnsi="Times New Roman" w:cs="Times New Roman"/>
          <w:sz w:val="24"/>
          <w:szCs w:val="24"/>
        </w:rPr>
      </w:pPr>
    </w:p>
    <w:p w:rsidR="00C23EB0" w:rsidRPr="0066263B" w:rsidRDefault="00C23EB0">
      <w:pPr>
        <w:rPr>
          <w:rFonts w:ascii="Times New Roman" w:eastAsia="Calibri" w:hAnsi="Times New Roman" w:cs="Times New Roman"/>
          <w:sz w:val="24"/>
          <w:szCs w:val="24"/>
        </w:rPr>
      </w:pPr>
      <w:r w:rsidRPr="0066263B">
        <w:rPr>
          <w:rFonts w:ascii="Times New Roman" w:eastAsia="Calibri" w:hAnsi="Times New Roman" w:cs="Times New Roman"/>
          <w:sz w:val="24"/>
          <w:szCs w:val="24"/>
        </w:rPr>
        <w:br w:type="page"/>
      </w:r>
    </w:p>
    <w:p w:rsidR="00C23EB0" w:rsidRPr="0066263B" w:rsidRDefault="00C23EB0" w:rsidP="00580882">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65</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iCs/>
          <w:lang w:eastAsia="ru-RU"/>
        </w:rPr>
      </w:pPr>
      <w:r w:rsidRPr="0066263B">
        <w:rPr>
          <w:rFonts w:ascii="Times New Roman" w:eastAsia="Times New Roman" w:hAnsi="Times New Roman" w:cs="Times New Roman"/>
          <w:b/>
          <w:iCs/>
          <w:lang w:eastAsia="ru-RU"/>
        </w:rPr>
        <w:t>Первичная заболеваемость наркологическими расстройствами, вызванными</w:t>
      </w:r>
      <w:r w:rsidRPr="0066263B">
        <w:rPr>
          <w:rFonts w:ascii="Times New Roman" w:eastAsia="Times New Roman" w:hAnsi="Times New Roman" w:cs="Times New Roman"/>
          <w:b/>
          <w:iCs/>
          <w:lang w:eastAsia="ru-RU"/>
        </w:rPr>
        <w:br/>
        <w:t>употреблением наркотиков в Брянской области</w:t>
      </w:r>
    </w:p>
    <w:p w:rsidR="00324483" w:rsidRPr="0066263B" w:rsidRDefault="00324483" w:rsidP="00324483">
      <w:pPr>
        <w:spacing w:before="0" w:after="0"/>
        <w:ind w:firstLine="709"/>
        <w:jc w:val="center"/>
        <w:rPr>
          <w:rFonts w:ascii="Times New Roman" w:eastAsia="Times New Roman" w:hAnsi="Times New Roman" w:cs="Times New Roman"/>
          <w:b/>
          <w:iCs/>
          <w:lang w:eastAsia="ru-RU"/>
        </w:rPr>
      </w:pPr>
    </w:p>
    <w:tbl>
      <w:tblPr>
        <w:tblW w:w="491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71"/>
        <w:gridCol w:w="1323"/>
        <w:gridCol w:w="1321"/>
        <w:gridCol w:w="944"/>
        <w:gridCol w:w="944"/>
        <w:gridCol w:w="1323"/>
      </w:tblGrid>
      <w:tr w:rsidR="00FD6681" w:rsidRPr="0066263B" w:rsidTr="00FD6681">
        <w:trPr>
          <w:trHeight w:val="368"/>
          <w:jc w:val="center"/>
        </w:trPr>
        <w:tc>
          <w:tcPr>
            <w:tcW w:w="1792" w:type="pct"/>
            <w:vMerge w:val="restart"/>
            <w:vAlign w:val="center"/>
          </w:tcPr>
          <w:p w:rsidR="00FD6681" w:rsidRPr="0066263B" w:rsidRDefault="00FD6681" w:rsidP="00324483">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Наркотические расстройства</w:t>
            </w:r>
          </w:p>
        </w:tc>
        <w:tc>
          <w:tcPr>
            <w:tcW w:w="1449" w:type="pct"/>
            <w:gridSpan w:val="2"/>
            <w:vAlign w:val="center"/>
          </w:tcPr>
          <w:p w:rsidR="00FD6681" w:rsidRPr="0066263B" w:rsidRDefault="00FD6681" w:rsidP="00324483">
            <w:pPr>
              <w:autoSpaceDE w:val="0"/>
              <w:autoSpaceDN w:val="0"/>
              <w:adjustRightInd w:val="0"/>
              <w:spacing w:before="20" w:after="20"/>
              <w:jc w:val="center"/>
              <w:rPr>
                <w:rFonts w:ascii="Times New Roman" w:eastAsia="TimesNewRomanPSMT" w:hAnsi="Times New Roman" w:cs="Times New Roman"/>
                <w:b/>
                <w:i/>
              </w:rPr>
            </w:pPr>
            <w:r w:rsidRPr="0066263B">
              <w:rPr>
                <w:rFonts w:ascii="Times New Roman" w:eastAsia="Times New Roman" w:hAnsi="Times New Roman" w:cs="Times New Roman"/>
                <w:b/>
                <w:i/>
                <w:lang w:eastAsia="ru-RU"/>
              </w:rPr>
              <w:t>Число зарегистрированных пациентов, абс</w:t>
            </w:r>
          </w:p>
        </w:tc>
        <w:tc>
          <w:tcPr>
            <w:tcW w:w="1034" w:type="pct"/>
            <w:gridSpan w:val="2"/>
            <w:vAlign w:val="center"/>
          </w:tcPr>
          <w:p w:rsidR="00FD6681" w:rsidRPr="0066263B" w:rsidRDefault="00FD6681" w:rsidP="00324483">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Доля, %</w:t>
            </w:r>
          </w:p>
        </w:tc>
        <w:tc>
          <w:tcPr>
            <w:tcW w:w="725" w:type="pct"/>
            <w:vMerge w:val="restart"/>
            <w:vAlign w:val="center"/>
          </w:tcPr>
          <w:p w:rsidR="00FD6681" w:rsidRPr="0066263B" w:rsidRDefault="00FD6681" w:rsidP="005B03BD">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Прирост 20</w:t>
            </w:r>
            <w:r w:rsidR="005B03BD" w:rsidRPr="0066263B">
              <w:rPr>
                <w:rFonts w:ascii="Times New Roman" w:eastAsia="Times New Roman" w:hAnsi="Times New Roman" w:cs="Times New Roman"/>
                <w:b/>
                <w:i/>
                <w:lang w:eastAsia="ru-RU"/>
              </w:rPr>
              <w:t>20</w:t>
            </w:r>
            <w:r w:rsidRPr="0066263B">
              <w:rPr>
                <w:rFonts w:ascii="Times New Roman" w:eastAsia="Times New Roman" w:hAnsi="Times New Roman" w:cs="Times New Roman"/>
                <w:b/>
                <w:i/>
                <w:lang w:eastAsia="ru-RU"/>
              </w:rPr>
              <w:t xml:space="preserve"> / 201</w:t>
            </w:r>
            <w:r w:rsidR="005B03BD" w:rsidRPr="0066263B">
              <w:rPr>
                <w:rFonts w:ascii="Times New Roman" w:eastAsia="Times New Roman" w:hAnsi="Times New Roman" w:cs="Times New Roman"/>
                <w:b/>
                <w:i/>
                <w:lang w:eastAsia="ru-RU"/>
              </w:rPr>
              <w:t>9</w:t>
            </w:r>
            <w:r w:rsidRPr="0066263B">
              <w:rPr>
                <w:rFonts w:ascii="Times New Roman" w:eastAsia="Times New Roman" w:hAnsi="Times New Roman" w:cs="Times New Roman"/>
                <w:b/>
                <w:i/>
                <w:lang w:eastAsia="ru-RU"/>
              </w:rPr>
              <w:t>, %</w:t>
            </w:r>
          </w:p>
        </w:tc>
      </w:tr>
      <w:tr w:rsidR="005B03BD" w:rsidRPr="0066263B" w:rsidTr="00FD6681">
        <w:trPr>
          <w:trHeight w:val="234"/>
          <w:jc w:val="center"/>
        </w:trPr>
        <w:tc>
          <w:tcPr>
            <w:tcW w:w="1792" w:type="pct"/>
            <w:vMerge/>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b/>
                <w:i/>
                <w:lang w:eastAsia="ru-RU"/>
              </w:rPr>
            </w:pPr>
          </w:p>
        </w:tc>
        <w:tc>
          <w:tcPr>
            <w:tcW w:w="725" w:type="pct"/>
            <w:vAlign w:val="center"/>
          </w:tcPr>
          <w:p w:rsidR="005B03BD" w:rsidRPr="0066263B" w:rsidRDefault="005B03BD" w:rsidP="00757709">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24"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517" w:type="pct"/>
            <w:vAlign w:val="center"/>
          </w:tcPr>
          <w:p w:rsidR="005B03BD" w:rsidRPr="0066263B" w:rsidRDefault="005B03BD" w:rsidP="00757709">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517"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25" w:type="pct"/>
            <w:vMerge/>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b/>
                <w:i/>
                <w:lang w:eastAsia="ru-RU"/>
              </w:rPr>
            </w:pPr>
          </w:p>
        </w:tc>
      </w:tr>
      <w:tr w:rsidR="005B03BD" w:rsidRPr="0066263B" w:rsidTr="00FD6681">
        <w:trPr>
          <w:trHeight w:val="209"/>
          <w:jc w:val="center"/>
        </w:trPr>
        <w:tc>
          <w:tcPr>
            <w:tcW w:w="1792" w:type="pct"/>
            <w:vAlign w:val="center"/>
          </w:tcPr>
          <w:p w:rsidR="005B03BD" w:rsidRPr="0066263B" w:rsidRDefault="005B03BD" w:rsidP="00324483">
            <w:pPr>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Потребление наркотиков, всего</w:t>
            </w:r>
          </w:p>
        </w:tc>
        <w:tc>
          <w:tcPr>
            <w:tcW w:w="725" w:type="pct"/>
            <w:vAlign w:val="center"/>
          </w:tcPr>
          <w:p w:rsidR="005B03BD" w:rsidRPr="0066263B" w:rsidRDefault="005B03BD" w:rsidP="0075770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263</w:t>
            </w:r>
          </w:p>
        </w:tc>
        <w:tc>
          <w:tcPr>
            <w:tcW w:w="724"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204</w:t>
            </w:r>
          </w:p>
        </w:tc>
        <w:tc>
          <w:tcPr>
            <w:tcW w:w="517" w:type="pct"/>
            <w:vAlign w:val="center"/>
          </w:tcPr>
          <w:p w:rsidR="005B03BD" w:rsidRPr="0066263B" w:rsidRDefault="005B03BD" w:rsidP="0075770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517" w:type="pct"/>
            <w:vAlign w:val="center"/>
          </w:tcPr>
          <w:p w:rsidR="005B03BD" w:rsidRPr="0066263B" w:rsidRDefault="005B03BD" w:rsidP="00BA5F0A">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725"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-21,9</w:t>
            </w:r>
          </w:p>
        </w:tc>
      </w:tr>
      <w:tr w:rsidR="005B03BD" w:rsidRPr="0066263B" w:rsidTr="00FD6681">
        <w:trPr>
          <w:trHeight w:val="60"/>
          <w:jc w:val="center"/>
        </w:trPr>
        <w:tc>
          <w:tcPr>
            <w:tcW w:w="1792" w:type="pct"/>
            <w:vAlign w:val="center"/>
          </w:tcPr>
          <w:p w:rsidR="005B03BD" w:rsidRPr="0066263B" w:rsidRDefault="005B03BD" w:rsidP="00324483">
            <w:pPr>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Синдром зависимости от наркотиков (наркомания)</w:t>
            </w:r>
          </w:p>
        </w:tc>
        <w:tc>
          <w:tcPr>
            <w:tcW w:w="725" w:type="pct"/>
            <w:vAlign w:val="center"/>
          </w:tcPr>
          <w:p w:rsidR="005B03BD" w:rsidRPr="0066263B" w:rsidRDefault="005B03BD" w:rsidP="0075770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87</w:t>
            </w:r>
          </w:p>
        </w:tc>
        <w:tc>
          <w:tcPr>
            <w:tcW w:w="724"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w:t>
            </w:r>
          </w:p>
        </w:tc>
        <w:tc>
          <w:tcPr>
            <w:tcW w:w="517" w:type="pct"/>
            <w:vAlign w:val="center"/>
          </w:tcPr>
          <w:p w:rsidR="005B03BD" w:rsidRPr="0066263B" w:rsidRDefault="005B03BD" w:rsidP="0075770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33,1</w:t>
            </w:r>
          </w:p>
        </w:tc>
        <w:tc>
          <w:tcPr>
            <w:tcW w:w="517"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46,1</w:t>
            </w:r>
          </w:p>
        </w:tc>
        <w:tc>
          <w:tcPr>
            <w:tcW w:w="725" w:type="pct"/>
            <w:vAlign w:val="center"/>
          </w:tcPr>
          <w:p w:rsidR="005B03BD" w:rsidRPr="0066263B" w:rsidRDefault="005B03BD" w:rsidP="00FD6681">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w:t>
            </w:r>
          </w:p>
        </w:tc>
      </w:tr>
      <w:tr w:rsidR="005B03BD" w:rsidRPr="0066263B" w:rsidTr="00FD6681">
        <w:trPr>
          <w:trHeight w:val="60"/>
          <w:jc w:val="center"/>
        </w:trPr>
        <w:tc>
          <w:tcPr>
            <w:tcW w:w="1792" w:type="pct"/>
            <w:vAlign w:val="center"/>
          </w:tcPr>
          <w:p w:rsidR="005B03BD" w:rsidRPr="0066263B" w:rsidRDefault="005B03BD" w:rsidP="00324483">
            <w:pPr>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Употребление наркотиков с вредными последствиями</w:t>
            </w:r>
          </w:p>
        </w:tc>
        <w:tc>
          <w:tcPr>
            <w:tcW w:w="725" w:type="pct"/>
            <w:vAlign w:val="center"/>
          </w:tcPr>
          <w:p w:rsidR="005B03BD" w:rsidRPr="0066263B" w:rsidRDefault="005B03BD" w:rsidP="0075770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176</w:t>
            </w:r>
          </w:p>
        </w:tc>
        <w:tc>
          <w:tcPr>
            <w:tcW w:w="724"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110</w:t>
            </w:r>
          </w:p>
        </w:tc>
        <w:tc>
          <w:tcPr>
            <w:tcW w:w="517" w:type="pct"/>
            <w:vAlign w:val="center"/>
          </w:tcPr>
          <w:p w:rsidR="005B03BD" w:rsidRPr="0066263B" w:rsidRDefault="005B03BD" w:rsidP="0075770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66,9</w:t>
            </w:r>
          </w:p>
        </w:tc>
        <w:tc>
          <w:tcPr>
            <w:tcW w:w="517"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53,9</w:t>
            </w:r>
          </w:p>
        </w:tc>
        <w:tc>
          <w:tcPr>
            <w:tcW w:w="725" w:type="pct"/>
            <w:vAlign w:val="center"/>
          </w:tcPr>
          <w:p w:rsidR="005B03BD" w:rsidRPr="0066263B" w:rsidRDefault="005B03BD" w:rsidP="00D5001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-37,2</w:t>
            </w:r>
          </w:p>
        </w:tc>
      </w:tr>
      <w:tr w:rsidR="005B03BD" w:rsidRPr="0066263B" w:rsidTr="00FD6681">
        <w:trPr>
          <w:trHeight w:val="175"/>
          <w:jc w:val="center"/>
        </w:trPr>
        <w:tc>
          <w:tcPr>
            <w:tcW w:w="1792" w:type="pct"/>
            <w:vAlign w:val="center"/>
          </w:tcPr>
          <w:p w:rsidR="005B03BD" w:rsidRPr="0066263B" w:rsidRDefault="005B03BD" w:rsidP="00324483">
            <w:pPr>
              <w:autoSpaceDE w:val="0"/>
              <w:autoSpaceDN w:val="0"/>
              <w:adjustRightInd w:val="0"/>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Потребители инъекционных наркотиков</w:t>
            </w:r>
          </w:p>
        </w:tc>
        <w:tc>
          <w:tcPr>
            <w:tcW w:w="725" w:type="pct"/>
            <w:vAlign w:val="center"/>
          </w:tcPr>
          <w:p w:rsidR="005B03BD" w:rsidRPr="0066263B" w:rsidRDefault="005B03BD" w:rsidP="00D5001F">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74</w:t>
            </w:r>
          </w:p>
        </w:tc>
        <w:tc>
          <w:tcPr>
            <w:tcW w:w="724"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77</w:t>
            </w:r>
          </w:p>
        </w:tc>
        <w:tc>
          <w:tcPr>
            <w:tcW w:w="517" w:type="pct"/>
            <w:vAlign w:val="center"/>
          </w:tcPr>
          <w:p w:rsidR="005B03BD" w:rsidRPr="0066263B" w:rsidRDefault="005B03BD" w:rsidP="00757709">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28,1</w:t>
            </w:r>
          </w:p>
        </w:tc>
        <w:tc>
          <w:tcPr>
            <w:tcW w:w="517"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37,7</w:t>
            </w:r>
          </w:p>
        </w:tc>
        <w:tc>
          <w:tcPr>
            <w:tcW w:w="725" w:type="pct"/>
            <w:vAlign w:val="center"/>
          </w:tcPr>
          <w:p w:rsidR="005B03BD" w:rsidRPr="0066263B" w:rsidRDefault="005B03BD" w:rsidP="00324483">
            <w:pPr>
              <w:autoSpaceDE w:val="0"/>
              <w:autoSpaceDN w:val="0"/>
              <w:adjustRightInd w:val="0"/>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w:t>
            </w:r>
          </w:p>
        </w:tc>
      </w:tr>
    </w:tbl>
    <w:p w:rsidR="00324483" w:rsidRPr="0066263B" w:rsidRDefault="00324483" w:rsidP="00324483">
      <w:pPr>
        <w:spacing w:before="0" w:after="0"/>
        <w:ind w:firstLine="709"/>
        <w:rPr>
          <w:rFonts w:ascii="Times New Roman" w:eastAsia="Calibri" w:hAnsi="Times New Roman" w:cs="Times New Roman"/>
          <w:sz w:val="24"/>
          <w:szCs w:val="24"/>
        </w:rPr>
      </w:pPr>
    </w:p>
    <w:p w:rsidR="00FD6681" w:rsidRPr="0066263B" w:rsidRDefault="00FD6681" w:rsidP="00324483">
      <w:pPr>
        <w:spacing w:before="0" w:after="0"/>
        <w:ind w:firstLine="709"/>
        <w:rPr>
          <w:rFonts w:ascii="Times New Roman" w:eastAsia="Calibri" w:hAnsi="Times New Roman" w:cs="Times New Roman"/>
          <w:sz w:val="24"/>
          <w:szCs w:val="24"/>
        </w:rPr>
      </w:pPr>
    </w:p>
    <w:p w:rsidR="00324483" w:rsidRPr="0066263B" w:rsidRDefault="00324483" w:rsidP="00324483">
      <w:pPr>
        <w:spacing w:before="0" w:after="0"/>
        <w:ind w:firstLine="709"/>
        <w:jc w:val="left"/>
        <w:rPr>
          <w:rFonts w:ascii="Times New Roman" w:eastAsia="TimesNewRomanPS-BoldMT" w:hAnsi="Times New Roman" w:cs="Times New Roman"/>
          <w:bCs/>
          <w:i/>
          <w:sz w:val="24"/>
          <w:szCs w:val="24"/>
          <w:u w:val="single"/>
        </w:rPr>
      </w:pPr>
      <w:r w:rsidRPr="0066263B">
        <w:rPr>
          <w:rFonts w:ascii="Times New Roman" w:eastAsia="TimesNewRomanPS-BoldMT" w:hAnsi="Times New Roman" w:cs="Times New Roman"/>
          <w:bCs/>
          <w:i/>
          <w:sz w:val="24"/>
          <w:szCs w:val="24"/>
          <w:u w:val="single"/>
        </w:rPr>
        <w:t>Оценка динамики бытовых отравлений, в том числе алкоголем</w:t>
      </w:r>
    </w:p>
    <w:p w:rsidR="00FD6681" w:rsidRPr="0066263B" w:rsidRDefault="00FD6681" w:rsidP="00324483">
      <w:pPr>
        <w:spacing w:before="0" w:after="0"/>
        <w:ind w:firstLine="709"/>
        <w:rPr>
          <w:rFonts w:ascii="Times New Roman" w:eastAsia="TimesNewRomanPSMT" w:hAnsi="Times New Roman" w:cs="Times New Roman"/>
          <w:bCs/>
          <w:sz w:val="24"/>
          <w:szCs w:val="24"/>
        </w:rPr>
      </w:pPr>
      <w:r w:rsidRPr="0066263B">
        <w:rPr>
          <w:rFonts w:ascii="Times New Roman" w:eastAsia="TimesNewRomanPSMT" w:hAnsi="Times New Roman" w:cs="Times New Roman"/>
          <w:bCs/>
          <w:sz w:val="24"/>
          <w:szCs w:val="24"/>
        </w:rPr>
        <w:t>Всего в Брянской области за 202</w:t>
      </w:r>
      <w:r w:rsidR="0072467B" w:rsidRPr="0066263B">
        <w:rPr>
          <w:rFonts w:ascii="Times New Roman" w:eastAsia="TimesNewRomanPSMT" w:hAnsi="Times New Roman" w:cs="Times New Roman"/>
          <w:bCs/>
          <w:sz w:val="24"/>
          <w:szCs w:val="24"/>
        </w:rPr>
        <w:t>1</w:t>
      </w:r>
      <w:r w:rsidRPr="0066263B">
        <w:rPr>
          <w:rFonts w:ascii="Times New Roman" w:eastAsia="TimesNewRomanPSMT" w:hAnsi="Times New Roman" w:cs="Times New Roman"/>
          <w:bCs/>
          <w:sz w:val="24"/>
          <w:szCs w:val="24"/>
        </w:rPr>
        <w:t xml:space="preserve"> год зафиксировано 1</w:t>
      </w:r>
      <w:r w:rsidR="0072467B" w:rsidRPr="0066263B">
        <w:rPr>
          <w:rFonts w:ascii="Times New Roman" w:eastAsia="TimesNewRomanPSMT" w:hAnsi="Times New Roman" w:cs="Times New Roman"/>
          <w:bCs/>
          <w:sz w:val="24"/>
          <w:szCs w:val="24"/>
        </w:rPr>
        <w:t>20</w:t>
      </w:r>
      <w:r w:rsidRPr="0066263B">
        <w:rPr>
          <w:rFonts w:ascii="Times New Roman" w:eastAsia="TimesNewRomanPSMT" w:hAnsi="Times New Roman" w:cs="Times New Roman"/>
          <w:bCs/>
          <w:sz w:val="24"/>
          <w:szCs w:val="24"/>
        </w:rPr>
        <w:t xml:space="preserve"> случаев алкогольных отравлений, из них </w:t>
      </w:r>
      <w:r w:rsidR="0072467B" w:rsidRPr="0066263B">
        <w:rPr>
          <w:rFonts w:ascii="Times New Roman" w:eastAsia="TimesNewRomanPSMT" w:hAnsi="Times New Roman" w:cs="Times New Roman"/>
          <w:bCs/>
          <w:sz w:val="24"/>
          <w:szCs w:val="24"/>
        </w:rPr>
        <w:t>6</w:t>
      </w:r>
      <w:r w:rsidRPr="0066263B">
        <w:rPr>
          <w:rFonts w:ascii="Times New Roman" w:eastAsia="TimesNewRomanPSMT" w:hAnsi="Times New Roman" w:cs="Times New Roman"/>
          <w:bCs/>
          <w:sz w:val="24"/>
          <w:szCs w:val="24"/>
        </w:rPr>
        <w:t xml:space="preserve"> случа</w:t>
      </w:r>
      <w:r w:rsidR="0057363C">
        <w:rPr>
          <w:rFonts w:ascii="Times New Roman" w:eastAsia="TimesNewRomanPSMT" w:hAnsi="Times New Roman" w:cs="Times New Roman"/>
          <w:bCs/>
          <w:sz w:val="24"/>
          <w:szCs w:val="24"/>
        </w:rPr>
        <w:t>ев</w:t>
      </w:r>
      <w:r w:rsidR="000E5A3B" w:rsidRPr="0066263B">
        <w:rPr>
          <w:rFonts w:ascii="Times New Roman" w:eastAsia="TimesNewRomanPSMT" w:hAnsi="Times New Roman" w:cs="Times New Roman"/>
          <w:bCs/>
          <w:sz w:val="24"/>
          <w:szCs w:val="24"/>
        </w:rPr>
        <w:t xml:space="preserve"> с летальным исходом вследствие употребления некачественного алкоголя, его суррогатов</w:t>
      </w:r>
      <w:r w:rsidRPr="0066263B">
        <w:rPr>
          <w:rFonts w:ascii="Times New Roman" w:eastAsia="TimesNewRomanPSMT" w:hAnsi="Times New Roman" w:cs="Times New Roman"/>
          <w:bCs/>
          <w:sz w:val="24"/>
          <w:szCs w:val="24"/>
        </w:rPr>
        <w:t xml:space="preserve">, что составило </w:t>
      </w:r>
      <w:r w:rsidR="00622DED" w:rsidRPr="0066263B">
        <w:rPr>
          <w:rFonts w:ascii="Times New Roman" w:eastAsia="TimesNewRomanPSMT" w:hAnsi="Times New Roman" w:cs="Times New Roman"/>
          <w:bCs/>
          <w:sz w:val="24"/>
          <w:szCs w:val="24"/>
        </w:rPr>
        <w:t>5,0</w:t>
      </w:r>
      <w:r w:rsidRPr="0066263B">
        <w:rPr>
          <w:rFonts w:ascii="Times New Roman" w:eastAsia="TimesNewRomanPSMT" w:hAnsi="Times New Roman" w:cs="Times New Roman"/>
          <w:bCs/>
          <w:sz w:val="24"/>
          <w:szCs w:val="24"/>
        </w:rPr>
        <w:t>% от общего числа отравившихся</w:t>
      </w:r>
      <w:r w:rsidR="0072467B" w:rsidRPr="0066263B">
        <w:rPr>
          <w:rFonts w:ascii="Times New Roman" w:eastAsia="TimesNewRomanPSMT" w:hAnsi="Times New Roman" w:cs="Times New Roman"/>
          <w:bCs/>
          <w:sz w:val="24"/>
          <w:szCs w:val="24"/>
        </w:rPr>
        <w:t xml:space="preserve"> (2020 – 177 случаев алкогольных отравлений, из них 2 случая с летальным исходом</w:t>
      </w:r>
      <w:r w:rsidR="00622DED" w:rsidRPr="0066263B">
        <w:rPr>
          <w:rFonts w:ascii="Times New Roman" w:eastAsia="TimesNewRomanPSMT" w:hAnsi="Times New Roman" w:cs="Times New Roman"/>
          <w:bCs/>
          <w:sz w:val="24"/>
          <w:szCs w:val="24"/>
        </w:rPr>
        <w:t xml:space="preserve"> или 1,12%</w:t>
      </w:r>
      <w:r w:rsidR="0072467B" w:rsidRPr="0066263B">
        <w:rPr>
          <w:rFonts w:ascii="Times New Roman" w:eastAsia="TimesNewRomanPSMT" w:hAnsi="Times New Roman" w:cs="Times New Roman"/>
          <w:bCs/>
          <w:sz w:val="24"/>
          <w:szCs w:val="24"/>
        </w:rPr>
        <w:t>)</w:t>
      </w:r>
      <w:r w:rsidRPr="0066263B">
        <w:rPr>
          <w:rFonts w:ascii="Times New Roman" w:eastAsia="TimesNewRomanPSMT" w:hAnsi="Times New Roman" w:cs="Times New Roman"/>
          <w:bCs/>
          <w:sz w:val="24"/>
          <w:szCs w:val="24"/>
        </w:rPr>
        <w:t>.</w:t>
      </w:r>
    </w:p>
    <w:p w:rsidR="00324483" w:rsidRPr="0066263B" w:rsidRDefault="00324483" w:rsidP="00324483">
      <w:pPr>
        <w:spacing w:before="0" w:after="0"/>
        <w:ind w:firstLine="709"/>
        <w:rPr>
          <w:rFonts w:ascii="Times New Roman" w:eastAsia="TimesNewRomanPSMT" w:hAnsi="Times New Roman" w:cs="Times New Roman"/>
          <w:bCs/>
          <w:sz w:val="24"/>
          <w:szCs w:val="24"/>
        </w:rPr>
      </w:pPr>
    </w:p>
    <w:p w:rsidR="00324483" w:rsidRPr="0066263B" w:rsidRDefault="00324483" w:rsidP="00324483">
      <w:pPr>
        <w:spacing w:before="0" w:after="0"/>
        <w:jc w:val="center"/>
        <w:rPr>
          <w:rFonts w:ascii="Times New Roman" w:eastAsia="TimesNewRomanPSMT" w:hAnsi="Times New Roman" w:cs="Times New Roman"/>
          <w:bCs/>
          <w:sz w:val="24"/>
          <w:szCs w:val="24"/>
        </w:rPr>
      </w:pPr>
      <w:r w:rsidRPr="0066263B">
        <w:rPr>
          <w:rFonts w:ascii="Times New Roman" w:eastAsia="TimesNewRomanPSMT" w:hAnsi="Times New Roman" w:cs="Times New Roman"/>
          <w:bCs/>
          <w:noProof/>
          <w:sz w:val="24"/>
          <w:szCs w:val="24"/>
          <w:lang w:eastAsia="ru-RU"/>
        </w:rPr>
        <w:drawing>
          <wp:inline distT="0" distB="0" distL="0" distR="0">
            <wp:extent cx="5757062" cy="2874873"/>
            <wp:effectExtent l="0" t="0" r="0" b="0"/>
            <wp:docPr id="757"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24483" w:rsidRPr="0066263B" w:rsidRDefault="00324483" w:rsidP="00324483">
      <w:pPr>
        <w:spacing w:before="0" w:after="0"/>
        <w:jc w:val="center"/>
        <w:rPr>
          <w:rFonts w:ascii="Times New Roman" w:eastAsia="TimesNewRomanPSMT" w:hAnsi="Times New Roman" w:cs="Times New Roman"/>
          <w:bCs/>
          <w:sz w:val="24"/>
          <w:szCs w:val="24"/>
        </w:rPr>
      </w:pPr>
    </w:p>
    <w:p w:rsidR="00324483" w:rsidRPr="0066263B" w:rsidRDefault="00324483" w:rsidP="00324483">
      <w:pPr>
        <w:spacing w:before="0" w:after="0"/>
        <w:jc w:val="center"/>
        <w:rPr>
          <w:rFonts w:ascii="Times New Roman" w:eastAsia="TimesNewRomanPS-BoldMT" w:hAnsi="Times New Roman" w:cs="Times New Roman"/>
          <w:bCs/>
        </w:rPr>
      </w:pPr>
      <w:r w:rsidRPr="0066263B">
        <w:rPr>
          <w:rFonts w:ascii="Times New Roman" w:eastAsia="Calibri" w:hAnsi="Times New Roman" w:cs="Times New Roman"/>
          <w:b/>
        </w:rPr>
        <w:t xml:space="preserve">Рис. </w:t>
      </w:r>
      <w:r w:rsidR="006C34E2" w:rsidRPr="0066263B">
        <w:rPr>
          <w:rFonts w:ascii="Times New Roman" w:eastAsia="Calibri" w:hAnsi="Times New Roman" w:cs="Times New Roman"/>
          <w:b/>
        </w:rPr>
        <w:fldChar w:fldCharType="begin"/>
      </w:r>
      <w:r w:rsidRPr="0066263B">
        <w:rPr>
          <w:rFonts w:ascii="Times New Roman" w:eastAsia="Calibri" w:hAnsi="Times New Roman" w:cs="Times New Roman"/>
          <w:b/>
        </w:rPr>
        <w:instrText xml:space="preserve"> SEQ Рис._№ \* ARABIC </w:instrText>
      </w:r>
      <w:r w:rsidR="006C34E2" w:rsidRPr="0066263B">
        <w:rPr>
          <w:rFonts w:ascii="Times New Roman" w:eastAsia="Calibri" w:hAnsi="Times New Roman" w:cs="Times New Roman"/>
          <w:b/>
        </w:rPr>
        <w:fldChar w:fldCharType="separate"/>
      </w:r>
      <w:r w:rsidR="00EC1D99">
        <w:rPr>
          <w:rFonts w:ascii="Times New Roman" w:eastAsia="Calibri" w:hAnsi="Times New Roman" w:cs="Times New Roman"/>
          <w:b/>
          <w:noProof/>
        </w:rPr>
        <w:t>53</w:t>
      </w:r>
      <w:r w:rsidR="006C34E2" w:rsidRPr="0066263B">
        <w:rPr>
          <w:rFonts w:ascii="Times New Roman" w:eastAsia="Calibri" w:hAnsi="Times New Roman" w:cs="Times New Roman"/>
          <w:b/>
        </w:rPr>
        <w:fldChar w:fldCharType="end"/>
      </w:r>
      <w:r w:rsidRPr="0066263B">
        <w:rPr>
          <w:rFonts w:ascii="Times New Roman" w:eastAsia="TimesNewRomanPSMT" w:hAnsi="Times New Roman" w:cs="Times New Roman"/>
          <w:b/>
        </w:rPr>
        <w:t>.</w:t>
      </w:r>
      <w:r w:rsidRPr="0066263B">
        <w:rPr>
          <w:rFonts w:ascii="Times New Roman" w:eastAsia="TimesNewRomanPS-BoldMT" w:hAnsi="Times New Roman" w:cs="Times New Roman"/>
          <w:b/>
          <w:bCs/>
        </w:rPr>
        <w:t xml:space="preserve"> </w:t>
      </w:r>
      <w:r w:rsidRPr="0066263B">
        <w:rPr>
          <w:rFonts w:ascii="Times New Roman" w:eastAsia="TimesNewRomanPS-BoldMT" w:hAnsi="Times New Roman" w:cs="Times New Roman"/>
          <w:bCs/>
        </w:rPr>
        <w:t>Динамика отравлений со смертельным исходом на территории</w:t>
      </w:r>
      <w:r w:rsidRPr="0066263B">
        <w:rPr>
          <w:rFonts w:ascii="Times New Roman" w:eastAsia="TimesNewRomanPS-BoldMT" w:hAnsi="Times New Roman" w:cs="Times New Roman"/>
          <w:bCs/>
        </w:rPr>
        <w:br/>
        <w:t>Брянской области, на 100 тыс. населения</w:t>
      </w:r>
    </w:p>
    <w:p w:rsidR="00324483" w:rsidRPr="0066263B" w:rsidRDefault="00324483" w:rsidP="00324483">
      <w:pPr>
        <w:spacing w:before="0" w:after="0"/>
        <w:ind w:firstLine="709"/>
        <w:rPr>
          <w:rFonts w:ascii="Times New Roman" w:eastAsia="TimesNewRomanPSMT" w:hAnsi="Times New Roman" w:cs="Times New Roman"/>
          <w:bCs/>
          <w:sz w:val="24"/>
          <w:szCs w:val="24"/>
        </w:rPr>
      </w:pPr>
    </w:p>
    <w:p w:rsidR="00745E5D" w:rsidRPr="0066263B" w:rsidRDefault="00745E5D" w:rsidP="00324483">
      <w:pPr>
        <w:spacing w:before="0" w:after="0"/>
        <w:ind w:firstLine="709"/>
        <w:rPr>
          <w:rFonts w:ascii="Times New Roman" w:eastAsia="TimesNewRomanPSMT" w:hAnsi="Times New Roman" w:cs="Times New Roman"/>
          <w:bCs/>
          <w:sz w:val="24"/>
          <w:szCs w:val="24"/>
        </w:rPr>
      </w:pPr>
    </w:p>
    <w:p w:rsidR="00D5001F" w:rsidRPr="0066263B" w:rsidRDefault="00D5001F" w:rsidP="00D5001F">
      <w:pPr>
        <w:spacing w:before="0" w:after="0"/>
        <w:ind w:firstLine="709"/>
        <w:rPr>
          <w:rFonts w:ascii="Times New Roman" w:eastAsia="TimesNewRomanPSMT" w:hAnsi="Times New Roman" w:cs="Times New Roman"/>
          <w:bCs/>
          <w:sz w:val="24"/>
          <w:szCs w:val="24"/>
        </w:rPr>
      </w:pPr>
      <w:r w:rsidRPr="0066263B">
        <w:rPr>
          <w:rFonts w:ascii="Times New Roman" w:eastAsia="TimesNewRomanPSMT" w:hAnsi="Times New Roman" w:cs="Times New Roman"/>
          <w:bCs/>
          <w:sz w:val="24"/>
          <w:szCs w:val="24"/>
        </w:rPr>
        <w:t>Число случаев отравлений алкоголем со смертельным исходом составило 0,</w:t>
      </w:r>
      <w:r w:rsidR="00622DED" w:rsidRPr="0066263B">
        <w:rPr>
          <w:rFonts w:ascii="Times New Roman" w:eastAsia="TimesNewRomanPSMT" w:hAnsi="Times New Roman" w:cs="Times New Roman"/>
          <w:bCs/>
          <w:sz w:val="24"/>
          <w:szCs w:val="24"/>
        </w:rPr>
        <w:t>6</w:t>
      </w:r>
      <w:r w:rsidRPr="0066263B">
        <w:rPr>
          <w:rFonts w:ascii="Times New Roman" w:eastAsia="TimesNewRomanPSMT" w:hAnsi="Times New Roman" w:cs="Times New Roman"/>
          <w:bCs/>
          <w:sz w:val="24"/>
          <w:szCs w:val="24"/>
        </w:rPr>
        <w:t xml:space="preserve"> на 100 тыс. населения, что </w:t>
      </w:r>
      <w:r w:rsidR="00622DED" w:rsidRPr="0066263B">
        <w:rPr>
          <w:rFonts w:ascii="Times New Roman" w:eastAsia="TimesNewRomanPSMT" w:hAnsi="Times New Roman" w:cs="Times New Roman"/>
          <w:bCs/>
          <w:sz w:val="24"/>
          <w:szCs w:val="24"/>
        </w:rPr>
        <w:t xml:space="preserve">выше уровня прошлого года в 3 раза </w:t>
      </w:r>
      <w:r w:rsidRPr="0066263B">
        <w:rPr>
          <w:rFonts w:ascii="Times New Roman" w:eastAsia="TimesNewRomanPSMT" w:hAnsi="Times New Roman" w:cs="Times New Roman"/>
          <w:bCs/>
          <w:sz w:val="24"/>
          <w:szCs w:val="24"/>
        </w:rPr>
        <w:t>(</w:t>
      </w:r>
      <w:r w:rsidR="00622DED" w:rsidRPr="0066263B">
        <w:rPr>
          <w:rFonts w:ascii="Times New Roman" w:eastAsia="TimesNewRomanPSMT" w:hAnsi="Times New Roman" w:cs="Times New Roman"/>
          <w:bCs/>
          <w:sz w:val="24"/>
          <w:szCs w:val="24"/>
        </w:rPr>
        <w:t>2020 – 0,2 на 100 тыс. нас</w:t>
      </w:r>
      <w:proofErr w:type="gramStart"/>
      <w:r w:rsidR="00622DED" w:rsidRPr="0066263B">
        <w:rPr>
          <w:rFonts w:ascii="Times New Roman" w:eastAsia="TimesNewRomanPSMT" w:hAnsi="Times New Roman" w:cs="Times New Roman"/>
          <w:bCs/>
          <w:sz w:val="24"/>
          <w:szCs w:val="24"/>
        </w:rPr>
        <w:t xml:space="preserve">.; </w:t>
      </w:r>
      <w:proofErr w:type="gramEnd"/>
      <w:r w:rsidRPr="0066263B">
        <w:rPr>
          <w:rFonts w:ascii="Times New Roman" w:eastAsia="TimesNewRomanPSMT" w:hAnsi="Times New Roman" w:cs="Times New Roman"/>
          <w:bCs/>
          <w:sz w:val="24"/>
          <w:szCs w:val="24"/>
        </w:rPr>
        <w:t>2019 – 0,8 на 100 тыс. нас.; 2018 – 0,41 на 100 тыс. нас.).</w:t>
      </w:r>
    </w:p>
    <w:p w:rsidR="00745E5D" w:rsidRPr="0066263B" w:rsidRDefault="00745E5D" w:rsidP="00D5001F">
      <w:pPr>
        <w:spacing w:before="0" w:after="0"/>
        <w:ind w:firstLine="709"/>
        <w:rPr>
          <w:rFonts w:ascii="Times New Roman" w:eastAsia="TimesNewRomanPSMT" w:hAnsi="Times New Roman" w:cs="Times New Roman"/>
          <w:bCs/>
          <w:sz w:val="24"/>
          <w:szCs w:val="24"/>
        </w:rPr>
      </w:pPr>
    </w:p>
    <w:p w:rsidR="00D5001F" w:rsidRPr="0066263B" w:rsidRDefault="00D5001F" w:rsidP="00D5001F">
      <w:pPr>
        <w:spacing w:before="0" w:after="0"/>
        <w:ind w:firstLine="709"/>
        <w:rPr>
          <w:rFonts w:ascii="Times New Roman" w:eastAsia="TimesNewRomanPSMT" w:hAnsi="Times New Roman" w:cs="Times New Roman"/>
          <w:bCs/>
          <w:sz w:val="24"/>
          <w:szCs w:val="24"/>
        </w:rPr>
      </w:pPr>
      <w:proofErr w:type="gramStart"/>
      <w:r w:rsidRPr="0066263B">
        <w:rPr>
          <w:rFonts w:ascii="Times New Roman" w:eastAsia="TimesNewRomanPSMT" w:hAnsi="Times New Roman" w:cs="Times New Roman"/>
          <w:bCs/>
          <w:sz w:val="24"/>
          <w:szCs w:val="24"/>
        </w:rPr>
        <w:lastRenderedPageBreak/>
        <w:t>Среди женского населения области распространённость прочих отравлений со смертельным исходом в 202</w:t>
      </w:r>
      <w:r w:rsidR="00622DED" w:rsidRPr="0066263B">
        <w:rPr>
          <w:rFonts w:ascii="Times New Roman" w:eastAsia="TimesNewRomanPSMT" w:hAnsi="Times New Roman" w:cs="Times New Roman"/>
          <w:bCs/>
          <w:sz w:val="24"/>
          <w:szCs w:val="24"/>
        </w:rPr>
        <w:t>1</w:t>
      </w:r>
      <w:r w:rsidRPr="0066263B">
        <w:rPr>
          <w:rFonts w:ascii="Times New Roman" w:eastAsia="TimesNewRomanPSMT" w:hAnsi="Times New Roman" w:cs="Times New Roman"/>
          <w:bCs/>
          <w:sz w:val="24"/>
          <w:szCs w:val="24"/>
        </w:rPr>
        <w:t xml:space="preserve"> году отмечалась на уровне</w:t>
      </w:r>
      <w:r w:rsidR="00622DED" w:rsidRPr="0066263B">
        <w:rPr>
          <w:rFonts w:ascii="Times New Roman" w:eastAsia="TimesNewRomanPSMT" w:hAnsi="Times New Roman" w:cs="Times New Roman"/>
          <w:bCs/>
          <w:sz w:val="24"/>
          <w:szCs w:val="24"/>
        </w:rPr>
        <w:t xml:space="preserve"> 2020 года – </w:t>
      </w:r>
      <w:r w:rsidRPr="0066263B">
        <w:rPr>
          <w:rFonts w:ascii="Times New Roman" w:eastAsia="TimesNewRomanPSMT" w:hAnsi="Times New Roman" w:cs="Times New Roman"/>
          <w:bCs/>
          <w:sz w:val="24"/>
          <w:szCs w:val="24"/>
        </w:rPr>
        <w:t>0,05 на 100 тыс. населения (</w:t>
      </w:r>
      <w:r w:rsidR="00622DED" w:rsidRPr="0066263B">
        <w:rPr>
          <w:rFonts w:ascii="Times New Roman" w:eastAsia="TimesNewRomanPSMT" w:hAnsi="Times New Roman" w:cs="Times New Roman"/>
          <w:bCs/>
          <w:sz w:val="24"/>
          <w:szCs w:val="24"/>
        </w:rPr>
        <w:t xml:space="preserve">2020 – 0,05 на 100 тыс. нас.; </w:t>
      </w:r>
      <w:r w:rsidRPr="0066263B">
        <w:rPr>
          <w:rFonts w:ascii="Times New Roman" w:eastAsia="TimesNewRomanPSMT" w:hAnsi="Times New Roman" w:cs="Times New Roman"/>
          <w:bCs/>
          <w:sz w:val="24"/>
          <w:szCs w:val="24"/>
        </w:rPr>
        <w:t>2019 – 0,</w:t>
      </w:r>
      <w:r w:rsidR="003917A9" w:rsidRPr="0066263B">
        <w:rPr>
          <w:rFonts w:ascii="Times New Roman" w:eastAsia="TimesNewRomanPSMT" w:hAnsi="Times New Roman" w:cs="Times New Roman"/>
          <w:bCs/>
          <w:sz w:val="24"/>
          <w:szCs w:val="24"/>
        </w:rPr>
        <w:t>2</w:t>
      </w:r>
      <w:r w:rsidRPr="0066263B">
        <w:rPr>
          <w:rFonts w:ascii="Times New Roman" w:eastAsia="TimesNewRomanPSMT" w:hAnsi="Times New Roman" w:cs="Times New Roman"/>
          <w:bCs/>
          <w:sz w:val="24"/>
          <w:szCs w:val="24"/>
        </w:rPr>
        <w:t xml:space="preserve"> на 100 тыс. нас.), среди мужчин – 0,05 на 100 тыс. человек (</w:t>
      </w:r>
      <w:r w:rsidR="00622DED" w:rsidRPr="0066263B">
        <w:rPr>
          <w:rFonts w:ascii="Times New Roman" w:eastAsia="TimesNewRomanPSMT" w:hAnsi="Times New Roman" w:cs="Times New Roman"/>
          <w:bCs/>
          <w:sz w:val="24"/>
          <w:szCs w:val="24"/>
        </w:rPr>
        <w:t xml:space="preserve">2020 – 0,05 на 100 тыс. нас.; </w:t>
      </w:r>
      <w:r w:rsidRPr="0066263B">
        <w:rPr>
          <w:rFonts w:ascii="Times New Roman" w:eastAsia="TimesNewRomanPSMT" w:hAnsi="Times New Roman" w:cs="Times New Roman"/>
          <w:bCs/>
          <w:sz w:val="24"/>
          <w:szCs w:val="24"/>
        </w:rPr>
        <w:t>2019 – 0,</w:t>
      </w:r>
      <w:r w:rsidR="003917A9" w:rsidRPr="0066263B">
        <w:rPr>
          <w:rFonts w:ascii="Times New Roman" w:eastAsia="TimesNewRomanPSMT" w:hAnsi="Times New Roman" w:cs="Times New Roman"/>
          <w:bCs/>
          <w:sz w:val="24"/>
          <w:szCs w:val="24"/>
        </w:rPr>
        <w:t>6</w:t>
      </w:r>
      <w:r w:rsidRPr="0066263B">
        <w:rPr>
          <w:rFonts w:ascii="Times New Roman" w:eastAsia="TimesNewRomanPSMT" w:hAnsi="Times New Roman" w:cs="Times New Roman"/>
          <w:bCs/>
          <w:sz w:val="24"/>
          <w:szCs w:val="24"/>
        </w:rPr>
        <w:t xml:space="preserve"> на 100 тыс. нас.).</w:t>
      </w:r>
      <w:proofErr w:type="gramEnd"/>
    </w:p>
    <w:p w:rsidR="00324483" w:rsidRPr="0066263B" w:rsidRDefault="00324483" w:rsidP="00324483">
      <w:pPr>
        <w:spacing w:before="0" w:after="0"/>
        <w:ind w:firstLine="709"/>
        <w:rPr>
          <w:rFonts w:ascii="Times New Roman" w:eastAsia="TimesNewRomanPSMT" w:hAnsi="Times New Roman" w:cs="Times New Roman"/>
          <w:bCs/>
          <w:sz w:val="24"/>
          <w:szCs w:val="24"/>
        </w:rPr>
      </w:pPr>
    </w:p>
    <w:p w:rsidR="00324483" w:rsidRPr="0066263B" w:rsidRDefault="00324483" w:rsidP="00324483">
      <w:pPr>
        <w:spacing w:before="0" w:after="0"/>
        <w:jc w:val="center"/>
        <w:rPr>
          <w:rFonts w:ascii="Times New Roman" w:eastAsia="TimesNewRomanPSMT" w:hAnsi="Times New Roman" w:cs="Times New Roman"/>
          <w:bCs/>
          <w:sz w:val="24"/>
          <w:szCs w:val="24"/>
        </w:rPr>
      </w:pPr>
      <w:r w:rsidRPr="0066263B">
        <w:rPr>
          <w:rFonts w:ascii="Times New Roman" w:eastAsia="TimesNewRomanPSMT" w:hAnsi="Times New Roman" w:cs="Times New Roman"/>
          <w:bCs/>
          <w:noProof/>
          <w:sz w:val="24"/>
          <w:szCs w:val="24"/>
          <w:lang w:eastAsia="ru-RU"/>
        </w:rPr>
        <w:drawing>
          <wp:inline distT="0" distB="0" distL="0" distR="0">
            <wp:extent cx="5757062" cy="2867558"/>
            <wp:effectExtent l="0" t="0" r="0" b="0"/>
            <wp:docPr id="758"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24483" w:rsidRPr="0066263B" w:rsidRDefault="00324483" w:rsidP="00324483">
      <w:pPr>
        <w:spacing w:before="0" w:after="0"/>
        <w:jc w:val="center"/>
        <w:rPr>
          <w:rFonts w:ascii="Times New Roman" w:eastAsia="TimesNewRomanPS-BoldMT" w:hAnsi="Times New Roman" w:cs="Times New Roman"/>
          <w:bCs/>
        </w:rPr>
      </w:pPr>
      <w:r w:rsidRPr="0066263B">
        <w:rPr>
          <w:rFonts w:ascii="Times New Roman" w:eastAsia="Calibri" w:hAnsi="Times New Roman" w:cs="Times New Roman"/>
          <w:b/>
        </w:rPr>
        <w:t xml:space="preserve">Рис. </w:t>
      </w:r>
      <w:r w:rsidR="006C34E2" w:rsidRPr="0066263B">
        <w:rPr>
          <w:rFonts w:ascii="Times New Roman" w:eastAsia="Calibri" w:hAnsi="Times New Roman" w:cs="Times New Roman"/>
          <w:b/>
        </w:rPr>
        <w:fldChar w:fldCharType="begin"/>
      </w:r>
      <w:r w:rsidRPr="0066263B">
        <w:rPr>
          <w:rFonts w:ascii="Times New Roman" w:eastAsia="Calibri" w:hAnsi="Times New Roman" w:cs="Times New Roman"/>
          <w:b/>
        </w:rPr>
        <w:instrText xml:space="preserve"> SEQ Рис._№ \* ARABIC </w:instrText>
      </w:r>
      <w:r w:rsidR="006C34E2" w:rsidRPr="0066263B">
        <w:rPr>
          <w:rFonts w:ascii="Times New Roman" w:eastAsia="Calibri" w:hAnsi="Times New Roman" w:cs="Times New Roman"/>
          <w:b/>
        </w:rPr>
        <w:fldChar w:fldCharType="separate"/>
      </w:r>
      <w:r w:rsidR="00EC1D99">
        <w:rPr>
          <w:rFonts w:ascii="Times New Roman" w:eastAsia="Calibri" w:hAnsi="Times New Roman" w:cs="Times New Roman"/>
          <w:b/>
          <w:noProof/>
        </w:rPr>
        <w:t>54</w:t>
      </w:r>
      <w:r w:rsidR="006C34E2" w:rsidRPr="0066263B">
        <w:rPr>
          <w:rFonts w:ascii="Times New Roman" w:eastAsia="Calibri" w:hAnsi="Times New Roman" w:cs="Times New Roman"/>
          <w:b/>
        </w:rPr>
        <w:fldChar w:fldCharType="end"/>
      </w:r>
      <w:r w:rsidRPr="0066263B">
        <w:rPr>
          <w:rFonts w:ascii="Times New Roman" w:eastAsia="TimesNewRomanPSMT" w:hAnsi="Times New Roman" w:cs="Times New Roman"/>
          <w:b/>
        </w:rPr>
        <w:t>.</w:t>
      </w:r>
      <w:r w:rsidRPr="0066263B">
        <w:rPr>
          <w:rFonts w:ascii="Times New Roman" w:eastAsia="TimesNewRomanPS-BoldMT" w:hAnsi="Times New Roman" w:cs="Times New Roman"/>
          <w:b/>
          <w:bCs/>
        </w:rPr>
        <w:t xml:space="preserve"> </w:t>
      </w:r>
      <w:r w:rsidRPr="0066263B">
        <w:rPr>
          <w:rFonts w:ascii="Times New Roman" w:eastAsia="TimesNewRomanPS-BoldMT" w:hAnsi="Times New Roman" w:cs="Times New Roman"/>
          <w:bCs/>
        </w:rPr>
        <w:t>Динамика отравлений алкоголем со смертельным исходом на территории</w:t>
      </w:r>
      <w:r w:rsidRPr="0066263B">
        <w:rPr>
          <w:rFonts w:ascii="Times New Roman" w:eastAsia="TimesNewRomanPS-BoldMT" w:hAnsi="Times New Roman" w:cs="Times New Roman"/>
          <w:bCs/>
        </w:rPr>
        <w:br/>
        <w:t>Брянской области, на 100 тыс. населения</w:t>
      </w:r>
    </w:p>
    <w:p w:rsidR="00324483" w:rsidRPr="0066263B" w:rsidRDefault="00324483" w:rsidP="00324483">
      <w:pPr>
        <w:spacing w:before="0" w:after="0"/>
        <w:ind w:firstLine="709"/>
        <w:rPr>
          <w:rFonts w:ascii="Times New Roman" w:eastAsia="TimesNewRomanPSMT" w:hAnsi="Times New Roman" w:cs="Times New Roman"/>
          <w:bCs/>
          <w:sz w:val="24"/>
          <w:szCs w:val="24"/>
        </w:rPr>
      </w:pPr>
    </w:p>
    <w:p w:rsidR="00324483" w:rsidRPr="0066263B" w:rsidRDefault="00324483" w:rsidP="00324483">
      <w:pPr>
        <w:spacing w:before="0" w:after="0"/>
        <w:ind w:firstLine="709"/>
        <w:rPr>
          <w:rFonts w:ascii="Times New Roman" w:eastAsia="TimesNewRomanPSMT" w:hAnsi="Times New Roman" w:cs="Times New Roman"/>
          <w:bCs/>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3"/>
        <w:gridCol w:w="4643"/>
      </w:tblGrid>
      <w:tr w:rsidR="00F13CF5" w:rsidRPr="0066263B" w:rsidTr="00054670">
        <w:tc>
          <w:tcPr>
            <w:tcW w:w="4643" w:type="dxa"/>
          </w:tcPr>
          <w:p w:rsidR="00F13CF5" w:rsidRPr="0066263B" w:rsidRDefault="003917A9" w:rsidP="00054670">
            <w:pPr>
              <w:jc w:val="center"/>
              <w:rPr>
                <w:rFonts w:eastAsia="TimesNewRomanPSMT"/>
                <w:bCs/>
                <w:sz w:val="24"/>
                <w:szCs w:val="24"/>
              </w:rPr>
            </w:pPr>
            <w:r w:rsidRPr="0066263B">
              <w:rPr>
                <w:rFonts w:eastAsia="TimesNewRomanPSMT"/>
                <w:bCs/>
                <w:noProof/>
                <w:sz w:val="24"/>
                <w:szCs w:val="24"/>
              </w:rPr>
              <w:drawing>
                <wp:inline distT="0" distB="0" distL="0" distR="0">
                  <wp:extent cx="5772150" cy="1943100"/>
                  <wp:effectExtent l="19050" t="0" r="0" b="0"/>
                  <wp:docPr id="1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643" w:type="dxa"/>
          </w:tcPr>
          <w:p w:rsidR="00F13CF5" w:rsidRPr="0066263B" w:rsidRDefault="003917A9" w:rsidP="00054670">
            <w:pPr>
              <w:jc w:val="center"/>
              <w:rPr>
                <w:rFonts w:eastAsia="TimesNewRomanPSMT"/>
                <w:bCs/>
                <w:sz w:val="24"/>
                <w:szCs w:val="24"/>
              </w:rPr>
            </w:pPr>
            <w:r w:rsidRPr="0066263B">
              <w:rPr>
                <w:rFonts w:eastAsia="TimesNewRomanPSMT"/>
                <w:bCs/>
                <w:noProof/>
                <w:sz w:val="24"/>
                <w:szCs w:val="24"/>
              </w:rPr>
              <w:drawing>
                <wp:inline distT="0" distB="0" distL="0" distR="0">
                  <wp:extent cx="5772150" cy="1943100"/>
                  <wp:effectExtent l="19050" t="0" r="0" b="0"/>
                  <wp:docPr id="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F13CF5" w:rsidRPr="0066263B" w:rsidTr="00054670">
        <w:tc>
          <w:tcPr>
            <w:tcW w:w="4643" w:type="dxa"/>
          </w:tcPr>
          <w:p w:rsidR="00F13CF5" w:rsidRPr="0066263B" w:rsidRDefault="00F13CF5" w:rsidP="00F13CF5">
            <w:pPr>
              <w:jc w:val="center"/>
              <w:rPr>
                <w:rFonts w:ascii="Arial" w:eastAsia="TimesNewRomanPSMT" w:hAnsi="Arial" w:cs="Arial"/>
                <w:b/>
                <w:bCs/>
                <w:sz w:val="18"/>
                <w:szCs w:val="18"/>
              </w:rPr>
            </w:pPr>
            <w:r w:rsidRPr="0066263B">
              <w:rPr>
                <w:rFonts w:ascii="Arial" w:eastAsia="TimesNewRomanPSMT" w:hAnsi="Arial" w:cs="Arial"/>
                <w:b/>
                <w:bCs/>
                <w:sz w:val="18"/>
                <w:szCs w:val="18"/>
              </w:rPr>
              <w:t>2019</w:t>
            </w:r>
          </w:p>
        </w:tc>
        <w:tc>
          <w:tcPr>
            <w:tcW w:w="4643" w:type="dxa"/>
          </w:tcPr>
          <w:p w:rsidR="00F13CF5" w:rsidRPr="0066263B" w:rsidRDefault="0084507A" w:rsidP="0084507A">
            <w:pPr>
              <w:jc w:val="center"/>
              <w:rPr>
                <w:rFonts w:ascii="Arial" w:eastAsia="TimesNewRomanPSMT" w:hAnsi="Arial" w:cs="Arial"/>
                <w:b/>
                <w:bCs/>
                <w:sz w:val="18"/>
                <w:szCs w:val="18"/>
              </w:rPr>
            </w:pPr>
            <w:r w:rsidRPr="0066263B">
              <w:rPr>
                <w:rFonts w:ascii="Arial" w:eastAsia="TimesNewRomanPSMT" w:hAnsi="Arial" w:cs="Arial"/>
                <w:b/>
                <w:bCs/>
                <w:sz w:val="18"/>
                <w:szCs w:val="18"/>
              </w:rPr>
              <w:t>2020-</w:t>
            </w:r>
            <w:r w:rsidR="00F13CF5" w:rsidRPr="0066263B">
              <w:rPr>
                <w:rFonts w:ascii="Arial" w:eastAsia="TimesNewRomanPSMT" w:hAnsi="Arial" w:cs="Arial"/>
                <w:b/>
                <w:bCs/>
                <w:sz w:val="18"/>
                <w:szCs w:val="18"/>
              </w:rPr>
              <w:t>202</w:t>
            </w:r>
            <w:r w:rsidRPr="0066263B">
              <w:rPr>
                <w:rFonts w:ascii="Arial" w:eastAsia="TimesNewRomanPSMT" w:hAnsi="Arial" w:cs="Arial"/>
                <w:b/>
                <w:bCs/>
                <w:sz w:val="18"/>
                <w:szCs w:val="18"/>
              </w:rPr>
              <w:t>1</w:t>
            </w:r>
          </w:p>
        </w:tc>
      </w:tr>
    </w:tbl>
    <w:p w:rsidR="00F13CF5" w:rsidRPr="0066263B" w:rsidRDefault="00F13CF5" w:rsidP="00324483">
      <w:pPr>
        <w:spacing w:before="0" w:after="0"/>
        <w:jc w:val="center"/>
        <w:rPr>
          <w:rFonts w:ascii="Times New Roman" w:eastAsia="Calibri" w:hAnsi="Times New Roman" w:cs="Times New Roman"/>
          <w:b/>
        </w:rPr>
      </w:pPr>
    </w:p>
    <w:p w:rsidR="00324483" w:rsidRPr="0066263B" w:rsidRDefault="00324483" w:rsidP="00324483">
      <w:pPr>
        <w:spacing w:before="0" w:after="0"/>
        <w:jc w:val="center"/>
        <w:rPr>
          <w:rFonts w:ascii="Times New Roman" w:eastAsia="TimesNewRomanPS-BoldMT" w:hAnsi="Times New Roman" w:cs="Times New Roman"/>
          <w:bCs/>
        </w:rPr>
      </w:pPr>
      <w:r w:rsidRPr="0066263B">
        <w:rPr>
          <w:rFonts w:ascii="Times New Roman" w:eastAsia="Calibri" w:hAnsi="Times New Roman" w:cs="Times New Roman"/>
          <w:b/>
        </w:rPr>
        <w:t xml:space="preserve">Рис. </w:t>
      </w:r>
      <w:r w:rsidR="006C34E2" w:rsidRPr="0066263B">
        <w:rPr>
          <w:rFonts w:ascii="Times New Roman" w:eastAsia="Calibri" w:hAnsi="Times New Roman" w:cs="Times New Roman"/>
          <w:b/>
        </w:rPr>
        <w:fldChar w:fldCharType="begin"/>
      </w:r>
      <w:r w:rsidRPr="0066263B">
        <w:rPr>
          <w:rFonts w:ascii="Times New Roman" w:eastAsia="Calibri" w:hAnsi="Times New Roman" w:cs="Times New Roman"/>
          <w:b/>
        </w:rPr>
        <w:instrText xml:space="preserve"> SEQ Рис._№ \* ARABIC </w:instrText>
      </w:r>
      <w:r w:rsidR="006C34E2" w:rsidRPr="0066263B">
        <w:rPr>
          <w:rFonts w:ascii="Times New Roman" w:eastAsia="Calibri" w:hAnsi="Times New Roman" w:cs="Times New Roman"/>
          <w:b/>
        </w:rPr>
        <w:fldChar w:fldCharType="separate"/>
      </w:r>
      <w:r w:rsidR="00EC1D99">
        <w:rPr>
          <w:rFonts w:ascii="Times New Roman" w:eastAsia="Calibri" w:hAnsi="Times New Roman" w:cs="Times New Roman"/>
          <w:b/>
          <w:noProof/>
        </w:rPr>
        <w:t>55</w:t>
      </w:r>
      <w:r w:rsidR="006C34E2" w:rsidRPr="0066263B">
        <w:rPr>
          <w:rFonts w:ascii="Times New Roman" w:eastAsia="Calibri" w:hAnsi="Times New Roman" w:cs="Times New Roman"/>
          <w:b/>
        </w:rPr>
        <w:fldChar w:fldCharType="end"/>
      </w:r>
      <w:r w:rsidRPr="0066263B">
        <w:rPr>
          <w:rFonts w:ascii="Times New Roman" w:eastAsia="TimesNewRomanPSMT" w:hAnsi="Times New Roman" w:cs="Times New Roman"/>
          <w:b/>
        </w:rPr>
        <w:t>.</w:t>
      </w:r>
      <w:r w:rsidRPr="0066263B">
        <w:rPr>
          <w:rFonts w:ascii="Times New Roman" w:eastAsia="TimesNewRomanPS-BoldMT" w:hAnsi="Times New Roman" w:cs="Times New Roman"/>
          <w:b/>
          <w:bCs/>
        </w:rPr>
        <w:t xml:space="preserve"> </w:t>
      </w:r>
      <w:r w:rsidRPr="0066263B">
        <w:rPr>
          <w:rFonts w:ascii="Times New Roman" w:eastAsia="TimesNewRomanPS-BoldMT" w:hAnsi="Times New Roman" w:cs="Times New Roman"/>
          <w:bCs/>
        </w:rPr>
        <w:t>Структура отравлений алкоголем со смертельным исходом (по полу)</w:t>
      </w:r>
      <w:r w:rsidRPr="0066263B">
        <w:rPr>
          <w:rFonts w:ascii="Times New Roman" w:eastAsia="TimesNewRomanPS-BoldMT" w:hAnsi="Times New Roman" w:cs="Times New Roman"/>
          <w:bCs/>
        </w:rPr>
        <w:br/>
        <w:t>на территории Брянской области</w:t>
      </w:r>
    </w:p>
    <w:p w:rsidR="00324483" w:rsidRPr="0066263B" w:rsidRDefault="00324483" w:rsidP="00324483">
      <w:pPr>
        <w:spacing w:before="0" w:after="0"/>
        <w:ind w:firstLine="709"/>
        <w:rPr>
          <w:rFonts w:ascii="Times New Roman" w:eastAsia="TimesNewRomanPSMT" w:hAnsi="Times New Roman" w:cs="Times New Roman"/>
          <w:bCs/>
          <w:sz w:val="24"/>
          <w:szCs w:val="24"/>
        </w:rPr>
      </w:pPr>
    </w:p>
    <w:p w:rsidR="003917A9" w:rsidRPr="0066263B" w:rsidRDefault="003917A9" w:rsidP="00324483">
      <w:pPr>
        <w:spacing w:before="0" w:after="0"/>
        <w:ind w:firstLine="709"/>
        <w:rPr>
          <w:rFonts w:ascii="Times New Roman" w:eastAsia="TimesNewRomanPSMT" w:hAnsi="Times New Roman" w:cs="Times New Roman"/>
          <w:bCs/>
          <w:sz w:val="24"/>
          <w:szCs w:val="24"/>
        </w:rPr>
      </w:pPr>
    </w:p>
    <w:p w:rsidR="00324483" w:rsidRPr="0066263B" w:rsidRDefault="003917A9" w:rsidP="00324483">
      <w:pPr>
        <w:spacing w:before="0" w:after="0"/>
        <w:ind w:firstLine="709"/>
        <w:rPr>
          <w:rFonts w:ascii="Times New Roman" w:eastAsia="TimesNewRomanPSMT" w:hAnsi="Times New Roman" w:cs="Times New Roman"/>
          <w:bCs/>
          <w:sz w:val="24"/>
          <w:szCs w:val="24"/>
        </w:rPr>
      </w:pPr>
      <w:r w:rsidRPr="0066263B">
        <w:rPr>
          <w:rFonts w:ascii="Times New Roman" w:eastAsia="TimesNewRomanPSMT" w:hAnsi="Times New Roman" w:cs="Times New Roman"/>
          <w:bCs/>
          <w:sz w:val="24"/>
          <w:szCs w:val="24"/>
        </w:rPr>
        <w:t>В возрастной структуре отравлений алкоголем со смертельным исходом в 202</w:t>
      </w:r>
      <w:r w:rsidR="0084507A" w:rsidRPr="0066263B">
        <w:rPr>
          <w:rFonts w:ascii="Times New Roman" w:eastAsia="TimesNewRomanPSMT" w:hAnsi="Times New Roman" w:cs="Times New Roman"/>
          <w:bCs/>
          <w:sz w:val="24"/>
          <w:szCs w:val="24"/>
        </w:rPr>
        <w:t>1</w:t>
      </w:r>
      <w:r w:rsidRPr="0066263B">
        <w:rPr>
          <w:rFonts w:ascii="Times New Roman" w:eastAsia="TimesNewRomanPSMT" w:hAnsi="Times New Roman" w:cs="Times New Roman"/>
          <w:bCs/>
          <w:sz w:val="24"/>
          <w:szCs w:val="24"/>
        </w:rPr>
        <w:t xml:space="preserve"> году </w:t>
      </w:r>
      <w:r w:rsidR="0084507A" w:rsidRPr="0066263B">
        <w:rPr>
          <w:rFonts w:ascii="Times New Roman" w:eastAsia="TimesNewRomanPSMT" w:hAnsi="Times New Roman" w:cs="Times New Roman"/>
          <w:bCs/>
          <w:sz w:val="24"/>
          <w:szCs w:val="24"/>
        </w:rPr>
        <w:t>наибольшее число случаев</w:t>
      </w:r>
      <w:r w:rsidRPr="0066263B">
        <w:rPr>
          <w:rFonts w:ascii="Times New Roman" w:eastAsia="TimesNewRomanPSMT" w:hAnsi="Times New Roman" w:cs="Times New Roman"/>
          <w:bCs/>
          <w:sz w:val="24"/>
          <w:szCs w:val="24"/>
        </w:rPr>
        <w:t xml:space="preserve"> приход</w:t>
      </w:r>
      <w:r w:rsidR="0084507A" w:rsidRPr="0066263B">
        <w:rPr>
          <w:rFonts w:ascii="Times New Roman" w:eastAsia="TimesNewRomanPSMT" w:hAnsi="Times New Roman" w:cs="Times New Roman"/>
          <w:bCs/>
          <w:sz w:val="24"/>
          <w:szCs w:val="24"/>
        </w:rPr>
        <w:t>и</w:t>
      </w:r>
      <w:r w:rsidRPr="0066263B">
        <w:rPr>
          <w:rFonts w:ascii="Times New Roman" w:eastAsia="TimesNewRomanPSMT" w:hAnsi="Times New Roman" w:cs="Times New Roman"/>
          <w:bCs/>
          <w:sz w:val="24"/>
          <w:szCs w:val="24"/>
        </w:rPr>
        <w:t>тся на возрастную группу 18-70 лет и старше.</w:t>
      </w:r>
    </w:p>
    <w:p w:rsidR="00324483" w:rsidRPr="0066263B" w:rsidRDefault="00324483" w:rsidP="00324483">
      <w:pPr>
        <w:spacing w:before="0" w:after="0"/>
        <w:ind w:firstLine="709"/>
        <w:rPr>
          <w:rFonts w:ascii="Times New Roman" w:eastAsia="TimesNewRomanPSMT" w:hAnsi="Times New Roman" w:cs="Times New Roman"/>
          <w:bCs/>
          <w:sz w:val="24"/>
          <w:szCs w:val="24"/>
        </w:rPr>
      </w:pPr>
    </w:p>
    <w:p w:rsidR="003917A9" w:rsidRPr="0066263B" w:rsidRDefault="003917A9" w:rsidP="003917A9">
      <w:pPr>
        <w:spacing w:before="0" w:after="0"/>
        <w:ind w:firstLine="709"/>
        <w:rPr>
          <w:rFonts w:ascii="Times New Roman" w:eastAsia="TimesNewRomanPSMT" w:hAnsi="Times New Roman" w:cs="Times New Roman"/>
          <w:bCs/>
          <w:sz w:val="24"/>
          <w:szCs w:val="24"/>
        </w:rPr>
      </w:pPr>
      <w:r w:rsidRPr="0066263B">
        <w:rPr>
          <w:rFonts w:ascii="Times New Roman" w:eastAsia="TimesNewRomanPSMT" w:hAnsi="Times New Roman" w:cs="Times New Roman"/>
          <w:bCs/>
          <w:sz w:val="24"/>
          <w:szCs w:val="24"/>
        </w:rPr>
        <w:t xml:space="preserve">Число случаев прочих отравлений со смертельным исходом, исключая отравления алкоголем, </w:t>
      </w:r>
      <w:r w:rsidR="0084507A" w:rsidRPr="0066263B">
        <w:rPr>
          <w:rFonts w:ascii="Times New Roman" w:eastAsia="TimesNewRomanPSMT" w:hAnsi="Times New Roman" w:cs="Times New Roman"/>
          <w:bCs/>
          <w:sz w:val="24"/>
          <w:szCs w:val="24"/>
        </w:rPr>
        <w:t>аналогично 2020</w:t>
      </w:r>
      <w:r w:rsidRPr="0066263B">
        <w:rPr>
          <w:rFonts w:ascii="Times New Roman" w:eastAsia="TimesNewRomanPSMT" w:hAnsi="Times New Roman" w:cs="Times New Roman"/>
          <w:bCs/>
          <w:sz w:val="24"/>
          <w:szCs w:val="24"/>
        </w:rPr>
        <w:t xml:space="preserve"> году </w:t>
      </w:r>
      <w:r w:rsidR="0084507A" w:rsidRPr="0066263B">
        <w:rPr>
          <w:rFonts w:ascii="Times New Roman" w:eastAsia="TimesNewRomanPSMT" w:hAnsi="Times New Roman" w:cs="Times New Roman"/>
          <w:bCs/>
          <w:sz w:val="24"/>
          <w:szCs w:val="24"/>
        </w:rPr>
        <w:t xml:space="preserve">– </w:t>
      </w:r>
      <w:r w:rsidRPr="0066263B">
        <w:rPr>
          <w:rFonts w:ascii="Times New Roman" w:eastAsia="TimesNewRomanPSMT" w:hAnsi="Times New Roman" w:cs="Times New Roman"/>
          <w:bCs/>
          <w:sz w:val="24"/>
          <w:szCs w:val="24"/>
        </w:rPr>
        <w:t>0,4 на 100 тыс. населения, отмечается незначительное увеличение отравлений по сравнению с предыдущ</w:t>
      </w:r>
      <w:r w:rsidR="000E5A3B" w:rsidRPr="0066263B">
        <w:rPr>
          <w:rFonts w:ascii="Times New Roman" w:eastAsia="TimesNewRomanPSMT" w:hAnsi="Times New Roman" w:cs="Times New Roman"/>
          <w:bCs/>
          <w:sz w:val="24"/>
          <w:szCs w:val="24"/>
        </w:rPr>
        <w:t>и</w:t>
      </w:r>
      <w:r w:rsidRPr="0066263B">
        <w:rPr>
          <w:rFonts w:ascii="Times New Roman" w:eastAsia="TimesNewRomanPSMT" w:hAnsi="Times New Roman" w:cs="Times New Roman"/>
          <w:bCs/>
          <w:sz w:val="24"/>
          <w:szCs w:val="24"/>
        </w:rPr>
        <w:t>м годом (2019 – 0,33 на 100 тыс. нас.).</w:t>
      </w:r>
    </w:p>
    <w:p w:rsidR="0084507A" w:rsidRPr="0066263B" w:rsidRDefault="0084507A" w:rsidP="0084507A">
      <w:pPr>
        <w:spacing w:before="0" w:after="0"/>
        <w:ind w:firstLine="709"/>
        <w:rPr>
          <w:rFonts w:ascii="Times New Roman" w:eastAsia="TimesNewRomanPSMT" w:hAnsi="Times New Roman" w:cs="Times New Roman"/>
          <w:bCs/>
          <w:sz w:val="24"/>
          <w:szCs w:val="24"/>
        </w:rPr>
      </w:pPr>
      <w:proofErr w:type="gramStart"/>
      <w:r w:rsidRPr="0066263B">
        <w:rPr>
          <w:rFonts w:ascii="Times New Roman" w:eastAsia="TimesNewRomanPSMT" w:hAnsi="Times New Roman" w:cs="Times New Roman"/>
          <w:bCs/>
          <w:sz w:val="24"/>
          <w:szCs w:val="24"/>
        </w:rPr>
        <w:t xml:space="preserve">Среди женского населения области распространённость прочих отравлений со смертельным исходом в 2021 году отмечалась на уровне 0,07 на 100 тыс. населения, </w:t>
      </w:r>
      <w:r w:rsidRPr="0066263B">
        <w:rPr>
          <w:rFonts w:ascii="Times New Roman" w:eastAsia="TimesNewRomanPSMT" w:hAnsi="Times New Roman" w:cs="Times New Roman"/>
          <w:bCs/>
          <w:sz w:val="24"/>
          <w:szCs w:val="24"/>
        </w:rPr>
        <w:lastRenderedPageBreak/>
        <w:t>среди мужчин – 0,23 на 100 тыс. населения (2020 – 0,05 на 100 тыс. нас., среди мужчин – 0,20 на 100 тыс. нас.; 2019 – 0,08 на 100 тыс. нас., среди мужчин – 0,</w:t>
      </w:r>
      <w:r w:rsidR="002A0981" w:rsidRPr="0066263B">
        <w:rPr>
          <w:rFonts w:ascii="Times New Roman" w:eastAsia="TimesNewRomanPSMT" w:hAnsi="Times New Roman" w:cs="Times New Roman"/>
          <w:bCs/>
          <w:sz w:val="24"/>
          <w:szCs w:val="24"/>
        </w:rPr>
        <w:t>2</w:t>
      </w:r>
      <w:r w:rsidRPr="0066263B">
        <w:rPr>
          <w:rFonts w:ascii="Times New Roman" w:eastAsia="TimesNewRomanPSMT" w:hAnsi="Times New Roman" w:cs="Times New Roman"/>
          <w:bCs/>
          <w:sz w:val="24"/>
          <w:szCs w:val="24"/>
        </w:rPr>
        <w:t>5 на 100 тыс. нас.).</w:t>
      </w:r>
      <w:proofErr w:type="gramEnd"/>
    </w:p>
    <w:p w:rsidR="00324483" w:rsidRPr="0066263B" w:rsidRDefault="00324483" w:rsidP="00324483">
      <w:pPr>
        <w:spacing w:before="0" w:after="0"/>
        <w:ind w:firstLine="709"/>
        <w:rPr>
          <w:rFonts w:ascii="Times New Roman" w:eastAsia="TimesNewRomanPSMT" w:hAnsi="Times New Roman" w:cs="Times New Roman"/>
          <w:bCs/>
          <w:sz w:val="24"/>
          <w:szCs w:val="24"/>
        </w:rPr>
      </w:pPr>
    </w:p>
    <w:p w:rsidR="00324483" w:rsidRPr="0066263B" w:rsidRDefault="00324483" w:rsidP="00324483">
      <w:pPr>
        <w:spacing w:before="0" w:after="0"/>
        <w:jc w:val="center"/>
        <w:rPr>
          <w:rFonts w:ascii="Times New Roman" w:eastAsia="TimesNewRomanPSMT" w:hAnsi="Times New Roman" w:cs="Times New Roman"/>
          <w:bCs/>
          <w:sz w:val="24"/>
          <w:szCs w:val="24"/>
        </w:rPr>
      </w:pPr>
      <w:r w:rsidRPr="0066263B">
        <w:rPr>
          <w:rFonts w:ascii="Times New Roman" w:eastAsia="TimesNewRomanPSMT" w:hAnsi="Times New Roman" w:cs="Times New Roman"/>
          <w:bCs/>
          <w:noProof/>
          <w:sz w:val="24"/>
          <w:szCs w:val="24"/>
          <w:lang w:eastAsia="ru-RU"/>
        </w:rPr>
        <w:drawing>
          <wp:inline distT="0" distB="0" distL="0" distR="0">
            <wp:extent cx="5756745" cy="2965837"/>
            <wp:effectExtent l="0" t="0" r="0" b="0"/>
            <wp:docPr id="76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24483" w:rsidRPr="0066263B" w:rsidRDefault="00324483" w:rsidP="00324483">
      <w:pPr>
        <w:spacing w:before="0" w:after="0"/>
        <w:jc w:val="center"/>
        <w:rPr>
          <w:rFonts w:ascii="Times New Roman" w:eastAsia="TimesNewRomanPS-BoldMT" w:hAnsi="Times New Roman" w:cs="Times New Roman"/>
          <w:bCs/>
        </w:rPr>
      </w:pPr>
      <w:r w:rsidRPr="0066263B">
        <w:rPr>
          <w:rFonts w:ascii="Times New Roman" w:eastAsia="Calibri" w:hAnsi="Times New Roman" w:cs="Times New Roman"/>
          <w:b/>
        </w:rPr>
        <w:t xml:space="preserve">Рис. </w:t>
      </w:r>
      <w:r w:rsidR="006C34E2" w:rsidRPr="0066263B">
        <w:rPr>
          <w:rFonts w:ascii="Times New Roman" w:eastAsia="Calibri" w:hAnsi="Times New Roman" w:cs="Times New Roman"/>
          <w:b/>
        </w:rPr>
        <w:fldChar w:fldCharType="begin"/>
      </w:r>
      <w:r w:rsidRPr="0066263B">
        <w:rPr>
          <w:rFonts w:ascii="Times New Roman" w:eastAsia="Calibri" w:hAnsi="Times New Roman" w:cs="Times New Roman"/>
          <w:b/>
        </w:rPr>
        <w:instrText xml:space="preserve"> SEQ Рис._№ \* ARABIC </w:instrText>
      </w:r>
      <w:r w:rsidR="006C34E2" w:rsidRPr="0066263B">
        <w:rPr>
          <w:rFonts w:ascii="Times New Roman" w:eastAsia="Calibri" w:hAnsi="Times New Roman" w:cs="Times New Roman"/>
          <w:b/>
        </w:rPr>
        <w:fldChar w:fldCharType="separate"/>
      </w:r>
      <w:r w:rsidR="00EC1D99">
        <w:rPr>
          <w:rFonts w:ascii="Times New Roman" w:eastAsia="Calibri" w:hAnsi="Times New Roman" w:cs="Times New Roman"/>
          <w:b/>
          <w:noProof/>
        </w:rPr>
        <w:t>56</w:t>
      </w:r>
      <w:r w:rsidR="006C34E2" w:rsidRPr="0066263B">
        <w:rPr>
          <w:rFonts w:ascii="Times New Roman" w:eastAsia="Calibri" w:hAnsi="Times New Roman" w:cs="Times New Roman"/>
          <w:b/>
        </w:rPr>
        <w:fldChar w:fldCharType="end"/>
      </w:r>
      <w:r w:rsidRPr="0066263B">
        <w:rPr>
          <w:rFonts w:ascii="Times New Roman" w:eastAsia="TimesNewRomanPSMT" w:hAnsi="Times New Roman" w:cs="Times New Roman"/>
          <w:b/>
        </w:rPr>
        <w:t>.</w:t>
      </w:r>
      <w:r w:rsidRPr="0066263B">
        <w:rPr>
          <w:rFonts w:ascii="Times New Roman" w:eastAsia="TimesNewRomanPS-BoldMT" w:hAnsi="Times New Roman" w:cs="Times New Roman"/>
          <w:b/>
          <w:bCs/>
        </w:rPr>
        <w:t xml:space="preserve"> </w:t>
      </w:r>
      <w:r w:rsidRPr="0066263B">
        <w:rPr>
          <w:rFonts w:ascii="Times New Roman" w:eastAsia="TimesNewRomanPS-BoldMT" w:hAnsi="Times New Roman" w:cs="Times New Roman"/>
          <w:bCs/>
        </w:rPr>
        <w:t>Динамика прочих отравлений со смертельным исходом на территории Брянской,</w:t>
      </w:r>
      <w:r w:rsidRPr="0066263B">
        <w:rPr>
          <w:rFonts w:ascii="Times New Roman" w:eastAsia="TimesNewRomanPS-BoldMT" w:hAnsi="Times New Roman" w:cs="Times New Roman"/>
          <w:bCs/>
        </w:rPr>
        <w:br/>
        <w:t>на 100 тыс. населения</w:t>
      </w:r>
    </w:p>
    <w:p w:rsidR="00BA5F0A" w:rsidRPr="0066263B" w:rsidRDefault="00BA5F0A" w:rsidP="00324483">
      <w:pPr>
        <w:spacing w:before="0" w:after="0"/>
        <w:ind w:firstLine="709"/>
        <w:rPr>
          <w:rFonts w:ascii="Times New Roman" w:eastAsia="Times New Roman" w:hAnsi="Times New Roman" w:cs="Times New Roman"/>
          <w:sz w:val="24"/>
          <w:szCs w:val="24"/>
          <w:lang w:eastAsia="ru-RU"/>
        </w:rPr>
      </w:pPr>
      <w:bookmarkStart w:id="9" w:name="_Toc2253828"/>
    </w:p>
    <w:p w:rsidR="00324483" w:rsidRPr="0066263B" w:rsidRDefault="00324483" w:rsidP="00745E5D">
      <w:pPr>
        <w:jc w:val="center"/>
        <w:rPr>
          <w:rFonts w:ascii="Times New Roman" w:eastAsia="TimesNewRomanPS-BoldMT" w:hAnsi="Times New Roman" w:cs="Times New Roman"/>
          <w:b/>
          <w:bCs/>
          <w:i/>
          <w:sz w:val="24"/>
          <w:szCs w:val="24"/>
        </w:rPr>
      </w:pPr>
      <w:r w:rsidRPr="0066263B">
        <w:rPr>
          <w:rFonts w:ascii="Times New Roman" w:eastAsia="TimesNewRomanPS-BoldMT" w:hAnsi="Times New Roman" w:cs="Times New Roman"/>
          <w:b/>
          <w:bCs/>
          <w:i/>
          <w:sz w:val="24"/>
          <w:szCs w:val="24"/>
        </w:rPr>
        <w:t>Сведения о профессиональной заболеваемости</w:t>
      </w:r>
      <w:bookmarkEnd w:id="9"/>
    </w:p>
    <w:p w:rsidR="008E3293" w:rsidRPr="0066263B" w:rsidRDefault="008E3293" w:rsidP="008E329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Брянской области практически в 2 раза возросло число зарегистрированных случаев профессиональной патологии с 18 в 2020 году до 32 в 2021 году. Число пострадавших работников вследствие профессионального заболевания по сравнению с 2020 годом также выросло и составило 31 человек (2020 – 18; 2019 – 9; 2020 – 18).</w:t>
      </w:r>
    </w:p>
    <w:p w:rsidR="008E3293" w:rsidRPr="0066263B" w:rsidRDefault="008E3293" w:rsidP="008E329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Групповых случаев не зарегистрировано.</w:t>
      </w:r>
    </w:p>
    <w:p w:rsidR="008E3293" w:rsidRPr="0066263B" w:rsidRDefault="008E3293" w:rsidP="008E329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w:t>
      </w:r>
      <w:r w:rsidR="00FE713D" w:rsidRPr="0066263B">
        <w:rPr>
          <w:rFonts w:ascii="Times New Roman" w:eastAsia="Times New Roman" w:hAnsi="Times New Roman" w:cs="Times New Roman"/>
          <w:sz w:val="24"/>
          <w:szCs w:val="24"/>
          <w:lang w:eastAsia="ru-RU"/>
        </w:rPr>
        <w:t>7</w:t>
      </w:r>
      <w:r w:rsidRPr="0066263B">
        <w:rPr>
          <w:rFonts w:ascii="Times New Roman" w:eastAsia="Times New Roman" w:hAnsi="Times New Roman" w:cs="Times New Roman"/>
          <w:sz w:val="24"/>
          <w:szCs w:val="24"/>
          <w:lang w:eastAsia="ru-RU"/>
        </w:rPr>
        <w:t xml:space="preserve"> случаев профзаболеваний у 1</w:t>
      </w:r>
      <w:r w:rsidR="00FE713D" w:rsidRPr="0066263B">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 xml:space="preserve"> пострадавших зарегистрировано на одном предприятии – АО «Производственное объединение «</w:t>
      </w:r>
      <w:proofErr w:type="spellStart"/>
      <w:r w:rsidRPr="0066263B">
        <w:rPr>
          <w:rFonts w:ascii="Times New Roman" w:eastAsia="Times New Roman" w:hAnsi="Times New Roman" w:cs="Times New Roman"/>
          <w:sz w:val="24"/>
          <w:szCs w:val="24"/>
          <w:lang w:eastAsia="ru-RU"/>
        </w:rPr>
        <w:t>Бежицкая</w:t>
      </w:r>
      <w:proofErr w:type="spellEnd"/>
      <w:r w:rsidRPr="0066263B">
        <w:rPr>
          <w:rFonts w:ascii="Times New Roman" w:eastAsia="Times New Roman" w:hAnsi="Times New Roman" w:cs="Times New Roman"/>
          <w:sz w:val="24"/>
          <w:szCs w:val="24"/>
          <w:lang w:eastAsia="ru-RU"/>
        </w:rPr>
        <w:t xml:space="preserve"> сталь», </w:t>
      </w:r>
      <w:r w:rsidR="00FE713D" w:rsidRPr="0066263B">
        <w:rPr>
          <w:rFonts w:ascii="Times New Roman" w:eastAsia="Times New Roman" w:hAnsi="Times New Roman" w:cs="Times New Roman"/>
          <w:sz w:val="24"/>
          <w:szCs w:val="24"/>
          <w:lang w:eastAsia="ru-RU"/>
        </w:rPr>
        <w:t>15</w:t>
      </w:r>
      <w:r w:rsidRPr="0066263B">
        <w:rPr>
          <w:rFonts w:ascii="Times New Roman" w:eastAsia="Times New Roman" w:hAnsi="Times New Roman" w:cs="Times New Roman"/>
          <w:sz w:val="24"/>
          <w:szCs w:val="24"/>
          <w:lang w:eastAsia="ru-RU"/>
        </w:rPr>
        <w:t xml:space="preserve"> случа</w:t>
      </w:r>
      <w:r w:rsidR="00FE713D" w:rsidRPr="0066263B">
        <w:rPr>
          <w:rFonts w:ascii="Times New Roman" w:eastAsia="Times New Roman" w:hAnsi="Times New Roman" w:cs="Times New Roman"/>
          <w:sz w:val="24"/>
          <w:szCs w:val="24"/>
          <w:lang w:eastAsia="ru-RU"/>
        </w:rPr>
        <w:t>ев</w:t>
      </w:r>
      <w:r w:rsidRPr="0066263B">
        <w:rPr>
          <w:rFonts w:ascii="Times New Roman" w:eastAsia="Times New Roman" w:hAnsi="Times New Roman" w:cs="Times New Roman"/>
          <w:sz w:val="24"/>
          <w:szCs w:val="24"/>
          <w:lang w:eastAsia="ru-RU"/>
        </w:rPr>
        <w:t xml:space="preserve"> инфекционного заболевания (</w:t>
      </w:r>
      <w:r w:rsidR="00FE713D" w:rsidRPr="0066263B">
        <w:rPr>
          <w:rFonts w:ascii="Times New Roman" w:eastAsia="Times New Roman" w:hAnsi="Times New Roman" w:cs="Times New Roman"/>
          <w:sz w:val="24"/>
          <w:szCs w:val="24"/>
        </w:rPr>
        <w:t xml:space="preserve">14 </w:t>
      </w:r>
      <w:r w:rsidR="00FE713D" w:rsidRPr="0066263B">
        <w:rPr>
          <w:rFonts w:ascii="Times New Roman" w:eastAsia="Times New Roman" w:hAnsi="Times New Roman" w:cs="Times New Roman"/>
          <w:sz w:val="24"/>
          <w:szCs w:val="24"/>
          <w:lang w:eastAsia="ru-RU"/>
        </w:rPr>
        <w:t xml:space="preserve">– </w:t>
      </w:r>
      <w:r w:rsidR="00FE713D" w:rsidRPr="0066263B">
        <w:rPr>
          <w:rFonts w:ascii="Times New Roman" w:eastAsia="Times New Roman" w:hAnsi="Times New Roman" w:cs="Times New Roman"/>
          <w:sz w:val="24"/>
          <w:szCs w:val="24"/>
        </w:rPr>
        <w:t xml:space="preserve">COVID-19; 1 </w:t>
      </w:r>
      <w:r w:rsidR="00FE713D" w:rsidRPr="0066263B">
        <w:rPr>
          <w:rFonts w:ascii="Times New Roman" w:eastAsia="Times New Roman" w:hAnsi="Times New Roman" w:cs="Times New Roman"/>
          <w:sz w:val="24"/>
          <w:szCs w:val="24"/>
          <w:lang w:eastAsia="ru-RU"/>
        </w:rPr>
        <w:t xml:space="preserve">– </w:t>
      </w:r>
      <w:r w:rsidR="00FE713D" w:rsidRPr="0066263B">
        <w:rPr>
          <w:rFonts w:ascii="Times New Roman" w:eastAsia="Times New Roman" w:hAnsi="Times New Roman" w:cs="Times New Roman"/>
          <w:sz w:val="24"/>
          <w:szCs w:val="24"/>
        </w:rPr>
        <w:t>туберкулёз</w:t>
      </w:r>
      <w:r w:rsidRPr="0066263B">
        <w:rPr>
          <w:rFonts w:ascii="Times New Roman" w:eastAsia="Times New Roman" w:hAnsi="Times New Roman" w:cs="Times New Roman"/>
          <w:sz w:val="24"/>
          <w:szCs w:val="24"/>
          <w:lang w:eastAsia="ru-RU"/>
        </w:rPr>
        <w:t xml:space="preserve">) у </w:t>
      </w:r>
      <w:r w:rsidR="00FE713D" w:rsidRPr="0066263B">
        <w:rPr>
          <w:rFonts w:ascii="Times New Roman" w:eastAsia="Times New Roman" w:hAnsi="Times New Roman" w:cs="Times New Roman"/>
          <w:sz w:val="24"/>
          <w:szCs w:val="24"/>
          <w:lang w:eastAsia="ru-RU"/>
        </w:rPr>
        <w:t>15</w:t>
      </w:r>
      <w:r w:rsidRPr="0066263B">
        <w:rPr>
          <w:rFonts w:ascii="Times New Roman" w:eastAsia="Times New Roman" w:hAnsi="Times New Roman" w:cs="Times New Roman"/>
          <w:sz w:val="24"/>
          <w:szCs w:val="24"/>
          <w:lang w:eastAsia="ru-RU"/>
        </w:rPr>
        <w:t xml:space="preserve"> медицинских работников.</w:t>
      </w:r>
    </w:p>
    <w:p w:rsidR="008E3293" w:rsidRPr="0066263B" w:rsidRDefault="008E3293" w:rsidP="008E329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предприятии АО «Производственное объединение «</w:t>
      </w:r>
      <w:proofErr w:type="spellStart"/>
      <w:r w:rsidRPr="0066263B">
        <w:rPr>
          <w:rFonts w:ascii="Times New Roman" w:eastAsia="Times New Roman" w:hAnsi="Times New Roman" w:cs="Times New Roman"/>
          <w:sz w:val="24"/>
          <w:szCs w:val="24"/>
          <w:lang w:eastAsia="ru-RU"/>
        </w:rPr>
        <w:t>Бежицкая</w:t>
      </w:r>
      <w:proofErr w:type="spellEnd"/>
      <w:r w:rsidRPr="0066263B">
        <w:rPr>
          <w:rFonts w:ascii="Times New Roman" w:eastAsia="Times New Roman" w:hAnsi="Times New Roman" w:cs="Times New Roman"/>
          <w:sz w:val="24"/>
          <w:szCs w:val="24"/>
          <w:lang w:eastAsia="ru-RU"/>
        </w:rPr>
        <w:t xml:space="preserve"> сталь» продолжается эксплуатация морально и физически устаревшего технологического оборудования, в том числе </w:t>
      </w:r>
      <w:proofErr w:type="spellStart"/>
      <w:r w:rsidRPr="0066263B">
        <w:rPr>
          <w:rFonts w:ascii="Times New Roman" w:eastAsia="Times New Roman" w:hAnsi="Times New Roman" w:cs="Times New Roman"/>
          <w:sz w:val="24"/>
          <w:szCs w:val="24"/>
          <w:lang w:eastAsia="ru-RU"/>
        </w:rPr>
        <w:t>шум</w:t>
      </w:r>
      <w:proofErr w:type="gramStart"/>
      <w:r w:rsidRPr="0066263B">
        <w:rPr>
          <w:rFonts w:ascii="Times New Roman" w:eastAsia="Times New Roman" w:hAnsi="Times New Roman" w:cs="Times New Roman"/>
          <w:sz w:val="24"/>
          <w:szCs w:val="24"/>
          <w:lang w:eastAsia="ru-RU"/>
        </w:rPr>
        <w:t>о</w:t>
      </w:r>
      <w:proofErr w:type="spellEnd"/>
      <w:r w:rsidRPr="0066263B">
        <w:rPr>
          <w:rFonts w:ascii="Times New Roman" w:eastAsia="Times New Roman" w:hAnsi="Times New Roman" w:cs="Times New Roman"/>
          <w:sz w:val="24"/>
          <w:szCs w:val="24"/>
          <w:lang w:eastAsia="ru-RU"/>
        </w:rPr>
        <w:t>-</w:t>
      </w:r>
      <w:proofErr w:type="gramEnd"/>
      <w:r w:rsidRPr="0066263B">
        <w:rPr>
          <w:rFonts w:ascii="Times New Roman" w:eastAsia="Times New Roman" w:hAnsi="Times New Roman" w:cs="Times New Roman"/>
          <w:sz w:val="24"/>
          <w:szCs w:val="24"/>
          <w:lang w:eastAsia="ru-RU"/>
        </w:rPr>
        <w:t xml:space="preserve"> и </w:t>
      </w:r>
      <w:proofErr w:type="spellStart"/>
      <w:r w:rsidRPr="0066263B">
        <w:rPr>
          <w:rFonts w:ascii="Times New Roman" w:eastAsia="Times New Roman" w:hAnsi="Times New Roman" w:cs="Times New Roman"/>
          <w:sz w:val="24"/>
          <w:szCs w:val="24"/>
          <w:lang w:eastAsia="ru-RU"/>
        </w:rPr>
        <w:t>виброопасного</w:t>
      </w:r>
      <w:proofErr w:type="spellEnd"/>
      <w:r w:rsidRPr="0066263B">
        <w:rPr>
          <w:rFonts w:ascii="Times New Roman" w:eastAsia="Times New Roman" w:hAnsi="Times New Roman" w:cs="Times New Roman"/>
          <w:sz w:val="24"/>
          <w:szCs w:val="24"/>
          <w:lang w:eastAsia="ru-RU"/>
        </w:rPr>
        <w:t>. Концентрация кремнийсодержащей пыли на рабочих местах превышает ПДК до 12 раз. Уровни шума на рабочих местах составляют 90-110 </w:t>
      </w:r>
      <w:proofErr w:type="spellStart"/>
      <w:r w:rsidRPr="0066263B">
        <w:rPr>
          <w:rFonts w:ascii="Times New Roman" w:eastAsia="Times New Roman" w:hAnsi="Times New Roman" w:cs="Times New Roman"/>
          <w:sz w:val="24"/>
          <w:szCs w:val="24"/>
          <w:lang w:eastAsia="ru-RU"/>
        </w:rPr>
        <w:t>дБА</w:t>
      </w:r>
      <w:proofErr w:type="spellEnd"/>
      <w:r w:rsidRPr="0066263B">
        <w:rPr>
          <w:rFonts w:ascii="Times New Roman" w:eastAsia="Times New Roman" w:hAnsi="Times New Roman" w:cs="Times New Roman"/>
          <w:sz w:val="24"/>
          <w:szCs w:val="24"/>
          <w:lang w:eastAsia="ru-RU"/>
        </w:rPr>
        <w:t xml:space="preserve">, (на участках обрубки литейных цехов). Используется </w:t>
      </w:r>
      <w:proofErr w:type="spellStart"/>
      <w:r w:rsidRPr="0066263B">
        <w:rPr>
          <w:rFonts w:ascii="Times New Roman" w:eastAsia="Times New Roman" w:hAnsi="Times New Roman" w:cs="Times New Roman"/>
          <w:sz w:val="24"/>
          <w:szCs w:val="24"/>
          <w:lang w:eastAsia="ru-RU"/>
        </w:rPr>
        <w:t>виброопасный</w:t>
      </w:r>
      <w:proofErr w:type="spellEnd"/>
      <w:r w:rsidRPr="0066263B">
        <w:rPr>
          <w:rFonts w:ascii="Times New Roman" w:eastAsia="Times New Roman" w:hAnsi="Times New Roman" w:cs="Times New Roman"/>
          <w:sz w:val="24"/>
          <w:szCs w:val="24"/>
          <w:lang w:eastAsia="ru-RU"/>
        </w:rPr>
        <w:t xml:space="preserve"> ручной </w:t>
      </w:r>
      <w:proofErr w:type="spellStart"/>
      <w:r w:rsidRPr="0066263B">
        <w:rPr>
          <w:rFonts w:ascii="Times New Roman" w:eastAsia="Times New Roman" w:hAnsi="Times New Roman" w:cs="Times New Roman"/>
          <w:sz w:val="24"/>
          <w:szCs w:val="24"/>
          <w:lang w:eastAsia="ru-RU"/>
        </w:rPr>
        <w:t>пневмоинструмент</w:t>
      </w:r>
      <w:proofErr w:type="spellEnd"/>
      <w:r w:rsidRPr="0066263B">
        <w:rPr>
          <w:rFonts w:ascii="Times New Roman" w:eastAsia="Times New Roman" w:hAnsi="Times New Roman" w:cs="Times New Roman"/>
          <w:sz w:val="24"/>
          <w:szCs w:val="24"/>
          <w:lang w:eastAsia="ru-RU"/>
        </w:rPr>
        <w:t xml:space="preserve"> (обрубные молотки, </w:t>
      </w:r>
      <w:proofErr w:type="spellStart"/>
      <w:r w:rsidRPr="0066263B">
        <w:rPr>
          <w:rFonts w:ascii="Times New Roman" w:eastAsia="Times New Roman" w:hAnsi="Times New Roman" w:cs="Times New Roman"/>
          <w:sz w:val="24"/>
          <w:szCs w:val="24"/>
          <w:lang w:eastAsia="ru-RU"/>
        </w:rPr>
        <w:t>пневмотрамбовки</w:t>
      </w:r>
      <w:proofErr w:type="spellEnd"/>
      <w:r w:rsidRPr="0066263B">
        <w:rPr>
          <w:rFonts w:ascii="Times New Roman" w:eastAsia="Times New Roman" w:hAnsi="Times New Roman" w:cs="Times New Roman"/>
          <w:sz w:val="24"/>
          <w:szCs w:val="24"/>
          <w:lang w:eastAsia="ru-RU"/>
        </w:rPr>
        <w:t>), создающий локальную вибрацию, превышающую ПДУ более чем на 12 дБ. По этим причинам на ОАО «Производственное объединение «</w:t>
      </w:r>
      <w:proofErr w:type="spellStart"/>
      <w:r w:rsidRPr="0066263B">
        <w:rPr>
          <w:rFonts w:ascii="Times New Roman" w:eastAsia="Times New Roman" w:hAnsi="Times New Roman" w:cs="Times New Roman"/>
          <w:sz w:val="24"/>
          <w:szCs w:val="24"/>
          <w:lang w:eastAsia="ru-RU"/>
        </w:rPr>
        <w:t>Бежицкая</w:t>
      </w:r>
      <w:proofErr w:type="spellEnd"/>
      <w:r w:rsidRPr="0066263B">
        <w:rPr>
          <w:rFonts w:ascii="Times New Roman" w:eastAsia="Times New Roman" w:hAnsi="Times New Roman" w:cs="Times New Roman"/>
          <w:sz w:val="24"/>
          <w:szCs w:val="24"/>
          <w:lang w:eastAsia="ru-RU"/>
        </w:rPr>
        <w:t xml:space="preserve"> сталь» регулярно регистрируются профзаболевания среди рабочих литейных цехов, ТОЦ.</w:t>
      </w:r>
    </w:p>
    <w:p w:rsidR="008E3293" w:rsidRPr="0066263B" w:rsidRDefault="008E3293" w:rsidP="008E3293">
      <w:pPr>
        <w:spacing w:before="0" w:after="0"/>
        <w:ind w:firstLine="709"/>
        <w:rPr>
          <w:rFonts w:ascii="Times New Roman" w:eastAsia="Times New Roman" w:hAnsi="Times New Roman" w:cs="Times New Roman"/>
          <w:sz w:val="24"/>
          <w:szCs w:val="24"/>
          <w:lang w:eastAsia="ru-RU"/>
        </w:rPr>
      </w:pPr>
    </w:p>
    <w:p w:rsidR="008E3293" w:rsidRPr="0066263B" w:rsidRDefault="008E3293" w:rsidP="008E329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пересчёте на 10 000 работающих </w:t>
      </w:r>
      <w:proofErr w:type="spellStart"/>
      <w:r w:rsidRPr="0066263B">
        <w:rPr>
          <w:rFonts w:ascii="Times New Roman" w:eastAsia="Times New Roman" w:hAnsi="Times New Roman" w:cs="Times New Roman"/>
          <w:sz w:val="24"/>
          <w:szCs w:val="24"/>
          <w:lang w:eastAsia="ru-RU"/>
        </w:rPr>
        <w:t>профзаболеваемость</w:t>
      </w:r>
      <w:proofErr w:type="spellEnd"/>
      <w:r w:rsidRPr="0066263B">
        <w:rPr>
          <w:rFonts w:ascii="Times New Roman" w:eastAsia="Times New Roman" w:hAnsi="Times New Roman" w:cs="Times New Roman"/>
          <w:sz w:val="24"/>
          <w:szCs w:val="24"/>
          <w:lang w:eastAsia="ru-RU"/>
        </w:rPr>
        <w:t xml:space="preserve"> в 2021 году составила 1,9</w:t>
      </w:r>
      <w:r w:rsidR="0057363C">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что выше показателей 2019 и 2020 годов. В 2021 году в Брянской области показатель </w:t>
      </w:r>
      <w:proofErr w:type="spellStart"/>
      <w:r w:rsidRPr="0066263B">
        <w:rPr>
          <w:rFonts w:ascii="Times New Roman" w:eastAsia="Times New Roman" w:hAnsi="Times New Roman" w:cs="Times New Roman"/>
          <w:sz w:val="24"/>
          <w:szCs w:val="24"/>
          <w:lang w:eastAsia="ru-RU"/>
        </w:rPr>
        <w:t>профзаболеваемости</w:t>
      </w:r>
      <w:proofErr w:type="spellEnd"/>
      <w:r w:rsidRPr="0066263B">
        <w:rPr>
          <w:rFonts w:ascii="Times New Roman" w:eastAsia="Times New Roman" w:hAnsi="Times New Roman" w:cs="Times New Roman"/>
          <w:sz w:val="24"/>
          <w:szCs w:val="24"/>
          <w:lang w:eastAsia="ru-RU"/>
        </w:rPr>
        <w:t xml:space="preserve"> увеличился, в отличие от динамики в целом по стране (РФ 2020 – 0,78</w:t>
      </w:r>
      <w:r w:rsidR="00DF2A04" w:rsidRPr="0066263B">
        <w:rPr>
          <w:rFonts w:ascii="Times New Roman" w:eastAsia="Times New Roman" w:hAnsi="Times New Roman" w:cs="Times New Roman"/>
          <w:sz w:val="24"/>
          <w:szCs w:val="24"/>
          <w:lang w:eastAsia="ru-RU"/>
        </w:rPr>
        <w:t xml:space="preserve"> на 10 000 работающих</w:t>
      </w:r>
      <w:r w:rsidRPr="0066263B">
        <w:rPr>
          <w:rFonts w:ascii="Times New Roman" w:eastAsia="Times New Roman" w:hAnsi="Times New Roman" w:cs="Times New Roman"/>
          <w:sz w:val="24"/>
          <w:szCs w:val="24"/>
          <w:lang w:eastAsia="ru-RU"/>
        </w:rPr>
        <w:t>; 2019 – 1,03</w:t>
      </w:r>
      <w:r w:rsidR="00DF2A04" w:rsidRPr="0066263B">
        <w:rPr>
          <w:rFonts w:ascii="Times New Roman" w:eastAsia="Times New Roman" w:hAnsi="Times New Roman" w:cs="Times New Roman"/>
          <w:sz w:val="24"/>
          <w:szCs w:val="24"/>
          <w:lang w:eastAsia="ru-RU"/>
        </w:rPr>
        <w:t xml:space="preserve"> на 10 000 работающих</w:t>
      </w:r>
      <w:r w:rsidRPr="0066263B">
        <w:rPr>
          <w:rFonts w:ascii="Times New Roman" w:eastAsia="Times New Roman" w:hAnsi="Times New Roman" w:cs="Times New Roman"/>
          <w:sz w:val="24"/>
          <w:szCs w:val="24"/>
          <w:lang w:eastAsia="ru-RU"/>
        </w:rPr>
        <w:t>).</w:t>
      </w:r>
    </w:p>
    <w:p w:rsidR="008E3293" w:rsidRPr="0066263B" w:rsidRDefault="008E3293" w:rsidP="003917A9">
      <w:pPr>
        <w:spacing w:before="0" w:after="0"/>
        <w:ind w:firstLine="709"/>
        <w:rPr>
          <w:rFonts w:ascii="Times New Roman" w:eastAsia="Times New Roman" w:hAnsi="Times New Roman" w:cs="Times New Roman"/>
          <w:sz w:val="24"/>
          <w:szCs w:val="24"/>
          <w:lang w:eastAsia="ru-RU"/>
        </w:rPr>
      </w:pPr>
    </w:p>
    <w:p w:rsidR="008E3293" w:rsidRPr="0066263B" w:rsidRDefault="008E3293" w:rsidP="003917A9">
      <w:pPr>
        <w:spacing w:before="0" w:after="0"/>
        <w:ind w:firstLine="709"/>
        <w:rPr>
          <w:rFonts w:ascii="Times New Roman" w:eastAsia="Times New Roman" w:hAnsi="Times New Roman" w:cs="Times New Roman"/>
          <w:sz w:val="24"/>
          <w:szCs w:val="24"/>
          <w:lang w:eastAsia="ru-RU"/>
        </w:rPr>
      </w:pPr>
    </w:p>
    <w:p w:rsidR="00FE713D" w:rsidRPr="0066263B" w:rsidRDefault="00FE713D" w:rsidP="003917A9">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66</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Профессиональная заболеваемость</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6"/>
        <w:gridCol w:w="966"/>
        <w:gridCol w:w="966"/>
        <w:gridCol w:w="966"/>
        <w:gridCol w:w="966"/>
      </w:tblGrid>
      <w:tr w:rsidR="00297951" w:rsidRPr="0066263B" w:rsidTr="00297951">
        <w:trPr>
          <w:trHeight w:val="189"/>
        </w:trPr>
        <w:tc>
          <w:tcPr>
            <w:tcW w:w="2872" w:type="pct"/>
            <w:tcBorders>
              <w:top w:val="single" w:sz="4" w:space="0" w:color="auto"/>
              <w:left w:val="single" w:sz="4" w:space="0" w:color="auto"/>
              <w:bottom w:val="single" w:sz="4" w:space="0" w:color="auto"/>
              <w:right w:val="single" w:sz="4" w:space="0" w:color="auto"/>
            </w:tcBorders>
          </w:tcPr>
          <w:p w:rsidR="00297951" w:rsidRPr="0066263B" w:rsidRDefault="00297951" w:rsidP="003917A9">
            <w:pPr>
              <w:spacing w:before="20" w:after="20"/>
              <w:jc w:val="center"/>
              <w:rPr>
                <w:rFonts w:ascii="Times New Roman" w:eastAsia="Times New Roman" w:hAnsi="Times New Roman" w:cs="Times New Roman"/>
                <w:b/>
                <w:bCs/>
                <w:i/>
                <w:iCs/>
                <w:lang w:eastAsia="ru-RU"/>
              </w:rPr>
            </w:pP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297951" w:rsidP="003917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297951" w:rsidRPr="0066263B" w:rsidTr="00297951">
        <w:tc>
          <w:tcPr>
            <w:tcW w:w="2872" w:type="pct"/>
            <w:tcBorders>
              <w:top w:val="single" w:sz="4" w:space="0" w:color="auto"/>
              <w:left w:val="single" w:sz="4" w:space="0" w:color="auto"/>
              <w:bottom w:val="single" w:sz="4" w:space="0" w:color="auto"/>
              <w:right w:val="single" w:sz="4" w:space="0" w:color="auto"/>
            </w:tcBorders>
          </w:tcPr>
          <w:p w:rsidR="00297951" w:rsidRPr="0066263B" w:rsidRDefault="00297951" w:rsidP="003917A9">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Число пострадавших</w:t>
            </w: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w:t>
            </w: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8E3293"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w:t>
            </w:r>
          </w:p>
        </w:tc>
      </w:tr>
      <w:tr w:rsidR="00297951" w:rsidRPr="0066263B" w:rsidTr="00304FCF">
        <w:tc>
          <w:tcPr>
            <w:tcW w:w="2872" w:type="pct"/>
            <w:tcBorders>
              <w:top w:val="single" w:sz="4" w:space="0" w:color="auto"/>
              <w:left w:val="single" w:sz="4" w:space="0" w:color="auto"/>
              <w:bottom w:val="single" w:sz="4" w:space="0" w:color="auto"/>
              <w:right w:val="single" w:sz="4" w:space="0" w:color="auto"/>
            </w:tcBorders>
          </w:tcPr>
          <w:p w:rsidR="00297951" w:rsidRPr="0066263B" w:rsidRDefault="00297951" w:rsidP="003917A9">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Число пострадавших на 10 000 работающих</w:t>
            </w:r>
          </w:p>
        </w:tc>
        <w:tc>
          <w:tcPr>
            <w:tcW w:w="532"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w:t>
            </w: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w:t>
            </w:r>
          </w:p>
        </w:tc>
        <w:tc>
          <w:tcPr>
            <w:tcW w:w="532"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c>
          <w:tcPr>
            <w:tcW w:w="532" w:type="pct"/>
            <w:tcBorders>
              <w:top w:val="single" w:sz="4" w:space="0" w:color="auto"/>
              <w:left w:val="single" w:sz="4" w:space="0" w:color="auto"/>
              <w:bottom w:val="single" w:sz="4" w:space="0" w:color="auto"/>
              <w:right w:val="single" w:sz="4" w:space="0" w:color="auto"/>
            </w:tcBorders>
            <w:vAlign w:val="center"/>
          </w:tcPr>
          <w:p w:rsidR="00297951" w:rsidRPr="0066263B" w:rsidRDefault="008E3293"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w:t>
            </w:r>
          </w:p>
        </w:tc>
      </w:tr>
    </w:tbl>
    <w:p w:rsidR="003917A9" w:rsidRPr="0066263B" w:rsidRDefault="003917A9" w:rsidP="00324483">
      <w:pPr>
        <w:spacing w:before="0" w:after="0"/>
        <w:jc w:val="center"/>
        <w:rPr>
          <w:rFonts w:ascii="Times New Roman" w:eastAsia="Times New Roman" w:hAnsi="Times New Roman" w:cs="Times New Roman"/>
          <w:lang w:eastAsia="ru-RU"/>
        </w:rPr>
      </w:pPr>
    </w:p>
    <w:p w:rsidR="003917A9" w:rsidRPr="0066263B" w:rsidRDefault="003917A9" w:rsidP="00324483">
      <w:pPr>
        <w:spacing w:before="0" w:after="0"/>
        <w:jc w:val="center"/>
        <w:rPr>
          <w:rFonts w:ascii="Times New Roman" w:eastAsia="Times New Roman" w:hAnsi="Times New Roman" w:cs="Times New Roman"/>
          <w:lang w:eastAsia="ru-RU"/>
        </w:rPr>
      </w:pPr>
    </w:p>
    <w:p w:rsidR="003917A9" w:rsidRPr="0066263B" w:rsidRDefault="003917A9" w:rsidP="00324483">
      <w:pPr>
        <w:spacing w:before="0" w:after="0"/>
        <w:jc w:val="center"/>
        <w:rPr>
          <w:rFonts w:ascii="Times New Roman" w:eastAsia="Times New Roman" w:hAnsi="Times New Roman" w:cs="Times New Roman"/>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67</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Структура профессиональной заболеваемости, абс. / %</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66"/>
        <w:gridCol w:w="1236"/>
        <w:gridCol w:w="1236"/>
        <w:gridCol w:w="1236"/>
      </w:tblGrid>
      <w:tr w:rsidR="00297951" w:rsidRPr="0066263B" w:rsidTr="00297951">
        <w:trPr>
          <w:cantSplit/>
        </w:trPr>
        <w:tc>
          <w:tcPr>
            <w:tcW w:w="295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917A9">
            <w:pPr>
              <w:spacing w:before="20" w:after="20"/>
              <w:ind w:left="57"/>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Нозологическая форма</w:t>
            </w:r>
          </w:p>
        </w:tc>
        <w:tc>
          <w:tcPr>
            <w:tcW w:w="681"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681" w:type="pct"/>
            <w:tcBorders>
              <w:top w:val="single" w:sz="4" w:space="0" w:color="auto"/>
              <w:left w:val="single" w:sz="4" w:space="0" w:color="auto"/>
              <w:bottom w:val="single" w:sz="4" w:space="0" w:color="auto"/>
              <w:right w:val="single" w:sz="4" w:space="0" w:color="auto"/>
            </w:tcBorders>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681" w:type="pct"/>
            <w:tcBorders>
              <w:top w:val="single" w:sz="4" w:space="0" w:color="auto"/>
              <w:left w:val="single" w:sz="4" w:space="0" w:color="auto"/>
              <w:bottom w:val="single" w:sz="4" w:space="0" w:color="auto"/>
              <w:right w:val="single" w:sz="4" w:space="0" w:color="auto"/>
            </w:tcBorders>
          </w:tcPr>
          <w:p w:rsidR="00297951" w:rsidRPr="0066263B" w:rsidRDefault="00297951" w:rsidP="003917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DF2A04" w:rsidRPr="0066263B" w:rsidTr="00304FCF">
        <w:trPr>
          <w:cantSplit/>
        </w:trPr>
        <w:tc>
          <w:tcPr>
            <w:tcW w:w="2957"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Заболевания органов дыхания (пылевой этиологии)</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22,2</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 / 23,2</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2 / 6,3</w:t>
            </w:r>
          </w:p>
        </w:tc>
      </w:tr>
      <w:tr w:rsidR="00DF2A04" w:rsidRPr="0066263B" w:rsidTr="00222578">
        <w:trPr>
          <w:cantSplit/>
        </w:trPr>
        <w:tc>
          <w:tcPr>
            <w:tcW w:w="2957"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Заболевания опорно-двигательного аппарата</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 / 55,5</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 / 73,1</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10 / 31,3</w:t>
            </w:r>
          </w:p>
        </w:tc>
      </w:tr>
      <w:tr w:rsidR="00DF2A04" w:rsidRPr="0066263B" w:rsidTr="00222578">
        <w:trPr>
          <w:cantSplit/>
        </w:trPr>
        <w:tc>
          <w:tcPr>
            <w:tcW w:w="2957"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numPr>
                <w:ilvl w:val="0"/>
                <w:numId w:val="11"/>
              </w:numPr>
              <w:spacing w:before="20" w:after="20"/>
              <w:ind w:left="284" w:hanging="142"/>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т.ч. вибрационная болезнь</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 / 55,5</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 / 55,2</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10 / 31,3</w:t>
            </w:r>
          </w:p>
        </w:tc>
      </w:tr>
      <w:tr w:rsidR="00DF2A04" w:rsidRPr="0066263B" w:rsidTr="00222578">
        <w:trPr>
          <w:cantSplit/>
        </w:trPr>
        <w:tc>
          <w:tcPr>
            <w:tcW w:w="2957"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Заболевания органов слуха</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22,2</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 16,1</w:t>
            </w:r>
          </w:p>
        </w:tc>
        <w:tc>
          <w:tcPr>
            <w:tcW w:w="681"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5 /</w:t>
            </w:r>
            <w:r w:rsidR="00FE713D" w:rsidRPr="0066263B">
              <w:rPr>
                <w:rFonts w:ascii="Times New Roman" w:eastAsia="Times New Roman" w:hAnsi="Times New Roman" w:cs="Times New Roman"/>
              </w:rPr>
              <w:t xml:space="preserve"> </w:t>
            </w:r>
            <w:r w:rsidRPr="0066263B">
              <w:rPr>
                <w:rFonts w:ascii="Times New Roman" w:eastAsia="Times New Roman" w:hAnsi="Times New Roman" w:cs="Times New Roman"/>
              </w:rPr>
              <w:t>15,6</w:t>
            </w:r>
          </w:p>
        </w:tc>
      </w:tr>
      <w:tr w:rsidR="00DF2A04" w:rsidRPr="0066263B" w:rsidTr="00297951">
        <w:trPr>
          <w:cantSplit/>
        </w:trPr>
        <w:tc>
          <w:tcPr>
            <w:tcW w:w="2957"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Инфекционные и паразитарные заболевания</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1,8</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15 /</w:t>
            </w:r>
            <w:r w:rsidR="00FE713D" w:rsidRPr="0066263B">
              <w:rPr>
                <w:rFonts w:ascii="Times New Roman" w:eastAsia="Times New Roman" w:hAnsi="Times New Roman" w:cs="Times New Roman"/>
              </w:rPr>
              <w:t xml:space="preserve"> </w:t>
            </w:r>
            <w:r w:rsidRPr="0066263B">
              <w:rPr>
                <w:rFonts w:ascii="Times New Roman" w:eastAsia="Times New Roman" w:hAnsi="Times New Roman" w:cs="Times New Roman"/>
              </w:rPr>
              <w:t>46,8</w:t>
            </w:r>
          </w:p>
        </w:tc>
      </w:tr>
      <w:tr w:rsidR="00DF2A04" w:rsidRPr="0066263B" w:rsidTr="00297951">
        <w:trPr>
          <w:cantSplit/>
        </w:trPr>
        <w:tc>
          <w:tcPr>
            <w:tcW w:w="2957"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Прочие – всего</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297951">
        <w:trPr>
          <w:cantSplit/>
        </w:trPr>
        <w:tc>
          <w:tcPr>
            <w:tcW w:w="2957"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numPr>
                <w:ilvl w:val="0"/>
                <w:numId w:val="11"/>
              </w:numPr>
              <w:spacing w:before="20" w:after="20"/>
              <w:ind w:left="284" w:hanging="142"/>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т.ч. токсическая катаракта</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297951">
        <w:trPr>
          <w:cantSplit/>
        </w:trPr>
        <w:tc>
          <w:tcPr>
            <w:tcW w:w="2957"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Свинцовая интоксикация</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297951">
        <w:trPr>
          <w:cantSplit/>
        </w:trPr>
        <w:tc>
          <w:tcPr>
            <w:tcW w:w="2957"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Острое отравление (сероводород)</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3917A9" w:rsidRPr="0066263B" w:rsidRDefault="003917A9" w:rsidP="00324483">
      <w:pPr>
        <w:spacing w:before="0" w:after="0"/>
        <w:jc w:val="center"/>
        <w:rPr>
          <w:rFonts w:ascii="Times New Roman" w:eastAsia="Times New Roman" w:hAnsi="Times New Roman" w:cs="Times New Roman"/>
          <w:lang w:eastAsia="ru-RU"/>
        </w:rPr>
      </w:pPr>
    </w:p>
    <w:p w:rsidR="00FE713D" w:rsidRPr="0066263B" w:rsidRDefault="00FE713D" w:rsidP="00324483">
      <w:pPr>
        <w:spacing w:before="0" w:after="0"/>
        <w:jc w:val="center"/>
        <w:rPr>
          <w:rFonts w:ascii="Times New Roman" w:eastAsia="Times New Roman" w:hAnsi="Times New Roman" w:cs="Times New Roman"/>
          <w:lang w:eastAsia="ru-RU"/>
        </w:rPr>
      </w:pPr>
    </w:p>
    <w:p w:rsidR="00FE713D" w:rsidRPr="0066263B" w:rsidRDefault="00FE713D" w:rsidP="00324483">
      <w:pPr>
        <w:spacing w:before="0" w:after="0"/>
        <w:jc w:val="center"/>
        <w:rPr>
          <w:rFonts w:ascii="Times New Roman" w:eastAsia="Times New Roman" w:hAnsi="Times New Roman" w:cs="Times New Roman"/>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68</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Ранжирование отдельных отраслей по показателям профессиональной заболеваемости</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6"/>
        <w:gridCol w:w="4256"/>
        <w:gridCol w:w="745"/>
        <w:gridCol w:w="745"/>
        <w:gridCol w:w="745"/>
        <w:gridCol w:w="745"/>
      </w:tblGrid>
      <w:tr w:rsidR="00297951" w:rsidRPr="0066263B" w:rsidTr="00304FCF">
        <w:tc>
          <w:tcPr>
            <w:tcW w:w="1016"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2448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Ранговое место</w:t>
            </w:r>
          </w:p>
        </w:tc>
        <w:tc>
          <w:tcPr>
            <w:tcW w:w="2343"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2448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Отрасль</w:t>
            </w:r>
          </w:p>
        </w:tc>
        <w:tc>
          <w:tcPr>
            <w:tcW w:w="410"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410"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410"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410"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054670">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DF2A04" w:rsidRPr="0066263B" w:rsidTr="00304FCF">
        <w:tc>
          <w:tcPr>
            <w:tcW w:w="1016"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val="en-US" w:eastAsia="ru-RU"/>
              </w:rPr>
              <w:t>I</w:t>
            </w:r>
          </w:p>
        </w:tc>
        <w:tc>
          <w:tcPr>
            <w:tcW w:w="2343" w:type="pct"/>
            <w:tcBorders>
              <w:top w:val="single" w:sz="4" w:space="0" w:color="auto"/>
              <w:left w:val="single" w:sz="4" w:space="0" w:color="auto"/>
              <w:bottom w:val="single" w:sz="4" w:space="0" w:color="auto"/>
              <w:right w:val="single" w:sz="4" w:space="0" w:color="auto"/>
            </w:tcBorders>
          </w:tcPr>
          <w:p w:rsidR="00DF2A04" w:rsidRPr="0066263B" w:rsidRDefault="00DF2A04"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Тяжёлое машиностроение</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w:t>
            </w:r>
          </w:p>
        </w:tc>
      </w:tr>
      <w:tr w:rsidR="00DF2A04" w:rsidRPr="0066263B" w:rsidTr="00304FCF">
        <w:tc>
          <w:tcPr>
            <w:tcW w:w="1016"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val="en-US" w:eastAsia="ru-RU"/>
              </w:rPr>
              <w:t>II</w:t>
            </w:r>
          </w:p>
        </w:tc>
        <w:tc>
          <w:tcPr>
            <w:tcW w:w="2343" w:type="pct"/>
            <w:tcBorders>
              <w:top w:val="single" w:sz="4" w:space="0" w:color="auto"/>
              <w:left w:val="single" w:sz="4" w:space="0" w:color="auto"/>
              <w:bottom w:val="single" w:sz="4" w:space="0" w:color="auto"/>
              <w:right w:val="single" w:sz="4" w:space="0" w:color="auto"/>
            </w:tcBorders>
          </w:tcPr>
          <w:p w:rsidR="00DF2A04" w:rsidRPr="0066263B" w:rsidRDefault="00DF2A04"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Здравоохранение</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r>
      <w:tr w:rsidR="00DF2A04" w:rsidRPr="0066263B" w:rsidTr="00304FCF">
        <w:tc>
          <w:tcPr>
            <w:tcW w:w="1016"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val="en-US" w:eastAsia="ru-RU"/>
              </w:rPr>
              <w:t>III</w:t>
            </w:r>
          </w:p>
        </w:tc>
        <w:tc>
          <w:tcPr>
            <w:tcW w:w="2343" w:type="pct"/>
            <w:tcBorders>
              <w:top w:val="single" w:sz="4" w:space="0" w:color="auto"/>
              <w:left w:val="single" w:sz="4" w:space="0" w:color="auto"/>
              <w:bottom w:val="single" w:sz="4" w:space="0" w:color="auto"/>
              <w:right w:val="single" w:sz="4" w:space="0" w:color="auto"/>
            </w:tcBorders>
          </w:tcPr>
          <w:p w:rsidR="00DF2A04" w:rsidRPr="0066263B" w:rsidRDefault="00DF2A04"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Строительно-дорожное машиностроение</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10"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05467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917A9" w:rsidRPr="0066263B" w:rsidRDefault="003917A9" w:rsidP="003917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Многие годы подряд ранговое место I постоянно занимает отрасль промышленности по производству машин и оборудования, в основном за счёт АО «Производственное объединение «</w:t>
      </w:r>
      <w:proofErr w:type="spellStart"/>
      <w:r w:rsidRPr="0066263B">
        <w:rPr>
          <w:rFonts w:ascii="Times New Roman" w:eastAsia="Times New Roman" w:hAnsi="Times New Roman" w:cs="Times New Roman"/>
          <w:sz w:val="24"/>
          <w:szCs w:val="24"/>
          <w:lang w:eastAsia="ru-RU"/>
        </w:rPr>
        <w:t>Бежицкая</w:t>
      </w:r>
      <w:proofErr w:type="spellEnd"/>
      <w:r w:rsidRPr="0066263B">
        <w:rPr>
          <w:rFonts w:ascii="Times New Roman" w:eastAsia="Times New Roman" w:hAnsi="Times New Roman" w:cs="Times New Roman"/>
          <w:sz w:val="24"/>
          <w:szCs w:val="24"/>
          <w:lang w:eastAsia="ru-RU"/>
        </w:rPr>
        <w:t xml:space="preserve"> сталь».</w:t>
      </w:r>
    </w:p>
    <w:p w:rsidR="00FE713D" w:rsidRPr="0066263B" w:rsidRDefault="00FE713D" w:rsidP="003917A9">
      <w:pPr>
        <w:spacing w:before="0" w:after="0"/>
        <w:ind w:firstLine="709"/>
        <w:rPr>
          <w:rFonts w:ascii="Times New Roman" w:eastAsia="Times New Roman" w:hAnsi="Times New Roman" w:cs="Times New Roman"/>
          <w:sz w:val="24"/>
          <w:szCs w:val="24"/>
          <w:lang w:eastAsia="ru-RU"/>
        </w:rPr>
      </w:pPr>
    </w:p>
    <w:p w:rsidR="003917A9" w:rsidRPr="0066263B" w:rsidRDefault="003917A9" w:rsidP="003917A9">
      <w:pPr>
        <w:spacing w:before="120" w:after="0"/>
        <w:ind w:left="708" w:firstLine="1"/>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Анализ профессиональной заболеваемости по стажу работы</w:t>
      </w:r>
    </w:p>
    <w:p w:rsidR="003917A9" w:rsidRPr="0066263B" w:rsidRDefault="003917A9" w:rsidP="003917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Анализ профессиональной заболеваемости за 2018-202</w:t>
      </w:r>
      <w:r w:rsidR="00DF2A0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г.г. показал, что в зависимости от стажа работы регистрируется рост заболеваемости по разным нозологическим формам:</w:t>
      </w:r>
    </w:p>
    <w:p w:rsidR="003917A9" w:rsidRPr="0066263B" w:rsidRDefault="003917A9" w:rsidP="003917A9">
      <w:pPr>
        <w:spacing w:before="0" w:after="0"/>
        <w:ind w:firstLine="709"/>
        <w:rPr>
          <w:rFonts w:ascii="Times New Roman" w:eastAsia="Times New Roman" w:hAnsi="Times New Roman" w:cs="Times New Roman"/>
          <w:sz w:val="24"/>
          <w:szCs w:val="24"/>
          <w:lang w:eastAsia="ru-RU"/>
        </w:rPr>
      </w:pPr>
    </w:p>
    <w:p w:rsidR="003917A9" w:rsidRPr="0066263B" w:rsidRDefault="003917A9" w:rsidP="003917A9">
      <w:pPr>
        <w:spacing w:before="0" w:after="0"/>
        <w:ind w:firstLine="709"/>
        <w:rPr>
          <w:rFonts w:ascii="Times New Roman" w:eastAsia="Times New Roman" w:hAnsi="Times New Roman" w:cs="Times New Roman"/>
          <w:i/>
          <w:iCs/>
          <w:sz w:val="24"/>
          <w:szCs w:val="24"/>
          <w:lang w:eastAsia="ru-RU"/>
        </w:rPr>
      </w:pPr>
      <w:r w:rsidRPr="0066263B">
        <w:rPr>
          <w:rFonts w:ascii="Times New Roman" w:eastAsia="Times New Roman" w:hAnsi="Times New Roman" w:cs="Times New Roman"/>
          <w:i/>
          <w:iCs/>
          <w:sz w:val="24"/>
          <w:szCs w:val="24"/>
          <w:lang w:eastAsia="ru-RU"/>
        </w:rPr>
        <w:t>До 10 лет стажа работы</w:t>
      </w:r>
    </w:p>
    <w:p w:rsidR="003917A9" w:rsidRPr="0066263B" w:rsidRDefault="003917A9"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2018 год: не регистрировалось;</w:t>
      </w:r>
    </w:p>
    <w:p w:rsidR="003917A9" w:rsidRPr="0066263B" w:rsidRDefault="003917A9"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2019 год: вибрационная болезнь – 1 случай;</w:t>
      </w:r>
    </w:p>
    <w:p w:rsidR="00297951" w:rsidRPr="0066263B" w:rsidRDefault="003917A9"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2020 год: случаи не регистрировались</w:t>
      </w:r>
      <w:r w:rsidR="00297951" w:rsidRPr="0066263B">
        <w:rPr>
          <w:rFonts w:ascii="Times New Roman" w:eastAsia="Times New Roman" w:hAnsi="Times New Roman" w:cs="Times New Roman"/>
          <w:sz w:val="24"/>
          <w:szCs w:val="24"/>
          <w:lang w:eastAsia="ru-RU"/>
        </w:rPr>
        <w:t>;</w:t>
      </w:r>
    </w:p>
    <w:p w:rsidR="003917A9" w:rsidRPr="0066263B" w:rsidRDefault="00297951"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2021 год: </w:t>
      </w:r>
      <w:r w:rsidR="00DF2A04" w:rsidRPr="0066263B">
        <w:rPr>
          <w:rFonts w:ascii="Times New Roman" w:eastAsia="Times New Roman" w:hAnsi="Times New Roman" w:cs="Times New Roman"/>
          <w:sz w:val="24"/>
          <w:szCs w:val="24"/>
        </w:rPr>
        <w:t xml:space="preserve">вибрационная болезнь – 2 случая, </w:t>
      </w:r>
      <w:proofErr w:type="spellStart"/>
      <w:r w:rsidR="00DF2A04" w:rsidRPr="0066263B">
        <w:rPr>
          <w:rFonts w:ascii="Times New Roman" w:eastAsia="Times New Roman" w:hAnsi="Times New Roman" w:cs="Times New Roman"/>
          <w:sz w:val="24"/>
          <w:szCs w:val="24"/>
        </w:rPr>
        <w:t>нейросенсорная</w:t>
      </w:r>
      <w:proofErr w:type="spellEnd"/>
      <w:r w:rsidR="00DF2A04" w:rsidRPr="0066263B">
        <w:rPr>
          <w:rFonts w:ascii="Times New Roman" w:eastAsia="Times New Roman" w:hAnsi="Times New Roman" w:cs="Times New Roman"/>
          <w:sz w:val="24"/>
          <w:szCs w:val="24"/>
        </w:rPr>
        <w:t xml:space="preserve"> тугоухость – 1 случай</w:t>
      </w:r>
      <w:r w:rsidR="003917A9" w:rsidRPr="0066263B">
        <w:rPr>
          <w:rFonts w:ascii="Times New Roman" w:eastAsia="Times New Roman" w:hAnsi="Times New Roman" w:cs="Times New Roman"/>
          <w:sz w:val="24"/>
          <w:szCs w:val="24"/>
          <w:lang w:eastAsia="ru-RU"/>
        </w:rPr>
        <w:t>.</w:t>
      </w:r>
    </w:p>
    <w:p w:rsidR="003917A9" w:rsidRPr="0066263B" w:rsidRDefault="003917A9" w:rsidP="003917A9">
      <w:pPr>
        <w:spacing w:before="0" w:after="0"/>
        <w:ind w:firstLine="709"/>
        <w:rPr>
          <w:rFonts w:ascii="Times New Roman" w:eastAsia="Times New Roman" w:hAnsi="Times New Roman" w:cs="Times New Roman"/>
          <w:i/>
          <w:iCs/>
          <w:sz w:val="24"/>
          <w:szCs w:val="24"/>
          <w:lang w:eastAsia="ru-RU"/>
        </w:rPr>
      </w:pPr>
    </w:p>
    <w:p w:rsidR="003917A9" w:rsidRPr="0066263B" w:rsidRDefault="003917A9" w:rsidP="003917A9">
      <w:pPr>
        <w:spacing w:before="0" w:after="0"/>
        <w:ind w:firstLine="709"/>
        <w:rPr>
          <w:rFonts w:ascii="Times New Roman" w:eastAsia="Times New Roman" w:hAnsi="Times New Roman" w:cs="Times New Roman"/>
          <w:i/>
          <w:iCs/>
          <w:sz w:val="24"/>
          <w:szCs w:val="24"/>
          <w:lang w:eastAsia="ru-RU"/>
        </w:rPr>
      </w:pPr>
      <w:r w:rsidRPr="0066263B">
        <w:rPr>
          <w:rFonts w:ascii="Times New Roman" w:eastAsia="Times New Roman" w:hAnsi="Times New Roman" w:cs="Times New Roman"/>
          <w:i/>
          <w:iCs/>
          <w:sz w:val="24"/>
          <w:szCs w:val="24"/>
          <w:lang w:eastAsia="ru-RU"/>
        </w:rPr>
        <w:lastRenderedPageBreak/>
        <w:t>От 10 до 20 лет стажа работы</w:t>
      </w:r>
    </w:p>
    <w:p w:rsidR="003917A9" w:rsidRPr="0066263B" w:rsidRDefault="003917A9"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2018 год: вибрационная болезнь – 3 случая, </w:t>
      </w:r>
      <w:proofErr w:type="spellStart"/>
      <w:r w:rsidRPr="0066263B">
        <w:rPr>
          <w:rFonts w:ascii="Times New Roman" w:eastAsia="Times New Roman" w:hAnsi="Times New Roman" w:cs="Times New Roman"/>
          <w:sz w:val="24"/>
          <w:szCs w:val="24"/>
          <w:lang w:eastAsia="ru-RU"/>
        </w:rPr>
        <w:t>нейросенсорная</w:t>
      </w:r>
      <w:proofErr w:type="spellEnd"/>
      <w:r w:rsidRPr="0066263B">
        <w:rPr>
          <w:rFonts w:ascii="Times New Roman" w:eastAsia="Times New Roman" w:hAnsi="Times New Roman" w:cs="Times New Roman"/>
          <w:sz w:val="24"/>
          <w:szCs w:val="24"/>
          <w:lang w:eastAsia="ru-RU"/>
        </w:rPr>
        <w:t xml:space="preserve"> тугоухость – 3 случая, физические нагрузки </w:t>
      </w:r>
      <w:proofErr w:type="spellStart"/>
      <w:r w:rsidRPr="0066263B">
        <w:rPr>
          <w:rFonts w:ascii="Times New Roman" w:eastAsia="Times New Roman" w:hAnsi="Times New Roman" w:cs="Times New Roman"/>
          <w:sz w:val="24"/>
          <w:szCs w:val="24"/>
          <w:lang w:eastAsia="ru-RU"/>
        </w:rPr>
        <w:t>пояснично-кресцовая</w:t>
      </w:r>
      <w:proofErr w:type="spell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радикулопатия</w:t>
      </w:r>
      <w:proofErr w:type="spellEnd"/>
      <w:r w:rsidRPr="0066263B">
        <w:rPr>
          <w:rFonts w:ascii="Times New Roman" w:eastAsia="Times New Roman" w:hAnsi="Times New Roman" w:cs="Times New Roman"/>
          <w:sz w:val="24"/>
          <w:szCs w:val="24"/>
          <w:lang w:eastAsia="ru-RU"/>
        </w:rPr>
        <w:t xml:space="preserve"> – 2 случая, пневмокониоз – 1 случай;</w:t>
      </w:r>
    </w:p>
    <w:p w:rsidR="003917A9" w:rsidRPr="0066263B" w:rsidRDefault="003917A9"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2019 год: вибрационная болезнь – 4 случая; </w:t>
      </w:r>
      <w:proofErr w:type="spellStart"/>
      <w:r w:rsidRPr="0066263B">
        <w:rPr>
          <w:rFonts w:ascii="Times New Roman" w:eastAsia="Times New Roman" w:hAnsi="Times New Roman" w:cs="Times New Roman"/>
          <w:sz w:val="24"/>
          <w:szCs w:val="24"/>
          <w:lang w:eastAsia="ru-RU"/>
        </w:rPr>
        <w:t>нейросенсорная</w:t>
      </w:r>
      <w:proofErr w:type="spellEnd"/>
      <w:r w:rsidRPr="0066263B">
        <w:rPr>
          <w:rFonts w:ascii="Times New Roman" w:eastAsia="Times New Roman" w:hAnsi="Times New Roman" w:cs="Times New Roman"/>
          <w:sz w:val="24"/>
          <w:szCs w:val="24"/>
          <w:lang w:eastAsia="ru-RU"/>
        </w:rPr>
        <w:t xml:space="preserve"> тугоухость – 1 случай;</w:t>
      </w:r>
    </w:p>
    <w:p w:rsidR="00297951" w:rsidRPr="0066263B" w:rsidRDefault="003917A9"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2020 год: вибрационная болезнь – 1</w:t>
      </w:r>
      <w:r w:rsidR="001359A6" w:rsidRPr="0066263B">
        <w:rPr>
          <w:rFonts w:ascii="Times New Roman" w:eastAsia="Times New Roman" w:hAnsi="Times New Roman" w:cs="Times New Roman"/>
          <w:sz w:val="24"/>
          <w:szCs w:val="24"/>
          <w:lang w:eastAsia="ru-RU"/>
        </w:rPr>
        <w:t>3</w:t>
      </w:r>
      <w:r w:rsidRPr="0066263B">
        <w:rPr>
          <w:rFonts w:ascii="Times New Roman" w:eastAsia="Times New Roman" w:hAnsi="Times New Roman" w:cs="Times New Roman"/>
          <w:sz w:val="24"/>
          <w:szCs w:val="24"/>
          <w:lang w:eastAsia="ru-RU"/>
        </w:rPr>
        <w:t xml:space="preserve"> случаев; </w:t>
      </w:r>
      <w:proofErr w:type="spellStart"/>
      <w:r w:rsidRPr="0066263B">
        <w:rPr>
          <w:rFonts w:ascii="Times New Roman" w:eastAsia="Times New Roman" w:hAnsi="Times New Roman" w:cs="Times New Roman"/>
          <w:sz w:val="24"/>
          <w:szCs w:val="24"/>
          <w:lang w:eastAsia="ru-RU"/>
        </w:rPr>
        <w:t>нейросенсорная</w:t>
      </w:r>
      <w:proofErr w:type="spellEnd"/>
      <w:r w:rsidRPr="0066263B">
        <w:rPr>
          <w:rFonts w:ascii="Times New Roman" w:eastAsia="Times New Roman" w:hAnsi="Times New Roman" w:cs="Times New Roman"/>
          <w:sz w:val="24"/>
          <w:szCs w:val="24"/>
          <w:lang w:eastAsia="ru-RU"/>
        </w:rPr>
        <w:t xml:space="preserve"> тугоухость – 1 случай</w:t>
      </w:r>
      <w:r w:rsidR="00297951" w:rsidRPr="0066263B">
        <w:rPr>
          <w:rFonts w:ascii="Times New Roman" w:eastAsia="Times New Roman" w:hAnsi="Times New Roman" w:cs="Times New Roman"/>
          <w:sz w:val="24"/>
          <w:szCs w:val="24"/>
          <w:lang w:eastAsia="ru-RU"/>
        </w:rPr>
        <w:t>;</w:t>
      </w:r>
    </w:p>
    <w:p w:rsidR="003917A9" w:rsidRPr="0066263B" w:rsidRDefault="00297951"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2021 год: </w:t>
      </w:r>
      <w:r w:rsidR="00DF2A04" w:rsidRPr="0066263B">
        <w:rPr>
          <w:rFonts w:ascii="Times New Roman" w:eastAsia="Times New Roman" w:hAnsi="Times New Roman" w:cs="Times New Roman"/>
          <w:sz w:val="24"/>
          <w:szCs w:val="24"/>
        </w:rPr>
        <w:t xml:space="preserve">вибрационная болезнь – 6 случаев; </w:t>
      </w:r>
      <w:proofErr w:type="spellStart"/>
      <w:r w:rsidR="00DF2A04" w:rsidRPr="0066263B">
        <w:rPr>
          <w:rFonts w:ascii="Times New Roman" w:eastAsia="Times New Roman" w:hAnsi="Times New Roman" w:cs="Times New Roman"/>
          <w:sz w:val="24"/>
          <w:szCs w:val="24"/>
        </w:rPr>
        <w:t>нейросенсорная</w:t>
      </w:r>
      <w:proofErr w:type="spellEnd"/>
      <w:r w:rsidR="00DF2A04" w:rsidRPr="0066263B">
        <w:rPr>
          <w:rFonts w:ascii="Times New Roman" w:eastAsia="Times New Roman" w:hAnsi="Times New Roman" w:cs="Times New Roman"/>
          <w:sz w:val="24"/>
          <w:szCs w:val="24"/>
        </w:rPr>
        <w:t xml:space="preserve"> тугоухость – 3 случая</w:t>
      </w:r>
      <w:r w:rsidR="003917A9" w:rsidRPr="0066263B">
        <w:rPr>
          <w:rFonts w:ascii="Times New Roman" w:eastAsia="Times New Roman" w:hAnsi="Times New Roman" w:cs="Times New Roman"/>
          <w:sz w:val="24"/>
          <w:szCs w:val="24"/>
          <w:lang w:eastAsia="ru-RU"/>
        </w:rPr>
        <w:t>.</w:t>
      </w:r>
    </w:p>
    <w:p w:rsidR="003917A9" w:rsidRPr="0066263B" w:rsidRDefault="003917A9" w:rsidP="003917A9">
      <w:pPr>
        <w:spacing w:before="0" w:after="0"/>
        <w:ind w:firstLine="709"/>
        <w:rPr>
          <w:rFonts w:ascii="Times New Roman" w:eastAsia="Times New Roman" w:hAnsi="Times New Roman" w:cs="Times New Roman"/>
          <w:i/>
          <w:iCs/>
          <w:sz w:val="24"/>
          <w:szCs w:val="24"/>
          <w:lang w:eastAsia="ru-RU"/>
        </w:rPr>
      </w:pPr>
    </w:p>
    <w:p w:rsidR="003917A9" w:rsidRPr="0066263B" w:rsidRDefault="003917A9" w:rsidP="003917A9">
      <w:pPr>
        <w:spacing w:before="0" w:after="0"/>
        <w:ind w:firstLine="709"/>
        <w:rPr>
          <w:rFonts w:ascii="Times New Roman" w:eastAsia="Times New Roman" w:hAnsi="Times New Roman" w:cs="Times New Roman"/>
          <w:i/>
          <w:iCs/>
          <w:sz w:val="24"/>
          <w:szCs w:val="24"/>
          <w:lang w:eastAsia="ru-RU"/>
        </w:rPr>
      </w:pPr>
      <w:r w:rsidRPr="0066263B">
        <w:rPr>
          <w:rFonts w:ascii="Times New Roman" w:eastAsia="Times New Roman" w:hAnsi="Times New Roman" w:cs="Times New Roman"/>
          <w:i/>
          <w:iCs/>
          <w:sz w:val="24"/>
          <w:szCs w:val="24"/>
          <w:lang w:eastAsia="ru-RU"/>
        </w:rPr>
        <w:t>Свыше 20 лет стажа работы</w:t>
      </w:r>
    </w:p>
    <w:p w:rsidR="003917A9" w:rsidRPr="0066263B" w:rsidRDefault="003917A9"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2018 год: вибрационная болезнь – 3 случая; пневмокониоз (силикоз, </w:t>
      </w:r>
      <w:proofErr w:type="spellStart"/>
      <w:r w:rsidRPr="0066263B">
        <w:rPr>
          <w:rFonts w:ascii="Times New Roman" w:eastAsia="Times New Roman" w:hAnsi="Times New Roman" w:cs="Times New Roman"/>
          <w:sz w:val="24"/>
          <w:szCs w:val="24"/>
          <w:lang w:eastAsia="ru-RU"/>
        </w:rPr>
        <w:t>силикотуберкулёз</w:t>
      </w:r>
      <w:proofErr w:type="spellEnd"/>
      <w:r w:rsidRPr="0066263B">
        <w:rPr>
          <w:rFonts w:ascii="Times New Roman" w:eastAsia="Times New Roman" w:hAnsi="Times New Roman" w:cs="Times New Roman"/>
          <w:sz w:val="24"/>
          <w:szCs w:val="24"/>
          <w:lang w:eastAsia="ru-RU"/>
        </w:rPr>
        <w:t>) – 2 случая;</w:t>
      </w:r>
    </w:p>
    <w:p w:rsidR="003917A9" w:rsidRPr="0066263B" w:rsidRDefault="003917A9"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2019 год: хронический </w:t>
      </w:r>
      <w:proofErr w:type="spellStart"/>
      <w:r w:rsidRPr="0066263B">
        <w:rPr>
          <w:rFonts w:ascii="Times New Roman" w:eastAsia="Times New Roman" w:hAnsi="Times New Roman" w:cs="Times New Roman"/>
          <w:sz w:val="24"/>
          <w:szCs w:val="24"/>
          <w:lang w:eastAsia="ru-RU"/>
        </w:rPr>
        <w:t>обструктивный</w:t>
      </w:r>
      <w:proofErr w:type="spellEnd"/>
      <w:r w:rsidRPr="0066263B">
        <w:rPr>
          <w:rFonts w:ascii="Times New Roman" w:eastAsia="Times New Roman" w:hAnsi="Times New Roman" w:cs="Times New Roman"/>
          <w:sz w:val="24"/>
          <w:szCs w:val="24"/>
          <w:lang w:eastAsia="ru-RU"/>
        </w:rPr>
        <w:t xml:space="preserve"> бронхит – 1 случай; пневмокониоз (силикоз, </w:t>
      </w:r>
      <w:proofErr w:type="spellStart"/>
      <w:r w:rsidRPr="0066263B">
        <w:rPr>
          <w:rFonts w:ascii="Times New Roman" w:eastAsia="Times New Roman" w:hAnsi="Times New Roman" w:cs="Times New Roman"/>
          <w:sz w:val="24"/>
          <w:szCs w:val="24"/>
          <w:lang w:eastAsia="ru-RU"/>
        </w:rPr>
        <w:t>силикотуберкулёз</w:t>
      </w:r>
      <w:proofErr w:type="spellEnd"/>
      <w:r w:rsidRPr="0066263B">
        <w:rPr>
          <w:rFonts w:ascii="Times New Roman" w:eastAsia="Times New Roman" w:hAnsi="Times New Roman" w:cs="Times New Roman"/>
          <w:sz w:val="24"/>
          <w:szCs w:val="24"/>
          <w:lang w:eastAsia="ru-RU"/>
        </w:rPr>
        <w:t xml:space="preserve">) – 1 случай, </w:t>
      </w:r>
      <w:proofErr w:type="spellStart"/>
      <w:r w:rsidRPr="0066263B">
        <w:rPr>
          <w:rFonts w:ascii="Times New Roman" w:eastAsia="Times New Roman" w:hAnsi="Times New Roman" w:cs="Times New Roman"/>
          <w:sz w:val="24"/>
          <w:szCs w:val="24"/>
          <w:lang w:eastAsia="ru-RU"/>
        </w:rPr>
        <w:t>нейросенсорная</w:t>
      </w:r>
      <w:proofErr w:type="spellEnd"/>
      <w:r w:rsidRPr="0066263B">
        <w:rPr>
          <w:rFonts w:ascii="Times New Roman" w:eastAsia="Times New Roman" w:hAnsi="Times New Roman" w:cs="Times New Roman"/>
          <w:sz w:val="24"/>
          <w:szCs w:val="24"/>
          <w:lang w:eastAsia="ru-RU"/>
        </w:rPr>
        <w:t xml:space="preserve"> тугоухость – 1 случай;</w:t>
      </w:r>
    </w:p>
    <w:p w:rsidR="00297951" w:rsidRPr="0066263B" w:rsidRDefault="003917A9"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2020 год: пневмокониоз (силикоз) – </w:t>
      </w:r>
      <w:r w:rsidR="001359A6"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 xml:space="preserve"> случа</w:t>
      </w:r>
      <w:r w:rsidR="001359A6" w:rsidRPr="0066263B">
        <w:rPr>
          <w:rFonts w:ascii="Times New Roman" w:eastAsia="Times New Roman" w:hAnsi="Times New Roman" w:cs="Times New Roman"/>
          <w:sz w:val="24"/>
          <w:szCs w:val="24"/>
          <w:lang w:eastAsia="ru-RU"/>
        </w:rPr>
        <w:t>я</w:t>
      </w:r>
      <w:r w:rsidR="00297951" w:rsidRPr="0066263B">
        <w:rPr>
          <w:rFonts w:ascii="Times New Roman" w:eastAsia="Times New Roman" w:hAnsi="Times New Roman" w:cs="Times New Roman"/>
          <w:sz w:val="24"/>
          <w:szCs w:val="24"/>
          <w:lang w:eastAsia="ru-RU"/>
        </w:rPr>
        <w:t>;</w:t>
      </w:r>
    </w:p>
    <w:p w:rsidR="003917A9" w:rsidRPr="0066263B" w:rsidRDefault="00297951" w:rsidP="00160BD2">
      <w:pPr>
        <w:numPr>
          <w:ilvl w:val="0"/>
          <w:numId w:val="4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2021 год: </w:t>
      </w:r>
      <w:r w:rsidR="00DF2A04" w:rsidRPr="0066263B">
        <w:rPr>
          <w:rFonts w:ascii="Times New Roman" w:eastAsia="Times New Roman" w:hAnsi="Times New Roman" w:cs="Times New Roman"/>
          <w:sz w:val="24"/>
          <w:szCs w:val="24"/>
        </w:rPr>
        <w:t>пневмокониоз (силикоз) – 1 случай, ХОБЛ – 1 случай, вибрационная болезнь – 2</w:t>
      </w:r>
      <w:r w:rsidR="00FE713D" w:rsidRPr="0066263B">
        <w:rPr>
          <w:rFonts w:ascii="Times New Roman" w:eastAsia="Times New Roman" w:hAnsi="Times New Roman" w:cs="Times New Roman"/>
          <w:sz w:val="24"/>
          <w:szCs w:val="24"/>
        </w:rPr>
        <w:t xml:space="preserve"> </w:t>
      </w:r>
      <w:r w:rsidR="00DF2A04" w:rsidRPr="0066263B">
        <w:rPr>
          <w:rFonts w:ascii="Times New Roman" w:eastAsia="Times New Roman" w:hAnsi="Times New Roman" w:cs="Times New Roman"/>
          <w:sz w:val="24"/>
          <w:szCs w:val="24"/>
        </w:rPr>
        <w:t>случая</w:t>
      </w:r>
      <w:r w:rsidR="003917A9" w:rsidRPr="0066263B">
        <w:rPr>
          <w:rFonts w:ascii="Times New Roman" w:eastAsia="Times New Roman" w:hAnsi="Times New Roman" w:cs="Times New Roman"/>
          <w:sz w:val="24"/>
          <w:szCs w:val="24"/>
          <w:lang w:eastAsia="ru-RU"/>
        </w:rPr>
        <w:t>.</w:t>
      </w:r>
    </w:p>
    <w:p w:rsidR="003917A9" w:rsidRPr="0066263B" w:rsidRDefault="003917A9" w:rsidP="003917A9">
      <w:pPr>
        <w:spacing w:before="0" w:after="0"/>
        <w:ind w:firstLine="709"/>
        <w:rPr>
          <w:rFonts w:ascii="Times New Roman" w:eastAsia="Times New Roman" w:hAnsi="Times New Roman" w:cs="Times New Roman"/>
          <w:sz w:val="24"/>
          <w:szCs w:val="24"/>
          <w:lang w:eastAsia="ru-RU"/>
        </w:rPr>
      </w:pPr>
    </w:p>
    <w:p w:rsidR="003917A9" w:rsidRPr="0066263B" w:rsidRDefault="003917A9" w:rsidP="003917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w:t>
      </w:r>
      <w:r w:rsidR="00DF2A0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профессиональные заболевания выявлены у работников со стажем работы в условиях воздействия вредных производственных факторов:</w:t>
      </w:r>
    </w:p>
    <w:p w:rsidR="003917A9" w:rsidRPr="0066263B" w:rsidRDefault="003917A9" w:rsidP="00160BD2">
      <w:pPr>
        <w:numPr>
          <w:ilvl w:val="0"/>
          <w:numId w:val="44"/>
        </w:numPr>
        <w:spacing w:before="0" w:after="0"/>
        <w:ind w:left="1276"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до 10 лет – </w:t>
      </w:r>
      <w:r w:rsidR="00DF2A04" w:rsidRPr="0066263B">
        <w:rPr>
          <w:rFonts w:ascii="Times New Roman" w:eastAsia="Times New Roman" w:hAnsi="Times New Roman" w:cs="Times New Roman"/>
          <w:sz w:val="24"/>
          <w:szCs w:val="24"/>
        </w:rPr>
        <w:t>3 случая</w:t>
      </w:r>
      <w:r w:rsidR="00DF2A04" w:rsidRPr="0066263B">
        <w:rPr>
          <w:rFonts w:ascii="Times New Roman" w:eastAsia="Times New Roman" w:hAnsi="Times New Roman" w:cs="Times New Roman"/>
          <w:sz w:val="24"/>
          <w:szCs w:val="24"/>
          <w:lang w:eastAsia="ru-RU"/>
        </w:rPr>
        <w:t xml:space="preserve"> (2020 – </w:t>
      </w:r>
      <w:r w:rsidRPr="0066263B">
        <w:rPr>
          <w:rFonts w:ascii="Times New Roman" w:eastAsia="Times New Roman" w:hAnsi="Times New Roman" w:cs="Times New Roman"/>
          <w:sz w:val="24"/>
          <w:szCs w:val="24"/>
          <w:lang w:eastAsia="ru-RU"/>
        </w:rPr>
        <w:t>не регистрировалось</w:t>
      </w:r>
      <w:r w:rsidR="00DF2A04"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w:t>
      </w:r>
    </w:p>
    <w:p w:rsidR="003917A9" w:rsidRPr="0066263B" w:rsidRDefault="003917A9" w:rsidP="00160BD2">
      <w:pPr>
        <w:numPr>
          <w:ilvl w:val="0"/>
          <w:numId w:val="44"/>
        </w:numPr>
        <w:spacing w:before="0" w:after="0"/>
        <w:ind w:left="1276"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от 10 до 20 лет – </w:t>
      </w:r>
      <w:r w:rsidR="00DF2A04" w:rsidRPr="0066263B">
        <w:rPr>
          <w:rFonts w:ascii="Times New Roman" w:eastAsia="Times New Roman" w:hAnsi="Times New Roman" w:cs="Times New Roman"/>
          <w:sz w:val="24"/>
          <w:szCs w:val="24"/>
        </w:rPr>
        <w:t>10 случаев</w:t>
      </w:r>
      <w:r w:rsidR="00DF2A04" w:rsidRPr="0066263B">
        <w:rPr>
          <w:rFonts w:ascii="Times New Roman" w:eastAsia="Times New Roman" w:hAnsi="Times New Roman" w:cs="Times New Roman"/>
          <w:sz w:val="24"/>
          <w:szCs w:val="24"/>
          <w:lang w:eastAsia="ru-RU"/>
        </w:rPr>
        <w:t xml:space="preserve"> (2020 – 14 случаев)</w:t>
      </w:r>
      <w:r w:rsidRPr="0066263B">
        <w:rPr>
          <w:rFonts w:ascii="Times New Roman" w:eastAsia="Times New Roman" w:hAnsi="Times New Roman" w:cs="Times New Roman"/>
          <w:sz w:val="24"/>
          <w:szCs w:val="24"/>
          <w:lang w:eastAsia="ru-RU"/>
        </w:rPr>
        <w:t>;</w:t>
      </w:r>
    </w:p>
    <w:p w:rsidR="003917A9" w:rsidRPr="0066263B" w:rsidRDefault="003917A9" w:rsidP="00160BD2">
      <w:pPr>
        <w:numPr>
          <w:ilvl w:val="0"/>
          <w:numId w:val="44"/>
        </w:numPr>
        <w:spacing w:before="0" w:after="0"/>
        <w:ind w:left="1276" w:hanging="142"/>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свыше 20 лет – </w:t>
      </w:r>
      <w:r w:rsidR="00DF2A04" w:rsidRPr="0066263B">
        <w:rPr>
          <w:rFonts w:ascii="Times New Roman" w:eastAsia="Times New Roman" w:hAnsi="Times New Roman" w:cs="Times New Roman"/>
          <w:sz w:val="24"/>
          <w:szCs w:val="24"/>
        </w:rPr>
        <w:t>4 случая</w:t>
      </w:r>
      <w:r w:rsidR="00DF2A04" w:rsidRPr="0066263B">
        <w:rPr>
          <w:rFonts w:ascii="Times New Roman" w:eastAsia="Times New Roman" w:hAnsi="Times New Roman" w:cs="Times New Roman"/>
          <w:sz w:val="24"/>
          <w:szCs w:val="24"/>
          <w:lang w:eastAsia="ru-RU"/>
        </w:rPr>
        <w:t xml:space="preserve"> (2020 – 2 случая).</w:t>
      </w:r>
    </w:p>
    <w:p w:rsidR="00DF2A04" w:rsidRPr="0066263B" w:rsidRDefault="00DF2A04" w:rsidP="003917A9">
      <w:pPr>
        <w:spacing w:before="0" w:after="0"/>
        <w:ind w:firstLine="709"/>
        <w:rPr>
          <w:rFonts w:ascii="Times New Roman" w:eastAsia="Times New Roman" w:hAnsi="Times New Roman" w:cs="Times New Roman"/>
          <w:sz w:val="24"/>
          <w:szCs w:val="24"/>
          <w:lang w:eastAsia="ru-RU"/>
        </w:rPr>
      </w:pPr>
    </w:p>
    <w:p w:rsidR="003917A9" w:rsidRPr="0066263B" w:rsidRDefault="003917A9" w:rsidP="003917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Таким образом, риск развития профессионального заболевания напрямую зависит от стажа работы.</w:t>
      </w:r>
    </w:p>
    <w:p w:rsidR="00DF2A04" w:rsidRPr="0066263B" w:rsidRDefault="00DF2A04" w:rsidP="003917A9">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69</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bCs/>
          <w:lang w:eastAsia="ru-RU"/>
        </w:rPr>
        <w:t>Обстоятельства и условия возникновения хронических профессиональных</w:t>
      </w:r>
      <w:r w:rsidRPr="0066263B">
        <w:rPr>
          <w:rFonts w:ascii="Times New Roman" w:eastAsia="Times New Roman" w:hAnsi="Times New Roman" w:cs="Times New Roman"/>
          <w:b/>
          <w:bCs/>
          <w:lang w:eastAsia="ru-RU"/>
        </w:rPr>
        <w:br/>
        <w:t>заболеваний, абс. / %</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0"/>
        <w:gridCol w:w="1065"/>
        <w:gridCol w:w="1067"/>
        <w:gridCol w:w="1065"/>
        <w:gridCol w:w="1065"/>
      </w:tblGrid>
      <w:tr w:rsidR="00297951" w:rsidRPr="0066263B" w:rsidTr="00DF2A04">
        <w:tc>
          <w:tcPr>
            <w:tcW w:w="2651" w:type="pct"/>
            <w:tcBorders>
              <w:top w:val="single" w:sz="4" w:space="0" w:color="auto"/>
              <w:left w:val="single" w:sz="4" w:space="0" w:color="auto"/>
              <w:bottom w:val="single" w:sz="4" w:space="0" w:color="auto"/>
              <w:right w:val="single" w:sz="4" w:space="0" w:color="auto"/>
            </w:tcBorders>
          </w:tcPr>
          <w:p w:rsidR="00297951" w:rsidRPr="0066263B" w:rsidRDefault="00297951" w:rsidP="003917A9">
            <w:pPr>
              <w:spacing w:before="20" w:after="20"/>
              <w:jc w:val="center"/>
              <w:rPr>
                <w:rFonts w:ascii="Times New Roman" w:eastAsia="Times New Roman" w:hAnsi="Times New Roman" w:cs="Times New Roman"/>
                <w:b/>
                <w:bCs/>
                <w:i/>
                <w:iCs/>
                <w:lang w:eastAsia="ru-RU"/>
              </w:rPr>
            </w:pPr>
          </w:p>
        </w:tc>
        <w:tc>
          <w:tcPr>
            <w:tcW w:w="58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297951">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588"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297951">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58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297951">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58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297951">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Конструктивные недостатки технологического</w:t>
            </w:r>
            <w:r w:rsidRPr="0066263B">
              <w:rPr>
                <w:rFonts w:ascii="Times New Roman" w:eastAsia="Times New Roman" w:hAnsi="Times New Roman" w:cs="Times New Roman"/>
                <w:lang w:eastAsia="ru-RU"/>
              </w:rPr>
              <w:br/>
              <w:t>оборудования, инструментов</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 / 57,0</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 / 78,0</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 / 73,6</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17 / 53,1</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Несовершенство техпроцессов</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 / 43,0</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22,0</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Несовершенство </w:t>
            </w:r>
            <w:proofErr w:type="spellStart"/>
            <w:r w:rsidRPr="0066263B">
              <w:rPr>
                <w:rFonts w:ascii="Times New Roman" w:eastAsia="Times New Roman" w:hAnsi="Times New Roman" w:cs="Times New Roman"/>
                <w:lang w:eastAsia="ru-RU"/>
              </w:rPr>
              <w:t>сантехустановок</w:t>
            </w:r>
            <w:proofErr w:type="spellEnd"/>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Несовершенство рабочих мест</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Нарушение режима труда</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Отступление от технологического регламента</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Отсутствие </w:t>
            </w:r>
            <w:proofErr w:type="gramStart"/>
            <w:r w:rsidRPr="0066263B">
              <w:rPr>
                <w:rFonts w:ascii="Times New Roman" w:eastAsia="Times New Roman" w:hAnsi="Times New Roman" w:cs="Times New Roman"/>
                <w:lang w:eastAsia="ru-RU"/>
              </w:rPr>
              <w:t>СИЗ</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Неисправность машин, механизмов</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Проф. контакт с инфекционным агентом</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26,4</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15 / 46,9</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Несовершенство </w:t>
            </w:r>
            <w:proofErr w:type="gramStart"/>
            <w:r w:rsidRPr="0066263B">
              <w:rPr>
                <w:rFonts w:ascii="Times New Roman" w:eastAsia="Times New Roman" w:hAnsi="Times New Roman" w:cs="Times New Roman"/>
                <w:lang w:eastAsia="ru-RU"/>
              </w:rPr>
              <w:t>СИЗ</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Отсутствие </w:t>
            </w:r>
            <w:proofErr w:type="spellStart"/>
            <w:r w:rsidRPr="0066263B">
              <w:rPr>
                <w:rFonts w:ascii="Times New Roman" w:eastAsia="Times New Roman" w:hAnsi="Times New Roman" w:cs="Times New Roman"/>
                <w:lang w:eastAsia="ru-RU"/>
              </w:rPr>
              <w:t>сантехустановок</w:t>
            </w:r>
            <w:proofErr w:type="spellEnd"/>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Неприменение </w:t>
            </w:r>
            <w:proofErr w:type="gramStart"/>
            <w:r w:rsidRPr="0066263B">
              <w:rPr>
                <w:rFonts w:ascii="Times New Roman" w:eastAsia="Times New Roman" w:hAnsi="Times New Roman" w:cs="Times New Roman"/>
                <w:lang w:eastAsia="ru-RU"/>
              </w:rPr>
              <w:t>СИЗ</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r w:rsidR="00DF2A04" w:rsidRPr="0066263B" w:rsidTr="00DF2A04">
        <w:tc>
          <w:tcPr>
            <w:tcW w:w="2651" w:type="pct"/>
            <w:tcBorders>
              <w:top w:val="single" w:sz="4" w:space="0" w:color="auto"/>
              <w:left w:val="single" w:sz="4" w:space="0" w:color="auto"/>
              <w:bottom w:val="single" w:sz="4" w:space="0" w:color="auto"/>
              <w:right w:val="single" w:sz="4" w:space="0" w:color="auto"/>
            </w:tcBorders>
          </w:tcPr>
          <w:p w:rsidR="00DF2A04" w:rsidRPr="0066263B" w:rsidRDefault="00DF2A04" w:rsidP="003917A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Прочие</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8"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vAlign w:val="center"/>
          </w:tcPr>
          <w:p w:rsidR="00DF2A04" w:rsidRPr="0066263B" w:rsidRDefault="00DF2A04" w:rsidP="00222578">
            <w:pPr>
              <w:spacing w:before="20" w:after="20"/>
              <w:jc w:val="center"/>
              <w:rPr>
                <w:rFonts w:ascii="Times New Roman" w:eastAsia="Times New Roman" w:hAnsi="Times New Roman" w:cs="Times New Roman"/>
              </w:rPr>
            </w:pPr>
            <w:r w:rsidRPr="0066263B">
              <w:rPr>
                <w:rFonts w:ascii="Times New Roman" w:eastAsia="Times New Roman" w:hAnsi="Times New Roman" w:cs="Times New Roman"/>
              </w:rPr>
              <w:t>-</w:t>
            </w:r>
          </w:p>
        </w:tc>
      </w:tr>
    </w:tbl>
    <w:p w:rsidR="00EA5D9B" w:rsidRPr="0066263B" w:rsidRDefault="00EA5D9B" w:rsidP="00EA5D9B">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динамике наблюдений, при стаже работы до 10 лет выявляются заболевания, причиной которых является превышение предельно-допустимых уровней воздействия производственной вибрации (вибрационная болезнь); от 10 до 20 лет – заболевания, причиной которых является превышение предельно-допустимых уровней воздействия производственного шума, вибрации (</w:t>
      </w:r>
      <w:proofErr w:type="spellStart"/>
      <w:r w:rsidRPr="0066263B">
        <w:rPr>
          <w:rFonts w:ascii="Times New Roman" w:eastAsia="Times New Roman" w:hAnsi="Times New Roman" w:cs="Times New Roman"/>
          <w:sz w:val="24"/>
          <w:szCs w:val="24"/>
          <w:lang w:eastAsia="ru-RU"/>
        </w:rPr>
        <w:t>нейросенсорная</w:t>
      </w:r>
      <w:proofErr w:type="spellEnd"/>
      <w:r w:rsidRPr="0066263B">
        <w:rPr>
          <w:rFonts w:ascii="Times New Roman" w:eastAsia="Times New Roman" w:hAnsi="Times New Roman" w:cs="Times New Roman"/>
          <w:sz w:val="24"/>
          <w:szCs w:val="24"/>
          <w:lang w:eastAsia="ru-RU"/>
        </w:rPr>
        <w:t xml:space="preserve"> тугоухость, вибрационная болезнь), хронические </w:t>
      </w:r>
      <w:proofErr w:type="spellStart"/>
      <w:r w:rsidRPr="0066263B">
        <w:rPr>
          <w:rFonts w:ascii="Times New Roman" w:eastAsia="Times New Roman" w:hAnsi="Times New Roman" w:cs="Times New Roman"/>
          <w:sz w:val="24"/>
          <w:szCs w:val="24"/>
          <w:lang w:eastAsia="ru-RU"/>
        </w:rPr>
        <w:t>обструктивные</w:t>
      </w:r>
      <w:proofErr w:type="spellEnd"/>
      <w:r w:rsidRPr="0066263B">
        <w:rPr>
          <w:rFonts w:ascii="Times New Roman" w:eastAsia="Times New Roman" w:hAnsi="Times New Roman" w:cs="Times New Roman"/>
          <w:sz w:val="24"/>
          <w:szCs w:val="24"/>
          <w:lang w:eastAsia="ru-RU"/>
        </w:rPr>
        <w:t xml:space="preserve"> болезни лёгких пылевой этиологии.</w:t>
      </w:r>
    </w:p>
    <w:p w:rsidR="00EA5D9B" w:rsidRPr="0066263B" w:rsidRDefault="00EA5D9B" w:rsidP="00EA5D9B">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Хронические </w:t>
      </w:r>
      <w:proofErr w:type="spellStart"/>
      <w:r w:rsidRPr="0066263B">
        <w:rPr>
          <w:rFonts w:ascii="Times New Roman" w:eastAsia="Times New Roman" w:hAnsi="Times New Roman" w:cs="Times New Roman"/>
          <w:sz w:val="24"/>
          <w:szCs w:val="24"/>
          <w:lang w:eastAsia="ru-RU"/>
        </w:rPr>
        <w:t>обструктивные</w:t>
      </w:r>
      <w:proofErr w:type="spellEnd"/>
      <w:r w:rsidRPr="0066263B">
        <w:rPr>
          <w:rFonts w:ascii="Times New Roman" w:eastAsia="Times New Roman" w:hAnsi="Times New Roman" w:cs="Times New Roman"/>
          <w:sz w:val="24"/>
          <w:szCs w:val="24"/>
          <w:lang w:eastAsia="ru-RU"/>
        </w:rPr>
        <w:t xml:space="preserve"> болезни лёгких пылевой этиологии, а также заболевания, причиной которых является превышение предельно-допустимых уровней воздействия производственного шума, вибрации (</w:t>
      </w:r>
      <w:proofErr w:type="spellStart"/>
      <w:r w:rsidRPr="0066263B">
        <w:rPr>
          <w:rFonts w:ascii="Times New Roman" w:eastAsia="Times New Roman" w:hAnsi="Times New Roman" w:cs="Times New Roman"/>
          <w:sz w:val="24"/>
          <w:szCs w:val="24"/>
          <w:lang w:eastAsia="ru-RU"/>
        </w:rPr>
        <w:t>нейросенсорная</w:t>
      </w:r>
      <w:proofErr w:type="spellEnd"/>
      <w:r w:rsidRPr="0066263B">
        <w:rPr>
          <w:rFonts w:ascii="Times New Roman" w:eastAsia="Times New Roman" w:hAnsi="Times New Roman" w:cs="Times New Roman"/>
          <w:sz w:val="24"/>
          <w:szCs w:val="24"/>
          <w:lang w:eastAsia="ru-RU"/>
        </w:rPr>
        <w:t xml:space="preserve"> тугоухость, вибрационная болезнь), также регистрируются при стаже работы свыше 20 лет.</w:t>
      </w:r>
    </w:p>
    <w:p w:rsidR="00C56F65" w:rsidRPr="0066263B" w:rsidRDefault="00C56F65" w:rsidP="00324483">
      <w:pPr>
        <w:spacing w:before="0" w:after="0"/>
        <w:ind w:firstLine="709"/>
        <w:rPr>
          <w:rFonts w:ascii="Times New Roman" w:eastAsia="Times New Roman" w:hAnsi="Times New Roman" w:cs="Times New Roman"/>
          <w:sz w:val="24"/>
          <w:szCs w:val="24"/>
          <w:lang w:eastAsia="ru-RU"/>
        </w:rPr>
      </w:pPr>
    </w:p>
    <w:p w:rsidR="003917A9" w:rsidRPr="0066263B" w:rsidRDefault="003917A9" w:rsidP="003917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Преимущественными причинами возникновения профессиональных заболеваний в Брянской области в 202</w:t>
      </w:r>
      <w:r w:rsidR="00DF2A0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как и в предыдущие годы, продолжает быть несовершенство технологических процессов, технологического оборудования и рабочего инструмента.</w:t>
      </w:r>
    </w:p>
    <w:p w:rsidR="00DF2A04" w:rsidRPr="0066263B" w:rsidRDefault="00DF2A04" w:rsidP="00DF2A0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Большую долю в 2021 году составила профессиональная заболеваемость, связанная с профессиональным контактом с инфекционным агентом (14 случаев – COVID-19; 1 случай – туберкулёз).</w:t>
      </w:r>
    </w:p>
    <w:p w:rsidR="003917A9" w:rsidRPr="0066263B" w:rsidRDefault="003917A9" w:rsidP="003917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Профессиональных отравлений в 202</w:t>
      </w:r>
      <w:r w:rsidR="00DF2A0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в Брянской области не зарегистрировано.</w:t>
      </w:r>
    </w:p>
    <w:p w:rsidR="00EA5D9B" w:rsidRPr="0066263B" w:rsidRDefault="00EA5D9B" w:rsidP="003917A9">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ind w:left="708" w:firstLine="1"/>
        <w:jc w:val="left"/>
        <w:rPr>
          <w:rFonts w:ascii="Times New Roman" w:eastAsia="Times New Roman" w:hAnsi="Times New Roman" w:cs="Times New Roman"/>
          <w:i/>
          <w:sz w:val="24"/>
          <w:szCs w:val="24"/>
          <w:u w:val="single"/>
          <w:lang w:eastAsia="ru-RU"/>
        </w:rPr>
      </w:pPr>
      <w:bookmarkStart w:id="10" w:name="_Toc320868604"/>
      <w:r w:rsidRPr="0066263B">
        <w:rPr>
          <w:rFonts w:ascii="Times New Roman" w:eastAsia="Times New Roman" w:hAnsi="Times New Roman" w:cs="Times New Roman"/>
          <w:i/>
          <w:sz w:val="24"/>
          <w:szCs w:val="24"/>
          <w:u w:val="single"/>
          <w:lang w:eastAsia="ru-RU"/>
        </w:rPr>
        <w:t>Условия труда женщин</w:t>
      </w:r>
      <w:bookmarkEnd w:id="10"/>
    </w:p>
    <w:p w:rsidR="00DF2A04" w:rsidRPr="0066263B" w:rsidRDefault="00DF2A04" w:rsidP="00DF2A0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 городах и районах области проводилась работа по контролю состояния условий труда женщин. В отчётном году из 31 больных с впервые установленным диагнозом профессиональных заболеваний, зарегистрированных на территории Брянской области, 15 женщин (</w:t>
      </w:r>
      <w:proofErr w:type="spellStart"/>
      <w:r w:rsidRPr="0066263B">
        <w:rPr>
          <w:rFonts w:ascii="Times New Roman" w:eastAsia="Times New Roman" w:hAnsi="Times New Roman" w:cs="Times New Roman"/>
          <w:sz w:val="24"/>
          <w:szCs w:val="24"/>
          <w:lang w:eastAsia="ru-RU"/>
        </w:rPr>
        <w:t>коронавирусная</w:t>
      </w:r>
      <w:proofErr w:type="spellEnd"/>
      <w:r w:rsidRPr="0066263B">
        <w:rPr>
          <w:rFonts w:ascii="Times New Roman" w:eastAsia="Times New Roman" w:hAnsi="Times New Roman" w:cs="Times New Roman"/>
          <w:sz w:val="24"/>
          <w:szCs w:val="24"/>
          <w:lang w:eastAsia="ru-RU"/>
        </w:rPr>
        <w:t xml:space="preserve"> инфекция</w:t>
      </w:r>
      <w:r w:rsidR="00EA5D9B" w:rsidRPr="0066263B">
        <w:rPr>
          <w:rFonts w:ascii="Times New Roman" w:eastAsia="Times New Roman" w:hAnsi="Times New Roman" w:cs="Times New Roman"/>
          <w:sz w:val="24"/>
          <w:szCs w:val="24"/>
          <w:lang w:eastAsia="ru-RU"/>
        </w:rPr>
        <w:t xml:space="preserve"> – 12 случаев;</w:t>
      </w:r>
      <w:r w:rsidRPr="0066263B">
        <w:rPr>
          <w:rFonts w:ascii="Times New Roman" w:eastAsia="Times New Roman" w:hAnsi="Times New Roman" w:cs="Times New Roman"/>
          <w:sz w:val="24"/>
          <w:szCs w:val="24"/>
          <w:lang w:eastAsia="ru-RU"/>
        </w:rPr>
        <w:t xml:space="preserve"> вибрационная болезнь – 2 случая</w:t>
      </w:r>
      <w:r w:rsidR="00EA5D9B"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нейросенсорная</w:t>
      </w:r>
      <w:proofErr w:type="spellEnd"/>
      <w:r w:rsidRPr="0066263B">
        <w:rPr>
          <w:rFonts w:ascii="Times New Roman" w:eastAsia="Times New Roman" w:hAnsi="Times New Roman" w:cs="Times New Roman"/>
          <w:sz w:val="24"/>
          <w:szCs w:val="24"/>
          <w:lang w:eastAsia="ru-RU"/>
        </w:rPr>
        <w:t xml:space="preserve"> тугоухость – 1 случай).</w:t>
      </w:r>
    </w:p>
    <w:p w:rsidR="00DF2A04" w:rsidRPr="0066263B" w:rsidRDefault="00DF2A04" w:rsidP="003917A9">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70</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профессиональных заболеваний у женщин</w:t>
      </w:r>
      <w:r w:rsidRPr="0066263B">
        <w:rPr>
          <w:rFonts w:ascii="Times New Roman" w:eastAsia="Times New Roman" w:hAnsi="Times New Roman" w:cs="Times New Roman"/>
          <w:b/>
          <w:lang w:eastAsia="ru-RU"/>
        </w:rPr>
        <w:br/>
        <w:t>по отдельным отраслям экономики, ед.</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4214"/>
        <w:gridCol w:w="758"/>
        <w:gridCol w:w="758"/>
        <w:gridCol w:w="758"/>
        <w:gridCol w:w="754"/>
      </w:tblGrid>
      <w:tr w:rsidR="00297951" w:rsidRPr="0066263B" w:rsidTr="00304FCF">
        <w:tc>
          <w:tcPr>
            <w:tcW w:w="1015"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917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Ранговое место</w:t>
            </w:r>
          </w:p>
        </w:tc>
        <w:tc>
          <w:tcPr>
            <w:tcW w:w="2319"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917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Отрасль</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917A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297951" w:rsidRPr="0066263B" w:rsidTr="00304FCF">
        <w:tc>
          <w:tcPr>
            <w:tcW w:w="1015"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val="en-US" w:eastAsia="ru-RU"/>
              </w:rPr>
              <w:t>I</w:t>
            </w:r>
          </w:p>
        </w:tc>
        <w:tc>
          <w:tcPr>
            <w:tcW w:w="2319" w:type="pct"/>
            <w:tcBorders>
              <w:top w:val="single" w:sz="4" w:space="0" w:color="auto"/>
              <w:left w:val="single" w:sz="4" w:space="0" w:color="auto"/>
              <w:bottom w:val="single" w:sz="4" w:space="0" w:color="auto"/>
              <w:right w:val="single" w:sz="4" w:space="0" w:color="auto"/>
            </w:tcBorders>
          </w:tcPr>
          <w:p w:rsidR="00297951" w:rsidRPr="0066263B" w:rsidRDefault="00297951" w:rsidP="003917A9">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Здравоохранение</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EA5D9B"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r>
      <w:tr w:rsidR="00297951" w:rsidRPr="0066263B" w:rsidTr="00304FCF">
        <w:tc>
          <w:tcPr>
            <w:tcW w:w="1015"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val="en-US" w:eastAsia="ru-RU"/>
              </w:rPr>
              <w:t>II</w:t>
            </w:r>
          </w:p>
        </w:tc>
        <w:tc>
          <w:tcPr>
            <w:tcW w:w="2319" w:type="pct"/>
            <w:tcBorders>
              <w:top w:val="single" w:sz="4" w:space="0" w:color="auto"/>
              <w:left w:val="single" w:sz="4" w:space="0" w:color="auto"/>
              <w:bottom w:val="single" w:sz="4" w:space="0" w:color="auto"/>
              <w:right w:val="single" w:sz="4" w:space="0" w:color="auto"/>
            </w:tcBorders>
          </w:tcPr>
          <w:p w:rsidR="00297951" w:rsidRPr="0066263B" w:rsidRDefault="00297951" w:rsidP="003917A9">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Производство готовых металлических изделий</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297951" w:rsidP="00304F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17" w:type="pct"/>
            <w:tcBorders>
              <w:top w:val="single" w:sz="4" w:space="0" w:color="auto"/>
              <w:left w:val="single" w:sz="4" w:space="0" w:color="auto"/>
              <w:bottom w:val="single" w:sz="4" w:space="0" w:color="auto"/>
              <w:right w:val="single" w:sz="4" w:space="0" w:color="auto"/>
            </w:tcBorders>
            <w:vAlign w:val="center"/>
          </w:tcPr>
          <w:p w:rsidR="00297951" w:rsidRPr="0066263B" w:rsidRDefault="00EA5D9B" w:rsidP="003917A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r>
    </w:tbl>
    <w:p w:rsidR="003917A9" w:rsidRPr="0066263B" w:rsidRDefault="003917A9" w:rsidP="00324483">
      <w:pPr>
        <w:spacing w:before="0" w:after="0"/>
        <w:jc w:val="center"/>
        <w:rPr>
          <w:rFonts w:ascii="Times New Roman" w:eastAsia="Times New Roman" w:hAnsi="Times New Roman" w:cs="Times New Roman"/>
          <w:lang w:eastAsia="ru-RU"/>
        </w:rPr>
      </w:pPr>
    </w:p>
    <w:p w:rsidR="00C23EB0" w:rsidRPr="0066263B" w:rsidRDefault="00C23EB0">
      <w:pPr>
        <w:rPr>
          <w:rFonts w:ascii="Times New Roman" w:eastAsia="Times New Roman" w:hAnsi="Times New Roman" w:cs="Times New Roman"/>
          <w:b/>
          <w:bCs/>
          <w:sz w:val="26"/>
          <w:szCs w:val="26"/>
          <w:lang w:eastAsia="ru-RU"/>
        </w:rPr>
      </w:pPr>
      <w:bookmarkStart w:id="11" w:name="_Toc2253829"/>
      <w:r w:rsidRPr="0066263B">
        <w:rPr>
          <w:rFonts w:ascii="Times New Roman" w:eastAsia="Times New Roman" w:hAnsi="Times New Roman" w:cs="Times New Roman"/>
          <w:b/>
          <w:bCs/>
          <w:sz w:val="26"/>
          <w:szCs w:val="26"/>
          <w:lang w:eastAsia="ru-RU"/>
        </w:rPr>
        <w:br w:type="page"/>
      </w:r>
    </w:p>
    <w:p w:rsidR="00324483" w:rsidRPr="0066263B" w:rsidRDefault="00324483" w:rsidP="00324483">
      <w:pPr>
        <w:jc w:val="center"/>
        <w:outlineLvl w:val="1"/>
        <w:rPr>
          <w:rFonts w:ascii="Times New Roman" w:eastAsia="Times New Roman" w:hAnsi="Times New Roman" w:cs="Times New Roman"/>
          <w:b/>
          <w:bCs/>
          <w:sz w:val="26"/>
          <w:szCs w:val="26"/>
          <w:lang w:eastAsia="ru-RU"/>
        </w:rPr>
      </w:pPr>
      <w:r w:rsidRPr="0066263B">
        <w:rPr>
          <w:rFonts w:ascii="Times New Roman" w:eastAsia="Times New Roman" w:hAnsi="Times New Roman" w:cs="Times New Roman"/>
          <w:b/>
          <w:bCs/>
          <w:sz w:val="26"/>
          <w:szCs w:val="26"/>
          <w:lang w:eastAsia="ru-RU"/>
        </w:rPr>
        <w:lastRenderedPageBreak/>
        <w:t>1.3. Сведения об инфекционной и паразитарной заболеваемости</w:t>
      </w:r>
      <w:bookmarkEnd w:id="11"/>
    </w:p>
    <w:p w:rsidR="00262DC9" w:rsidRPr="0066263B" w:rsidRDefault="00262DC9" w:rsidP="00262DC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w:t>
      </w:r>
      <w:r w:rsidR="00CC69E1"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в Брянской области было зарегистрировано </w:t>
      </w:r>
      <w:r w:rsidR="00CC69E1" w:rsidRPr="0066263B">
        <w:rPr>
          <w:rFonts w:ascii="Times New Roman" w:eastAsia="Times New Roman" w:hAnsi="Times New Roman" w:cs="Times New Roman"/>
          <w:sz w:val="24"/>
          <w:szCs w:val="24"/>
          <w:lang w:eastAsia="ru-RU"/>
        </w:rPr>
        <w:t>550 987</w:t>
      </w:r>
      <w:r w:rsidRPr="0066263B">
        <w:rPr>
          <w:rFonts w:ascii="Times New Roman" w:eastAsia="Times New Roman" w:hAnsi="Times New Roman" w:cs="Times New Roman"/>
          <w:sz w:val="24"/>
          <w:szCs w:val="24"/>
          <w:lang w:eastAsia="ru-RU"/>
        </w:rPr>
        <w:t xml:space="preserve"> случаев инфекционных и паразитарных заболеваний </w:t>
      </w:r>
      <w:r w:rsidR="00CC69E1" w:rsidRPr="0066263B">
        <w:rPr>
          <w:rFonts w:ascii="Times New Roman" w:eastAsia="Times New Roman" w:hAnsi="Times New Roman" w:cs="Times New Roman"/>
          <w:sz w:val="24"/>
          <w:szCs w:val="24"/>
          <w:lang w:eastAsia="ru-RU"/>
        </w:rPr>
        <w:t xml:space="preserve">или 46 025,9 </w:t>
      </w:r>
      <w:r w:rsidRPr="0066263B">
        <w:rPr>
          <w:rFonts w:ascii="Times New Roman" w:eastAsia="Times New Roman" w:hAnsi="Times New Roman" w:cs="Times New Roman"/>
          <w:sz w:val="24"/>
          <w:szCs w:val="24"/>
          <w:lang w:eastAsia="ru-RU"/>
        </w:rPr>
        <w:t xml:space="preserve">на 100 тысяч населения, что </w:t>
      </w:r>
      <w:r w:rsidR="00CC69E1" w:rsidRPr="0066263B">
        <w:rPr>
          <w:rFonts w:ascii="Times New Roman" w:eastAsia="Times New Roman" w:hAnsi="Times New Roman" w:cs="Times New Roman"/>
          <w:sz w:val="24"/>
          <w:szCs w:val="24"/>
          <w:lang w:eastAsia="ru-RU"/>
        </w:rPr>
        <w:t>в 1,7 раза</w:t>
      </w:r>
      <w:r w:rsidRPr="0066263B">
        <w:rPr>
          <w:rFonts w:ascii="Times New Roman" w:eastAsia="Times New Roman" w:hAnsi="Times New Roman" w:cs="Times New Roman"/>
          <w:sz w:val="24"/>
          <w:szCs w:val="24"/>
          <w:lang w:eastAsia="ru-RU"/>
        </w:rPr>
        <w:t xml:space="preserve"> выше заболеваемости, зарегистрированной в 20</w:t>
      </w:r>
      <w:r w:rsidR="00CC69E1" w:rsidRPr="0066263B">
        <w:rPr>
          <w:rFonts w:ascii="Times New Roman" w:eastAsia="Times New Roman" w:hAnsi="Times New Roman" w:cs="Times New Roman"/>
          <w:sz w:val="24"/>
          <w:szCs w:val="24"/>
          <w:lang w:eastAsia="ru-RU"/>
        </w:rPr>
        <w:t>20</w:t>
      </w:r>
      <w:r w:rsidRPr="0066263B">
        <w:rPr>
          <w:rFonts w:ascii="Times New Roman" w:eastAsia="Times New Roman" w:hAnsi="Times New Roman" w:cs="Times New Roman"/>
          <w:sz w:val="24"/>
          <w:szCs w:val="24"/>
          <w:lang w:eastAsia="ru-RU"/>
        </w:rPr>
        <w:t xml:space="preserve"> году (</w:t>
      </w:r>
      <w:r w:rsidR="00CC69E1" w:rsidRPr="0066263B">
        <w:rPr>
          <w:rFonts w:ascii="Times New Roman" w:eastAsia="Times New Roman" w:hAnsi="Times New Roman" w:cs="Times New Roman"/>
          <w:sz w:val="24"/>
          <w:szCs w:val="24"/>
          <w:lang w:eastAsia="ru-RU"/>
        </w:rPr>
        <w:t xml:space="preserve">326 597 </w:t>
      </w:r>
      <w:r w:rsidRPr="0066263B">
        <w:rPr>
          <w:rFonts w:ascii="Times New Roman" w:eastAsia="Times New Roman" w:hAnsi="Times New Roman" w:cs="Times New Roman"/>
          <w:sz w:val="24"/>
          <w:szCs w:val="24"/>
          <w:lang w:eastAsia="ru-RU"/>
        </w:rPr>
        <w:t xml:space="preserve">сл. или </w:t>
      </w:r>
      <w:r w:rsidR="00CC69E1" w:rsidRPr="0066263B">
        <w:rPr>
          <w:rFonts w:ascii="Times New Roman" w:eastAsia="Times New Roman" w:hAnsi="Times New Roman" w:cs="Times New Roman"/>
          <w:sz w:val="24"/>
          <w:szCs w:val="24"/>
          <w:lang w:eastAsia="ru-RU"/>
        </w:rPr>
        <w:t xml:space="preserve">27 472,4 </w:t>
      </w:r>
      <w:r w:rsidRPr="0066263B">
        <w:rPr>
          <w:rFonts w:ascii="Times New Roman" w:eastAsia="Times New Roman" w:hAnsi="Times New Roman" w:cs="Times New Roman"/>
          <w:sz w:val="24"/>
          <w:szCs w:val="24"/>
          <w:lang w:eastAsia="ru-RU"/>
        </w:rPr>
        <w:t>на 100 тыс. нас.).</w:t>
      </w:r>
    </w:p>
    <w:p w:rsidR="00262DC9" w:rsidRPr="0066263B" w:rsidRDefault="00262DC9" w:rsidP="00262DC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Выше среднеобластного уровня заболеваемость инфекционными и паразитарными болезнями зарегистрирована на </w:t>
      </w:r>
      <w:r w:rsidR="00CC69E1"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 xml:space="preserve"> административных территориях, в том числе:</w:t>
      </w:r>
    </w:p>
    <w:p w:rsidR="00262DC9" w:rsidRPr="0066263B" w:rsidRDefault="00262DC9" w:rsidP="00BE7104">
      <w:pPr>
        <w:numPr>
          <w:ilvl w:val="0"/>
          <w:numId w:val="61"/>
        </w:numPr>
        <w:spacing w:before="0" w:after="0"/>
        <w:ind w:left="993" w:hanging="21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w:t>
      </w:r>
      <w:r w:rsidR="00EE5ABC"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Брянск (</w:t>
      </w:r>
      <w:r w:rsidR="00CC69E1" w:rsidRPr="0066263B">
        <w:rPr>
          <w:rFonts w:ascii="Times New Roman" w:hAnsi="Times New Roman"/>
          <w:sz w:val="24"/>
          <w:szCs w:val="24"/>
        </w:rPr>
        <w:t xml:space="preserve">309 370 </w:t>
      </w:r>
      <w:r w:rsidRPr="0066263B">
        <w:rPr>
          <w:rFonts w:ascii="Times New Roman" w:eastAsia="Times New Roman" w:hAnsi="Times New Roman" w:cs="Times New Roman"/>
          <w:sz w:val="24"/>
          <w:szCs w:val="24"/>
          <w:lang w:eastAsia="ru-RU"/>
        </w:rPr>
        <w:t xml:space="preserve">сл. или </w:t>
      </w:r>
      <w:r w:rsidR="00CC69E1" w:rsidRPr="0066263B">
        <w:rPr>
          <w:rFonts w:ascii="Times New Roman" w:hAnsi="Times New Roman"/>
          <w:sz w:val="24"/>
          <w:szCs w:val="24"/>
        </w:rPr>
        <w:t xml:space="preserve">72 054,8 </w:t>
      </w:r>
      <w:r w:rsidRPr="0066263B">
        <w:rPr>
          <w:rFonts w:ascii="Times New Roman" w:eastAsia="Times New Roman" w:hAnsi="Times New Roman" w:cs="Times New Roman"/>
          <w:sz w:val="24"/>
          <w:szCs w:val="24"/>
          <w:lang w:eastAsia="ru-RU"/>
        </w:rPr>
        <w:t>на 100 тыс. нас.)</w:t>
      </w:r>
      <w:r w:rsidR="00CC69E1" w:rsidRPr="0066263B">
        <w:rPr>
          <w:rFonts w:ascii="Times New Roman" w:eastAsia="Times New Roman" w:hAnsi="Times New Roman" w:cs="Times New Roman"/>
          <w:sz w:val="24"/>
          <w:szCs w:val="24"/>
          <w:lang w:eastAsia="ru-RU"/>
        </w:rPr>
        <w:t>;</w:t>
      </w:r>
    </w:p>
    <w:p w:rsidR="00CC69E1" w:rsidRPr="0066263B" w:rsidRDefault="00CC69E1" w:rsidP="00BE7104">
      <w:pPr>
        <w:numPr>
          <w:ilvl w:val="0"/>
          <w:numId w:val="61"/>
        </w:numPr>
        <w:spacing w:before="0" w:after="0"/>
        <w:ind w:left="993" w:hanging="219"/>
        <w:rPr>
          <w:rFonts w:ascii="Times New Roman" w:eastAsia="Times New Roman" w:hAnsi="Times New Roman" w:cs="Times New Roman"/>
          <w:sz w:val="24"/>
          <w:szCs w:val="24"/>
          <w:lang w:eastAsia="ru-RU"/>
        </w:rPr>
      </w:pPr>
      <w:r w:rsidRPr="0066263B">
        <w:rPr>
          <w:rFonts w:ascii="Times New Roman" w:hAnsi="Times New Roman"/>
          <w:sz w:val="24"/>
          <w:szCs w:val="24"/>
        </w:rPr>
        <w:t>Брянский район (37 965 сл. или 65 205,1 на 100 тыс. нас.);</w:t>
      </w:r>
    </w:p>
    <w:p w:rsidR="00262DC9" w:rsidRPr="0066263B" w:rsidRDefault="00262DC9" w:rsidP="00BE7104">
      <w:pPr>
        <w:numPr>
          <w:ilvl w:val="0"/>
          <w:numId w:val="61"/>
        </w:numPr>
        <w:spacing w:before="0" w:after="0"/>
        <w:ind w:left="993" w:hanging="21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w:t>
      </w:r>
      <w:r w:rsidR="00EE5ABC"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Фокино (</w:t>
      </w:r>
      <w:r w:rsidR="00CC69E1" w:rsidRPr="0066263B">
        <w:rPr>
          <w:rFonts w:ascii="Times New Roman" w:hAnsi="Times New Roman"/>
          <w:sz w:val="24"/>
          <w:szCs w:val="24"/>
        </w:rPr>
        <w:t>9 365 сл. или 63 508,7 на 100 тыс. нас.</w:t>
      </w:r>
      <w:r w:rsidRPr="0066263B">
        <w:rPr>
          <w:rFonts w:ascii="Times New Roman" w:eastAsia="Times New Roman" w:hAnsi="Times New Roman" w:cs="Times New Roman"/>
          <w:sz w:val="24"/>
          <w:szCs w:val="24"/>
          <w:lang w:eastAsia="ru-RU"/>
        </w:rPr>
        <w:t>)</w:t>
      </w:r>
      <w:r w:rsidR="00CC69E1" w:rsidRPr="0066263B">
        <w:rPr>
          <w:rFonts w:ascii="Times New Roman" w:eastAsia="Times New Roman" w:hAnsi="Times New Roman" w:cs="Times New Roman"/>
          <w:sz w:val="24"/>
          <w:szCs w:val="24"/>
          <w:lang w:eastAsia="ru-RU"/>
        </w:rPr>
        <w:t>;</w:t>
      </w:r>
    </w:p>
    <w:p w:rsidR="00CC69E1" w:rsidRPr="0066263B" w:rsidRDefault="00262DC9" w:rsidP="00BE7104">
      <w:pPr>
        <w:numPr>
          <w:ilvl w:val="0"/>
          <w:numId w:val="61"/>
        </w:numPr>
        <w:spacing w:before="0" w:after="0"/>
        <w:ind w:left="993" w:hanging="21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Карачевский район (</w:t>
      </w:r>
      <w:r w:rsidR="00CC69E1" w:rsidRPr="0066263B">
        <w:rPr>
          <w:rFonts w:ascii="Times New Roman" w:hAnsi="Times New Roman"/>
          <w:sz w:val="24"/>
          <w:szCs w:val="24"/>
        </w:rPr>
        <w:t>17 650 сл. или 55 928,8 на 100 тыс. нас.</w:t>
      </w:r>
      <w:r w:rsidRPr="0066263B">
        <w:rPr>
          <w:rFonts w:ascii="Times New Roman" w:eastAsia="Times New Roman" w:hAnsi="Times New Roman" w:cs="Times New Roman"/>
          <w:sz w:val="24"/>
          <w:szCs w:val="24"/>
          <w:lang w:eastAsia="ru-RU"/>
        </w:rPr>
        <w:t>)</w:t>
      </w:r>
      <w:r w:rsidR="00CC69E1" w:rsidRPr="0066263B">
        <w:rPr>
          <w:rFonts w:ascii="Times New Roman" w:eastAsia="Times New Roman" w:hAnsi="Times New Roman" w:cs="Times New Roman"/>
          <w:sz w:val="24"/>
          <w:szCs w:val="24"/>
          <w:lang w:eastAsia="ru-RU"/>
        </w:rPr>
        <w:t>;</w:t>
      </w:r>
    </w:p>
    <w:p w:rsidR="00262DC9" w:rsidRPr="0066263B" w:rsidRDefault="00CC69E1" w:rsidP="00BE7104">
      <w:pPr>
        <w:numPr>
          <w:ilvl w:val="0"/>
          <w:numId w:val="61"/>
        </w:numPr>
        <w:spacing w:before="0" w:after="0"/>
        <w:ind w:left="993" w:hanging="219"/>
        <w:rPr>
          <w:rFonts w:ascii="Times New Roman" w:eastAsia="Times New Roman" w:hAnsi="Times New Roman" w:cs="Times New Roman"/>
          <w:sz w:val="24"/>
          <w:szCs w:val="24"/>
          <w:lang w:eastAsia="ru-RU"/>
        </w:rPr>
      </w:pPr>
      <w:r w:rsidRPr="0066263B">
        <w:rPr>
          <w:rFonts w:ascii="Times New Roman" w:hAnsi="Times New Roman"/>
          <w:sz w:val="24"/>
          <w:szCs w:val="24"/>
        </w:rPr>
        <w:t>Суземский район (7 146 сл. или 48 108,3 на 100 тыс. нас.)</w:t>
      </w:r>
      <w:r w:rsidR="00262DC9" w:rsidRPr="0066263B">
        <w:rPr>
          <w:rFonts w:ascii="Times New Roman" w:eastAsia="Times New Roman" w:hAnsi="Times New Roman" w:cs="Times New Roman"/>
          <w:sz w:val="24"/>
          <w:szCs w:val="24"/>
          <w:lang w:eastAsia="ru-RU"/>
        </w:rPr>
        <w:t>.</w:t>
      </w:r>
    </w:p>
    <w:p w:rsidR="00CC69E1" w:rsidRPr="0066263B" w:rsidRDefault="00CC69E1" w:rsidP="00CC69E1">
      <w:pPr>
        <w:spacing w:before="0" w:after="0"/>
        <w:ind w:firstLine="709"/>
        <w:rPr>
          <w:rFonts w:ascii="Times New Roman" w:eastAsia="Times New Roman" w:hAnsi="Times New Roman" w:cs="Times New Roman"/>
          <w:sz w:val="24"/>
          <w:szCs w:val="24"/>
          <w:lang w:eastAsia="ru-RU"/>
        </w:rPr>
      </w:pPr>
    </w:p>
    <w:p w:rsidR="00CC69E1" w:rsidRPr="0066263B" w:rsidRDefault="00CC69E1" w:rsidP="00CC69E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Превышение среднеобластного уровня заболеваемости составило по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Брянску – 56,5%</w:t>
      </w:r>
      <w:r w:rsidR="00406067"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Брянскому району – 43,8%</w:t>
      </w:r>
      <w:r w:rsidR="00406067"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г. Фокино – на 37,9%</w:t>
      </w:r>
      <w:r w:rsidR="00406067"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Карачевскому району – 21,5%</w:t>
      </w:r>
      <w:r w:rsidR="00406067"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Суземскому району – 5%.</w:t>
      </w:r>
    </w:p>
    <w:p w:rsidR="00CC69E1" w:rsidRPr="0066263B" w:rsidRDefault="00CC69E1" w:rsidP="00262DC9">
      <w:pPr>
        <w:spacing w:before="0" w:after="0"/>
        <w:jc w:val="center"/>
        <w:rPr>
          <w:rFonts w:ascii="Times New Roman" w:eastAsia="Times New Roman" w:hAnsi="Times New Roman" w:cs="Times New Roman"/>
          <w:sz w:val="24"/>
          <w:szCs w:val="24"/>
          <w:lang w:eastAsia="ru-RU"/>
        </w:rPr>
      </w:pPr>
    </w:p>
    <w:p w:rsidR="00CC69E1" w:rsidRPr="0066263B" w:rsidRDefault="00CC69E1" w:rsidP="00262DC9">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306291" cy="4073236"/>
            <wp:effectExtent l="0" t="0" r="0" b="0"/>
            <wp:docPr id="2" name="Объект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C69E1" w:rsidRPr="0066263B" w:rsidRDefault="00CC69E1" w:rsidP="00262DC9">
      <w:pPr>
        <w:spacing w:before="0" w:after="0"/>
        <w:jc w:val="center"/>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CYR" w:eastAsia="Times New Roman" w:hAnsi="Times New Roman CYR" w:cs="Times New Roman CYR"/>
          <w:lang w:eastAsia="ar-SA"/>
        </w:rPr>
      </w:pPr>
      <w:r w:rsidRPr="0066263B">
        <w:rPr>
          <w:rFonts w:ascii="Times New Roman" w:eastAsia="Times New Roman" w:hAnsi="Times New Roman" w:cs="Times New Roman"/>
          <w:b/>
          <w:lang w:eastAsia="ar-SA"/>
        </w:rPr>
        <w:t xml:space="preserve">Рис. </w:t>
      </w:r>
      <w:r w:rsidR="006C34E2" w:rsidRPr="0066263B">
        <w:rPr>
          <w:rFonts w:ascii="Times New Roman" w:eastAsia="Times New Roman" w:hAnsi="Times New Roman" w:cs="Times New Roman"/>
          <w:b/>
          <w:lang w:eastAsia="ar-SA"/>
        </w:rPr>
        <w:fldChar w:fldCharType="begin"/>
      </w:r>
      <w:r w:rsidRPr="0066263B">
        <w:rPr>
          <w:rFonts w:ascii="Times New Roman" w:eastAsia="Times New Roman" w:hAnsi="Times New Roman" w:cs="Times New Roman"/>
          <w:b/>
          <w:lang w:eastAsia="ar-SA"/>
        </w:rPr>
        <w:instrText xml:space="preserve"> SEQ Рис._№ \* ARABIC </w:instrText>
      </w:r>
      <w:r w:rsidR="006C34E2" w:rsidRPr="0066263B">
        <w:rPr>
          <w:rFonts w:ascii="Times New Roman" w:eastAsia="Times New Roman" w:hAnsi="Times New Roman" w:cs="Times New Roman"/>
          <w:b/>
          <w:lang w:eastAsia="ar-SA"/>
        </w:rPr>
        <w:fldChar w:fldCharType="separate"/>
      </w:r>
      <w:r w:rsidR="00EC1D99">
        <w:rPr>
          <w:rFonts w:ascii="Times New Roman" w:eastAsia="Times New Roman" w:hAnsi="Times New Roman" w:cs="Times New Roman"/>
          <w:b/>
          <w:noProof/>
          <w:lang w:eastAsia="ar-SA"/>
        </w:rPr>
        <w:t>57</w:t>
      </w:r>
      <w:r w:rsidR="006C34E2" w:rsidRPr="0066263B">
        <w:rPr>
          <w:rFonts w:ascii="Times New Roman" w:eastAsia="Times New Roman" w:hAnsi="Times New Roman" w:cs="Times New Roman"/>
          <w:b/>
          <w:lang w:eastAsia="ar-SA"/>
        </w:rPr>
        <w:fldChar w:fldCharType="end"/>
      </w:r>
      <w:r w:rsidRPr="0066263B">
        <w:rPr>
          <w:rFonts w:ascii="Times New Roman" w:eastAsia="Times New Roman" w:hAnsi="Times New Roman" w:cs="Times New Roman"/>
          <w:b/>
          <w:lang w:eastAsia="ar-SA"/>
        </w:rPr>
        <w:t>.</w:t>
      </w:r>
      <w:r w:rsidRPr="0066263B">
        <w:rPr>
          <w:rFonts w:ascii="Times New Roman" w:eastAsia="Times New Roman" w:hAnsi="Times New Roman" w:cs="Times New Roman"/>
          <w:lang w:eastAsia="ar-SA"/>
        </w:rPr>
        <w:t xml:space="preserve"> </w:t>
      </w:r>
      <w:r w:rsidRPr="0066263B">
        <w:rPr>
          <w:rFonts w:ascii="Times New Roman CYR" w:eastAsia="Times New Roman" w:hAnsi="Times New Roman CYR" w:cs="Times New Roman CYR"/>
          <w:lang w:eastAsia="ar-SA"/>
        </w:rPr>
        <w:t>Ранжирование территорий по уровню инфекционной заболеваемости</w:t>
      </w:r>
      <w:r w:rsidRPr="0066263B">
        <w:rPr>
          <w:rFonts w:ascii="Times New Roman CYR" w:eastAsia="Times New Roman" w:hAnsi="Times New Roman CYR" w:cs="Times New Roman CYR"/>
          <w:lang w:eastAsia="ar-SA"/>
        </w:rPr>
        <w:br/>
        <w:t xml:space="preserve">по городам, на 100 тыс. </w:t>
      </w:r>
      <w:r w:rsidRPr="0066263B">
        <w:rPr>
          <w:rFonts w:ascii="Times New Roman" w:eastAsia="Times New Roman" w:hAnsi="Times New Roman" w:cs="Times New Roman"/>
          <w:lang w:eastAsia="ru-RU"/>
        </w:rPr>
        <w:t>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CC69E1" w:rsidRPr="0066263B" w:rsidRDefault="00CC69E1" w:rsidP="00CC69E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Низкие уровни заболеваемости регистрировались </w:t>
      </w:r>
      <w:proofErr w:type="gramStart"/>
      <w:r w:rsidRPr="0066263B">
        <w:rPr>
          <w:rFonts w:ascii="Times New Roman" w:eastAsia="Times New Roman" w:hAnsi="Times New Roman" w:cs="Times New Roman"/>
          <w:sz w:val="24"/>
          <w:szCs w:val="24"/>
          <w:lang w:eastAsia="ru-RU"/>
        </w:rPr>
        <w:t>в</w:t>
      </w:r>
      <w:proofErr w:type="gramEnd"/>
      <w:r w:rsidRPr="0066263B">
        <w:rPr>
          <w:rFonts w:ascii="Times New Roman" w:eastAsia="Times New Roman" w:hAnsi="Times New Roman" w:cs="Times New Roman"/>
          <w:sz w:val="24"/>
          <w:szCs w:val="24"/>
          <w:lang w:eastAsia="ru-RU"/>
        </w:rPr>
        <w:t xml:space="preserve"> </w:t>
      </w:r>
      <w:proofErr w:type="gramStart"/>
      <w:r w:rsidRPr="0066263B">
        <w:rPr>
          <w:rFonts w:ascii="Times New Roman" w:eastAsia="Times New Roman" w:hAnsi="Times New Roman" w:cs="Times New Roman"/>
          <w:sz w:val="24"/>
          <w:szCs w:val="24"/>
          <w:lang w:eastAsia="ru-RU"/>
        </w:rPr>
        <w:t>Севском</w:t>
      </w:r>
      <w:proofErr w:type="gramEnd"/>
      <w:r w:rsidRPr="0066263B">
        <w:rPr>
          <w:rFonts w:ascii="Times New Roman" w:eastAsia="Times New Roman" w:hAnsi="Times New Roman" w:cs="Times New Roman"/>
          <w:sz w:val="24"/>
          <w:szCs w:val="24"/>
          <w:lang w:eastAsia="ru-RU"/>
        </w:rPr>
        <w:t xml:space="preserve"> (6</w:t>
      </w:r>
      <w:r w:rsidR="00406067"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242,3 на 100 тыс. нас.), Клинцовском (12</w:t>
      </w:r>
      <w:r w:rsidR="00406067"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619 на 100 тыс. нас.), Клетнянском (16</w:t>
      </w:r>
      <w:r w:rsidR="00406067"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241,5 на 100 тыс. нас.), а также Красногорском, Стародубском, Гордеевском районах, где показатели в 3-4 раза ниже среднеобластн</w:t>
      </w:r>
      <w:r w:rsidR="00406067" w:rsidRPr="0066263B">
        <w:rPr>
          <w:rFonts w:ascii="Times New Roman" w:eastAsia="Times New Roman" w:hAnsi="Times New Roman" w:cs="Times New Roman"/>
          <w:sz w:val="24"/>
          <w:szCs w:val="24"/>
          <w:lang w:eastAsia="ru-RU"/>
        </w:rPr>
        <w:t>ого</w:t>
      </w:r>
      <w:r w:rsidRPr="0066263B">
        <w:rPr>
          <w:rFonts w:ascii="Times New Roman" w:eastAsia="Times New Roman" w:hAnsi="Times New Roman" w:cs="Times New Roman"/>
          <w:sz w:val="24"/>
          <w:szCs w:val="24"/>
          <w:lang w:eastAsia="ru-RU"/>
        </w:rPr>
        <w:t xml:space="preserve"> уровн</w:t>
      </w:r>
      <w:r w:rsidR="00406067" w:rsidRPr="0066263B">
        <w:rPr>
          <w:rFonts w:ascii="Times New Roman" w:eastAsia="Times New Roman" w:hAnsi="Times New Roman" w:cs="Times New Roman"/>
          <w:sz w:val="24"/>
          <w:szCs w:val="24"/>
          <w:lang w:eastAsia="ru-RU"/>
        </w:rPr>
        <w:t>я</w:t>
      </w:r>
      <w:r w:rsidRPr="0066263B">
        <w:rPr>
          <w:rFonts w:ascii="Times New Roman" w:eastAsia="Times New Roman" w:hAnsi="Times New Roman" w:cs="Times New Roman"/>
          <w:sz w:val="24"/>
          <w:szCs w:val="24"/>
          <w:lang w:eastAsia="ru-RU"/>
        </w:rPr>
        <w:t>.</w:t>
      </w:r>
    </w:p>
    <w:p w:rsidR="00CC69E1" w:rsidRPr="0066263B" w:rsidRDefault="00CC69E1" w:rsidP="00262DC9">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lastRenderedPageBreak/>
        <w:drawing>
          <wp:inline distT="0" distB="0" distL="0" distR="0">
            <wp:extent cx="5759450" cy="8591847"/>
            <wp:effectExtent l="0" t="0" r="0" b="0"/>
            <wp:docPr id="764"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lang w:eastAsia="ar-SA"/>
        </w:rPr>
        <w:t xml:space="preserve">Рис. </w:t>
      </w:r>
      <w:r w:rsidR="006C34E2" w:rsidRPr="0066263B">
        <w:rPr>
          <w:rFonts w:ascii="Times New Roman" w:eastAsia="Times New Roman" w:hAnsi="Times New Roman" w:cs="Times New Roman"/>
          <w:b/>
          <w:lang w:eastAsia="ar-SA"/>
        </w:rPr>
        <w:fldChar w:fldCharType="begin"/>
      </w:r>
      <w:r w:rsidRPr="0066263B">
        <w:rPr>
          <w:rFonts w:ascii="Times New Roman" w:eastAsia="Times New Roman" w:hAnsi="Times New Roman" w:cs="Times New Roman"/>
          <w:b/>
          <w:lang w:eastAsia="ar-SA"/>
        </w:rPr>
        <w:instrText xml:space="preserve"> SEQ Рис._№ \* ARABIC </w:instrText>
      </w:r>
      <w:r w:rsidR="006C34E2" w:rsidRPr="0066263B">
        <w:rPr>
          <w:rFonts w:ascii="Times New Roman" w:eastAsia="Times New Roman" w:hAnsi="Times New Roman" w:cs="Times New Roman"/>
          <w:b/>
          <w:lang w:eastAsia="ar-SA"/>
        </w:rPr>
        <w:fldChar w:fldCharType="separate"/>
      </w:r>
      <w:r w:rsidR="00EC1D99">
        <w:rPr>
          <w:rFonts w:ascii="Times New Roman" w:eastAsia="Times New Roman" w:hAnsi="Times New Roman" w:cs="Times New Roman"/>
          <w:b/>
          <w:noProof/>
          <w:lang w:eastAsia="ar-SA"/>
        </w:rPr>
        <w:t>58</w:t>
      </w:r>
      <w:r w:rsidR="006C34E2" w:rsidRPr="0066263B">
        <w:rPr>
          <w:rFonts w:ascii="Times New Roman" w:eastAsia="Times New Roman" w:hAnsi="Times New Roman" w:cs="Times New Roman"/>
          <w:b/>
          <w:lang w:eastAsia="ar-SA"/>
        </w:rPr>
        <w:fldChar w:fldCharType="end"/>
      </w:r>
      <w:r w:rsidRPr="0066263B">
        <w:rPr>
          <w:rFonts w:ascii="Times New Roman" w:eastAsia="Times New Roman" w:hAnsi="Times New Roman" w:cs="Times New Roman"/>
          <w:b/>
          <w:lang w:eastAsia="ar-SA"/>
        </w:rPr>
        <w:t>.</w:t>
      </w:r>
      <w:r w:rsidRPr="0066263B">
        <w:rPr>
          <w:rFonts w:ascii="Times New Roman" w:eastAsia="Times New Roman" w:hAnsi="Times New Roman" w:cs="Times New Roman"/>
          <w:lang w:eastAsia="ar-SA"/>
        </w:rPr>
        <w:t xml:space="preserve"> </w:t>
      </w:r>
      <w:r w:rsidRPr="0066263B">
        <w:rPr>
          <w:rFonts w:ascii="Times New Roman CYR" w:eastAsia="Times New Roman" w:hAnsi="Times New Roman CYR" w:cs="Times New Roman CYR"/>
          <w:lang w:eastAsia="ar-SA"/>
        </w:rPr>
        <w:t>Ранжирование территорий по уровню инфекционной заболеваемости</w:t>
      </w:r>
      <w:r w:rsidRPr="0066263B">
        <w:rPr>
          <w:rFonts w:ascii="Times New Roman CYR" w:eastAsia="Times New Roman" w:hAnsi="Times New Roman CYR" w:cs="Times New Roman CYR"/>
          <w:lang w:eastAsia="ar-SA"/>
        </w:rPr>
        <w:br/>
        <w:t xml:space="preserve">по районам, на 100 тыс. </w:t>
      </w:r>
      <w:r w:rsidRPr="0066263B">
        <w:rPr>
          <w:rFonts w:ascii="Times New Roman" w:eastAsia="Times New Roman" w:hAnsi="Times New Roman" w:cs="Times New Roman"/>
          <w:lang w:eastAsia="ru-RU"/>
        </w:rPr>
        <w:t>населения</w:t>
      </w:r>
    </w:p>
    <w:p w:rsidR="008474EF" w:rsidRPr="0066263B" w:rsidRDefault="008474EF" w:rsidP="00262DC9">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lastRenderedPageBreak/>
        <w:t xml:space="preserve">Анализ структуры инфекционных и паразитарных заболеваний в 2021 году показал, что на грипп и ОРЗ приходится 73,5% от всей регистрируемой заболеваемости, кишечные инфекции составили 0,6%, паразитарные заболевания (гельминтозы, </w:t>
      </w:r>
      <w:proofErr w:type="spellStart"/>
      <w:r w:rsidRPr="0066263B">
        <w:rPr>
          <w:rFonts w:ascii="Times New Roman" w:eastAsia="Times New Roman" w:hAnsi="Times New Roman" w:cs="Times New Roman"/>
          <w:sz w:val="24"/>
          <w:szCs w:val="24"/>
          <w:lang w:eastAsia="ru-RU"/>
        </w:rPr>
        <w:t>протозоозы</w:t>
      </w:r>
      <w:proofErr w:type="spellEnd"/>
      <w:r w:rsidRPr="0066263B">
        <w:rPr>
          <w:rFonts w:ascii="Times New Roman" w:eastAsia="Times New Roman" w:hAnsi="Times New Roman" w:cs="Times New Roman"/>
          <w:sz w:val="24"/>
          <w:szCs w:val="24"/>
          <w:lang w:eastAsia="ru-RU"/>
        </w:rPr>
        <w:t>, чесотка) – 0,17%, социально-значимые заболевания (туберкулёз, СПИД, парентеральные гепатиты, педикулёз, сифилис) – 0,16%, «детские» инфекции – 0,6%, природно-очаговые инфекции – 0,01%, внебольничные пневмонии – 7,8%, COVID-19 – 16,1%, прочие (укусы животными, укусы клещами) – 0,83%</w:t>
      </w:r>
      <w:r w:rsidR="00921A39" w:rsidRPr="0066263B">
        <w:rPr>
          <w:rFonts w:ascii="Times New Roman" w:eastAsia="Times New Roman" w:hAnsi="Times New Roman" w:cs="Times New Roman"/>
          <w:sz w:val="24"/>
          <w:szCs w:val="24"/>
          <w:lang w:eastAsia="ru-RU"/>
        </w:rPr>
        <w:t xml:space="preserve"> (рис. 59)</w:t>
      </w:r>
      <w:r w:rsidRPr="0066263B">
        <w:rPr>
          <w:rFonts w:ascii="Times New Roman" w:eastAsia="Times New Roman" w:hAnsi="Times New Roman" w:cs="Times New Roman"/>
          <w:sz w:val="24"/>
          <w:szCs w:val="24"/>
          <w:lang w:eastAsia="ru-RU"/>
        </w:rPr>
        <w:t>.</w:t>
      </w:r>
      <w:proofErr w:type="gramEnd"/>
    </w:p>
    <w:p w:rsidR="008474EF" w:rsidRPr="0066263B" w:rsidRDefault="008474EF" w:rsidP="008474EF">
      <w:pPr>
        <w:spacing w:before="0" w:after="0"/>
        <w:jc w:val="center"/>
        <w:rPr>
          <w:rFonts w:ascii="Times New Roman" w:eastAsia="Times New Roman" w:hAnsi="Times New Roman" w:cs="Times New Roman"/>
          <w:sz w:val="24"/>
          <w:szCs w:val="24"/>
          <w:lang w:val="en-US" w:eastAsia="ru-RU"/>
        </w:rPr>
      </w:pPr>
      <w:r w:rsidRPr="0066263B">
        <w:rPr>
          <w:rFonts w:ascii="Times New Roman" w:eastAsia="Times New Roman" w:hAnsi="Times New Roman" w:cs="Times New Roman"/>
          <w:noProof/>
          <w:sz w:val="24"/>
          <w:szCs w:val="24"/>
          <w:lang w:eastAsia="ru-RU"/>
        </w:rPr>
        <w:drawing>
          <wp:inline distT="0" distB="0" distL="0" distR="0">
            <wp:extent cx="5611126" cy="3043451"/>
            <wp:effectExtent l="19050" t="0" r="8624" b="0"/>
            <wp:docPr id="27"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24483" w:rsidRPr="0066263B" w:rsidRDefault="00324483" w:rsidP="00324483">
      <w:pPr>
        <w:spacing w:before="0" w:after="0"/>
        <w:jc w:val="center"/>
        <w:rPr>
          <w:rFonts w:ascii="Times New Roman CYR" w:eastAsia="Times New Roman" w:hAnsi="Times New Roman CYR" w:cs="Times New Roman CYR"/>
          <w:lang w:eastAsia="ar-SA"/>
        </w:rPr>
      </w:pPr>
      <w:r w:rsidRPr="0066263B">
        <w:rPr>
          <w:rFonts w:ascii="Times New Roman" w:eastAsia="Times New Roman" w:hAnsi="Times New Roman" w:cs="Times New Roman"/>
          <w:b/>
          <w:lang w:eastAsia="ar-SA"/>
        </w:rPr>
        <w:t xml:space="preserve">Рис. </w:t>
      </w:r>
      <w:r w:rsidR="006C34E2" w:rsidRPr="0066263B">
        <w:rPr>
          <w:rFonts w:ascii="Times New Roman" w:eastAsia="Times New Roman" w:hAnsi="Times New Roman" w:cs="Times New Roman"/>
          <w:b/>
          <w:lang w:eastAsia="ar-SA"/>
        </w:rPr>
        <w:fldChar w:fldCharType="begin"/>
      </w:r>
      <w:r w:rsidRPr="0066263B">
        <w:rPr>
          <w:rFonts w:ascii="Times New Roman" w:eastAsia="Times New Roman" w:hAnsi="Times New Roman" w:cs="Times New Roman"/>
          <w:b/>
          <w:lang w:eastAsia="ar-SA"/>
        </w:rPr>
        <w:instrText xml:space="preserve"> SEQ Рис._№ \* ARABIC </w:instrText>
      </w:r>
      <w:r w:rsidR="006C34E2" w:rsidRPr="0066263B">
        <w:rPr>
          <w:rFonts w:ascii="Times New Roman" w:eastAsia="Times New Roman" w:hAnsi="Times New Roman" w:cs="Times New Roman"/>
          <w:b/>
          <w:lang w:eastAsia="ar-SA"/>
        </w:rPr>
        <w:fldChar w:fldCharType="separate"/>
      </w:r>
      <w:r w:rsidR="00EC1D99">
        <w:rPr>
          <w:rFonts w:ascii="Times New Roman" w:eastAsia="Times New Roman" w:hAnsi="Times New Roman" w:cs="Times New Roman"/>
          <w:b/>
          <w:noProof/>
          <w:lang w:eastAsia="ar-SA"/>
        </w:rPr>
        <w:t>59</w:t>
      </w:r>
      <w:r w:rsidR="006C34E2" w:rsidRPr="0066263B">
        <w:rPr>
          <w:rFonts w:ascii="Times New Roman" w:eastAsia="Times New Roman" w:hAnsi="Times New Roman" w:cs="Times New Roman"/>
          <w:b/>
          <w:lang w:eastAsia="ar-SA"/>
        </w:rPr>
        <w:fldChar w:fldCharType="end"/>
      </w:r>
      <w:r w:rsidRPr="0066263B">
        <w:rPr>
          <w:rFonts w:ascii="Times New Roman" w:eastAsia="Times New Roman" w:hAnsi="Times New Roman" w:cs="Times New Roman"/>
          <w:b/>
          <w:lang w:eastAsia="ar-SA"/>
        </w:rPr>
        <w:t>.</w:t>
      </w:r>
      <w:r w:rsidRPr="0066263B">
        <w:rPr>
          <w:rFonts w:ascii="Times New Roman" w:eastAsia="Times New Roman" w:hAnsi="Times New Roman" w:cs="Times New Roman"/>
          <w:lang w:eastAsia="ar-SA"/>
        </w:rPr>
        <w:t xml:space="preserve"> </w:t>
      </w:r>
      <w:r w:rsidRPr="0066263B">
        <w:rPr>
          <w:rFonts w:ascii="Times New Roman CYR" w:eastAsia="Times New Roman" w:hAnsi="Times New Roman CYR" w:cs="Times New Roman CYR"/>
          <w:lang w:eastAsia="ar-SA"/>
        </w:rPr>
        <w:t>Структура инфекционных и паразитарных заболеваний</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FB7F86" w:rsidRPr="0066263B" w:rsidRDefault="00FB7F86"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структуре инфекционной заболеваемости на грипп и ОРВИ приходится 404 820 случаев или 73,5% от всей заболеваемости 2021 года, COVID-19 – 88 666 случаев или 16,1% всей заболеваемости, внебольничные пневмонии – 43 466 случаев или 7,8% от всей заболеваемости. На острые кишечные инфекции приходится 2 984 случая или 0,6% от всей заболеваемости, зарегистрированной на территории области в прошедшем году.</w:t>
      </w:r>
    </w:p>
    <w:p w:rsidR="00FB7F86" w:rsidRPr="0066263B" w:rsidRDefault="00FB7F86"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рост заболеваемости зарегистрирован по 26 нозологическим формам, в том числе:</w:t>
      </w:r>
    </w:p>
    <w:p w:rsidR="00FB7F86" w:rsidRPr="0066263B" w:rsidRDefault="00FB7F86"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i/>
          <w:sz w:val="24"/>
          <w:szCs w:val="24"/>
          <w:lang w:eastAsia="ru-RU"/>
        </w:rPr>
        <w:t>по воздушно-капельным инфекциям</w:t>
      </w:r>
      <w:r w:rsidRPr="0066263B">
        <w:rPr>
          <w:rFonts w:ascii="Times New Roman" w:eastAsia="Times New Roman" w:hAnsi="Times New Roman" w:cs="Times New Roman"/>
          <w:sz w:val="24"/>
          <w:szCs w:val="24"/>
          <w:lang w:eastAsia="ru-RU"/>
        </w:rPr>
        <w:t xml:space="preserve">: менингококковой инфекции </w:t>
      </w:r>
      <w:r w:rsidRPr="0066263B">
        <w:rPr>
          <w:rFonts w:ascii="Times New Roman" w:hAnsi="Times New Roman"/>
          <w:sz w:val="24"/>
          <w:szCs w:val="24"/>
        </w:rPr>
        <w:t xml:space="preserve">– </w:t>
      </w:r>
      <w:r w:rsidRPr="0066263B">
        <w:rPr>
          <w:rFonts w:ascii="Times New Roman" w:eastAsia="Times New Roman" w:hAnsi="Times New Roman" w:cs="Times New Roman"/>
          <w:sz w:val="24"/>
          <w:szCs w:val="24"/>
          <w:lang w:eastAsia="ru-RU"/>
        </w:rPr>
        <w:t xml:space="preserve">в 2,5 раза, в том числе генерализованным формам </w:t>
      </w:r>
      <w:r w:rsidRPr="0066263B">
        <w:rPr>
          <w:rFonts w:ascii="Times New Roman" w:hAnsi="Times New Roman"/>
          <w:sz w:val="24"/>
          <w:szCs w:val="24"/>
        </w:rPr>
        <w:t xml:space="preserve">– </w:t>
      </w:r>
      <w:r w:rsidRPr="0066263B">
        <w:rPr>
          <w:rFonts w:ascii="Times New Roman" w:eastAsia="Times New Roman" w:hAnsi="Times New Roman" w:cs="Times New Roman"/>
          <w:sz w:val="24"/>
          <w:szCs w:val="24"/>
          <w:lang w:eastAsia="ru-RU"/>
        </w:rPr>
        <w:t>в 2,6 раза, паротиту – на 1 случай;</w:t>
      </w:r>
    </w:p>
    <w:p w:rsidR="00FB7F86" w:rsidRPr="0066263B" w:rsidRDefault="00FB7F86"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i/>
          <w:sz w:val="24"/>
          <w:szCs w:val="24"/>
          <w:lang w:eastAsia="ru-RU"/>
        </w:rPr>
        <w:t>по природно-очаговым инфекциям</w:t>
      </w:r>
      <w:r w:rsidRPr="0066263B">
        <w:rPr>
          <w:rFonts w:ascii="Times New Roman" w:eastAsia="Times New Roman" w:hAnsi="Times New Roman" w:cs="Times New Roman"/>
          <w:sz w:val="24"/>
          <w:szCs w:val="24"/>
          <w:lang w:eastAsia="ru-RU"/>
        </w:rPr>
        <w:t>: ГЛПС – в 1,4 раза, туляремии – на 1 случай, укусам животными – на 7%;</w:t>
      </w:r>
    </w:p>
    <w:p w:rsidR="00FB7F86" w:rsidRPr="0066263B" w:rsidRDefault="005169E5" w:rsidP="00FB7F86">
      <w:pPr>
        <w:spacing w:before="0" w:after="0"/>
        <w:ind w:firstLine="709"/>
        <w:rPr>
          <w:rFonts w:ascii="Times New Roman" w:eastAsia="Times New Roman" w:hAnsi="Times New Roman" w:cs="Times New Roman"/>
          <w:sz w:val="24"/>
          <w:szCs w:val="24"/>
          <w:lang w:eastAsia="ru-RU"/>
        </w:rPr>
      </w:pPr>
      <w:r w:rsidRPr="0066263B">
        <w:rPr>
          <w:rFonts w:ascii="Times New Roman" w:hAnsi="Times New Roman"/>
          <w:i/>
          <w:sz w:val="24"/>
          <w:szCs w:val="24"/>
        </w:rPr>
        <w:t xml:space="preserve">по </w:t>
      </w:r>
      <w:r w:rsidR="00FB7F86" w:rsidRPr="0066263B">
        <w:rPr>
          <w:rFonts w:ascii="Times New Roman" w:hAnsi="Times New Roman"/>
          <w:i/>
          <w:sz w:val="24"/>
          <w:szCs w:val="24"/>
        </w:rPr>
        <w:t>острым кишечным инфекциям</w:t>
      </w:r>
      <w:r w:rsidR="00FB7F86" w:rsidRPr="0066263B">
        <w:rPr>
          <w:rFonts w:ascii="Times New Roman" w:hAnsi="Times New Roman"/>
          <w:sz w:val="24"/>
          <w:szCs w:val="24"/>
        </w:rPr>
        <w:t xml:space="preserve">: сальмонеллёзами </w:t>
      </w:r>
      <w:r w:rsidR="00FB7F86" w:rsidRPr="0066263B">
        <w:rPr>
          <w:rFonts w:ascii="Times New Roman" w:eastAsia="Times New Roman" w:hAnsi="Times New Roman" w:cs="Times New Roman"/>
          <w:sz w:val="24"/>
          <w:szCs w:val="24"/>
          <w:lang w:eastAsia="ru-RU"/>
        </w:rPr>
        <w:t xml:space="preserve">– </w:t>
      </w:r>
      <w:r w:rsidR="00FB7F86" w:rsidRPr="0066263B">
        <w:rPr>
          <w:rFonts w:ascii="Times New Roman" w:hAnsi="Times New Roman"/>
          <w:sz w:val="24"/>
          <w:szCs w:val="24"/>
        </w:rPr>
        <w:t>на 6%, сальмонеллёзом</w:t>
      </w:r>
      <w:proofErr w:type="gramStart"/>
      <w:r w:rsidR="00FB7F86" w:rsidRPr="0066263B">
        <w:rPr>
          <w:rFonts w:ascii="Times New Roman" w:hAnsi="Times New Roman"/>
          <w:sz w:val="24"/>
          <w:szCs w:val="24"/>
        </w:rPr>
        <w:t xml:space="preserve"> Д</w:t>
      </w:r>
      <w:proofErr w:type="gramEnd"/>
      <w:r w:rsidR="00FB7F86" w:rsidRPr="0066263B">
        <w:rPr>
          <w:rFonts w:ascii="Times New Roman" w:hAnsi="Times New Roman"/>
          <w:sz w:val="24"/>
          <w:szCs w:val="24"/>
        </w:rPr>
        <w:t xml:space="preserve"> – на 14%, дизентерией – в 1,3 раза, в том числе дизентерией Зонне – в 7 раз, ОКИ установленной этиологии – в 2,3 раза, ОКИ неустановленной этиологии – в 1,2 раза, вирусным гепатитом А – в 1,2 раза, микроспорией – в 5,1 раза.</w:t>
      </w:r>
    </w:p>
    <w:p w:rsidR="00FB7F86" w:rsidRPr="0066263B" w:rsidRDefault="00FB7F86"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Снижение инфекционной и паразитарной заболеваемости среди жителей области отмечено по 24 нозологическим формам, в том числе:</w:t>
      </w:r>
    </w:p>
    <w:p w:rsidR="00FB7F86" w:rsidRPr="0066263B" w:rsidRDefault="0057363C" w:rsidP="00FB7F86">
      <w:pPr>
        <w:spacing w:before="0"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п</w:t>
      </w:r>
      <w:r w:rsidR="005169E5" w:rsidRPr="0066263B">
        <w:rPr>
          <w:rFonts w:ascii="Times New Roman" w:eastAsia="Times New Roman" w:hAnsi="Times New Roman" w:cs="Times New Roman"/>
          <w:i/>
          <w:sz w:val="24"/>
          <w:szCs w:val="24"/>
          <w:lang w:eastAsia="ru-RU"/>
        </w:rPr>
        <w:t xml:space="preserve">о </w:t>
      </w:r>
      <w:r w:rsidR="00FB7F86" w:rsidRPr="0066263B">
        <w:rPr>
          <w:rFonts w:ascii="Times New Roman" w:eastAsia="Times New Roman" w:hAnsi="Times New Roman" w:cs="Times New Roman"/>
          <w:i/>
          <w:sz w:val="24"/>
          <w:szCs w:val="24"/>
          <w:lang w:eastAsia="ru-RU"/>
        </w:rPr>
        <w:t>острым кишечным инфекциям</w:t>
      </w:r>
      <w:r w:rsidR="00FB7F86" w:rsidRPr="0066263B">
        <w:rPr>
          <w:rFonts w:ascii="Times New Roman" w:eastAsia="Times New Roman" w:hAnsi="Times New Roman" w:cs="Times New Roman"/>
          <w:sz w:val="24"/>
          <w:szCs w:val="24"/>
          <w:lang w:eastAsia="ru-RU"/>
        </w:rPr>
        <w:t>: сальмонеллёзу</w:t>
      </w:r>
      <w:proofErr w:type="gramStart"/>
      <w:r w:rsidR="00FB7F86" w:rsidRPr="0066263B">
        <w:rPr>
          <w:rFonts w:ascii="Times New Roman" w:eastAsia="Times New Roman" w:hAnsi="Times New Roman" w:cs="Times New Roman"/>
          <w:sz w:val="24"/>
          <w:szCs w:val="24"/>
          <w:lang w:eastAsia="ru-RU"/>
        </w:rPr>
        <w:t xml:space="preserve"> В</w:t>
      </w:r>
      <w:proofErr w:type="gramEnd"/>
      <w:r w:rsidR="00FB7F86" w:rsidRPr="0066263B">
        <w:rPr>
          <w:rFonts w:ascii="Times New Roman" w:eastAsia="Times New Roman" w:hAnsi="Times New Roman" w:cs="Times New Roman"/>
          <w:sz w:val="24"/>
          <w:szCs w:val="24"/>
          <w:lang w:eastAsia="ru-RU"/>
        </w:rPr>
        <w:t xml:space="preserve"> – на 30%, сальмонеллёзу С – в 2,8 раза, дизентерии Флекснера – в 5 раз</w:t>
      </w:r>
      <w:r w:rsidR="005169E5" w:rsidRPr="0066263B">
        <w:rPr>
          <w:rFonts w:ascii="Times New Roman" w:eastAsia="Times New Roman" w:hAnsi="Times New Roman" w:cs="Times New Roman"/>
          <w:sz w:val="24"/>
          <w:szCs w:val="24"/>
          <w:lang w:eastAsia="ru-RU"/>
        </w:rPr>
        <w:t>;</w:t>
      </w:r>
    </w:p>
    <w:p w:rsidR="00FB7F86" w:rsidRPr="0066263B" w:rsidRDefault="00FB7F86"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i/>
          <w:sz w:val="24"/>
          <w:szCs w:val="24"/>
          <w:lang w:eastAsia="ru-RU"/>
        </w:rPr>
        <w:t>по воздушно-капельным инфекциям</w:t>
      </w:r>
      <w:r w:rsidRPr="0066263B">
        <w:rPr>
          <w:rFonts w:ascii="Times New Roman" w:eastAsia="Times New Roman" w:hAnsi="Times New Roman" w:cs="Times New Roman"/>
          <w:sz w:val="24"/>
          <w:szCs w:val="24"/>
          <w:lang w:eastAsia="ru-RU"/>
        </w:rPr>
        <w:t>: скарлатине – в 3,2 раза, ветряной оспе – в 1,6 раза</w:t>
      </w:r>
      <w:r w:rsidR="005169E5" w:rsidRPr="0066263B">
        <w:rPr>
          <w:rFonts w:ascii="Times New Roman" w:eastAsia="Times New Roman" w:hAnsi="Times New Roman" w:cs="Times New Roman"/>
          <w:sz w:val="24"/>
          <w:szCs w:val="24"/>
          <w:lang w:eastAsia="ru-RU"/>
        </w:rPr>
        <w:t>;</w:t>
      </w:r>
    </w:p>
    <w:p w:rsidR="00FB7F86" w:rsidRPr="0066263B" w:rsidRDefault="005169E5"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i/>
          <w:sz w:val="24"/>
          <w:szCs w:val="24"/>
          <w:lang w:eastAsia="ru-RU"/>
        </w:rPr>
        <w:t xml:space="preserve">по </w:t>
      </w:r>
      <w:r w:rsidR="00FB7F86" w:rsidRPr="0066263B">
        <w:rPr>
          <w:rFonts w:ascii="Times New Roman" w:eastAsia="Times New Roman" w:hAnsi="Times New Roman" w:cs="Times New Roman"/>
          <w:i/>
          <w:sz w:val="24"/>
          <w:szCs w:val="24"/>
          <w:lang w:eastAsia="ru-RU"/>
        </w:rPr>
        <w:t>социально-значимым инфекциям</w:t>
      </w:r>
      <w:r w:rsidR="00FB7F86" w:rsidRPr="0066263B">
        <w:rPr>
          <w:rFonts w:ascii="Times New Roman" w:eastAsia="Times New Roman" w:hAnsi="Times New Roman" w:cs="Times New Roman"/>
          <w:sz w:val="24"/>
          <w:szCs w:val="24"/>
          <w:lang w:eastAsia="ru-RU"/>
        </w:rPr>
        <w:t>: хроническому вирусному гепатиту</w:t>
      </w:r>
      <w:proofErr w:type="gramStart"/>
      <w:r w:rsidR="00FB7F86" w:rsidRPr="0066263B">
        <w:rPr>
          <w:rFonts w:ascii="Times New Roman" w:eastAsia="Times New Roman" w:hAnsi="Times New Roman" w:cs="Times New Roman"/>
          <w:sz w:val="24"/>
          <w:szCs w:val="24"/>
          <w:lang w:eastAsia="ru-RU"/>
        </w:rPr>
        <w:t xml:space="preserve"> С</w:t>
      </w:r>
      <w:proofErr w:type="gramEnd"/>
      <w:r w:rsidR="00FB7F86"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 xml:space="preserve">на </w:t>
      </w:r>
      <w:r w:rsidR="00FB7F86" w:rsidRPr="0066263B">
        <w:rPr>
          <w:rFonts w:ascii="Times New Roman" w:eastAsia="Times New Roman" w:hAnsi="Times New Roman" w:cs="Times New Roman"/>
          <w:sz w:val="24"/>
          <w:szCs w:val="24"/>
          <w:lang w:eastAsia="ru-RU"/>
        </w:rPr>
        <w:t>7%, хроническому вирусному гепатиту В – на 15%, педикул</w:t>
      </w:r>
      <w:r w:rsidRPr="0066263B">
        <w:rPr>
          <w:rFonts w:ascii="Times New Roman" w:eastAsia="Times New Roman" w:hAnsi="Times New Roman" w:cs="Times New Roman"/>
          <w:sz w:val="24"/>
          <w:szCs w:val="24"/>
          <w:lang w:eastAsia="ru-RU"/>
        </w:rPr>
        <w:t>ёз</w:t>
      </w:r>
      <w:r w:rsidR="00FB7F86" w:rsidRPr="0066263B">
        <w:rPr>
          <w:rFonts w:ascii="Times New Roman" w:eastAsia="Times New Roman" w:hAnsi="Times New Roman" w:cs="Times New Roman"/>
          <w:sz w:val="24"/>
          <w:szCs w:val="24"/>
          <w:lang w:eastAsia="ru-RU"/>
        </w:rPr>
        <w:t xml:space="preserve">ом – в 1,7 раза, активному </w:t>
      </w:r>
      <w:r w:rsidR="00FB7F86" w:rsidRPr="0066263B">
        <w:rPr>
          <w:rFonts w:ascii="Times New Roman" w:eastAsia="Times New Roman" w:hAnsi="Times New Roman" w:cs="Times New Roman"/>
          <w:sz w:val="24"/>
          <w:szCs w:val="24"/>
          <w:lang w:eastAsia="ru-RU"/>
        </w:rPr>
        <w:lastRenderedPageBreak/>
        <w:t>туберкул</w:t>
      </w:r>
      <w:r w:rsidRPr="0066263B">
        <w:rPr>
          <w:rFonts w:ascii="Times New Roman" w:eastAsia="Times New Roman" w:hAnsi="Times New Roman" w:cs="Times New Roman"/>
          <w:sz w:val="24"/>
          <w:szCs w:val="24"/>
          <w:lang w:eastAsia="ru-RU"/>
        </w:rPr>
        <w:t>ё</w:t>
      </w:r>
      <w:r w:rsidR="00FB7F86" w:rsidRPr="0066263B">
        <w:rPr>
          <w:rFonts w:ascii="Times New Roman" w:eastAsia="Times New Roman" w:hAnsi="Times New Roman" w:cs="Times New Roman"/>
          <w:sz w:val="24"/>
          <w:szCs w:val="24"/>
          <w:lang w:eastAsia="ru-RU"/>
        </w:rPr>
        <w:t xml:space="preserve">зу </w:t>
      </w:r>
      <w:r w:rsidRPr="0066263B">
        <w:rPr>
          <w:rFonts w:ascii="Times New Roman" w:eastAsia="Times New Roman" w:hAnsi="Times New Roman" w:cs="Times New Roman"/>
          <w:sz w:val="24"/>
          <w:szCs w:val="24"/>
          <w:lang w:eastAsia="ru-RU"/>
        </w:rPr>
        <w:t xml:space="preserve">– </w:t>
      </w:r>
      <w:r w:rsidR="00FB7F86" w:rsidRPr="0066263B">
        <w:rPr>
          <w:rFonts w:ascii="Times New Roman" w:eastAsia="Times New Roman" w:hAnsi="Times New Roman" w:cs="Times New Roman"/>
          <w:sz w:val="24"/>
          <w:szCs w:val="24"/>
          <w:lang w:eastAsia="ru-RU"/>
        </w:rPr>
        <w:t>на 17%, туберкул</w:t>
      </w:r>
      <w:r w:rsidRPr="0066263B">
        <w:rPr>
          <w:rFonts w:ascii="Times New Roman" w:eastAsia="Times New Roman" w:hAnsi="Times New Roman" w:cs="Times New Roman"/>
          <w:sz w:val="24"/>
          <w:szCs w:val="24"/>
          <w:lang w:eastAsia="ru-RU"/>
        </w:rPr>
        <w:t>ё</w:t>
      </w:r>
      <w:r w:rsidR="00FB7F86" w:rsidRPr="0066263B">
        <w:rPr>
          <w:rFonts w:ascii="Times New Roman" w:eastAsia="Times New Roman" w:hAnsi="Times New Roman" w:cs="Times New Roman"/>
          <w:sz w:val="24"/>
          <w:szCs w:val="24"/>
          <w:lang w:eastAsia="ru-RU"/>
        </w:rPr>
        <w:t xml:space="preserve">зу органов дыхания – на 14%, бациллярным формам – </w:t>
      </w:r>
      <w:r w:rsidRPr="0066263B">
        <w:rPr>
          <w:rFonts w:ascii="Times New Roman" w:eastAsia="Times New Roman" w:hAnsi="Times New Roman" w:cs="Times New Roman"/>
          <w:sz w:val="24"/>
          <w:szCs w:val="24"/>
          <w:lang w:eastAsia="ru-RU"/>
        </w:rPr>
        <w:t xml:space="preserve">на </w:t>
      </w:r>
      <w:r w:rsidR="00FB7F86" w:rsidRPr="0066263B">
        <w:rPr>
          <w:rFonts w:ascii="Times New Roman" w:eastAsia="Times New Roman" w:hAnsi="Times New Roman" w:cs="Times New Roman"/>
          <w:sz w:val="24"/>
          <w:szCs w:val="24"/>
          <w:lang w:eastAsia="ru-RU"/>
        </w:rPr>
        <w:t xml:space="preserve">31%, сифилису </w:t>
      </w:r>
      <w:r w:rsidRPr="0066263B">
        <w:rPr>
          <w:rFonts w:ascii="Times New Roman" w:eastAsia="Times New Roman" w:hAnsi="Times New Roman" w:cs="Times New Roman"/>
          <w:sz w:val="24"/>
          <w:szCs w:val="24"/>
          <w:lang w:eastAsia="ru-RU"/>
        </w:rPr>
        <w:t xml:space="preserve">– на </w:t>
      </w:r>
      <w:r w:rsidR="00FB7F86" w:rsidRPr="0066263B">
        <w:rPr>
          <w:rFonts w:ascii="Times New Roman" w:eastAsia="Times New Roman" w:hAnsi="Times New Roman" w:cs="Times New Roman"/>
          <w:sz w:val="24"/>
          <w:szCs w:val="24"/>
          <w:lang w:eastAsia="ru-RU"/>
        </w:rPr>
        <w:t>30%, ВИЧ</w:t>
      </w:r>
      <w:r w:rsidRPr="0066263B">
        <w:rPr>
          <w:rFonts w:ascii="Times New Roman" w:eastAsia="Times New Roman" w:hAnsi="Times New Roman" w:cs="Times New Roman"/>
          <w:sz w:val="24"/>
          <w:szCs w:val="24"/>
          <w:lang w:eastAsia="ru-RU"/>
        </w:rPr>
        <w:t>-</w:t>
      </w:r>
      <w:r w:rsidR="00FB7F86" w:rsidRPr="0066263B">
        <w:rPr>
          <w:rFonts w:ascii="Times New Roman" w:eastAsia="Times New Roman" w:hAnsi="Times New Roman" w:cs="Times New Roman"/>
          <w:sz w:val="24"/>
          <w:szCs w:val="24"/>
          <w:lang w:eastAsia="ru-RU"/>
        </w:rPr>
        <w:t>инфекции – на 4%</w:t>
      </w:r>
      <w:r w:rsidRPr="0066263B">
        <w:rPr>
          <w:rFonts w:ascii="Times New Roman" w:eastAsia="Times New Roman" w:hAnsi="Times New Roman" w:cs="Times New Roman"/>
          <w:sz w:val="24"/>
          <w:szCs w:val="24"/>
          <w:lang w:eastAsia="ru-RU"/>
        </w:rPr>
        <w:t>;</w:t>
      </w:r>
    </w:p>
    <w:p w:rsidR="00FB7F86" w:rsidRPr="0066263B" w:rsidRDefault="005169E5"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i/>
          <w:sz w:val="24"/>
          <w:szCs w:val="24"/>
          <w:lang w:eastAsia="ru-RU"/>
        </w:rPr>
        <w:t xml:space="preserve">по </w:t>
      </w:r>
      <w:r w:rsidR="00FB7F86" w:rsidRPr="0066263B">
        <w:rPr>
          <w:rFonts w:ascii="Times New Roman" w:eastAsia="Times New Roman" w:hAnsi="Times New Roman" w:cs="Times New Roman"/>
          <w:i/>
          <w:sz w:val="24"/>
          <w:szCs w:val="24"/>
          <w:lang w:eastAsia="ru-RU"/>
        </w:rPr>
        <w:t>природно-очаговым инфекциям</w:t>
      </w:r>
      <w:r w:rsidR="00FB7F86" w:rsidRPr="0066263B">
        <w:rPr>
          <w:rFonts w:ascii="Times New Roman" w:eastAsia="Times New Roman" w:hAnsi="Times New Roman" w:cs="Times New Roman"/>
          <w:sz w:val="24"/>
          <w:szCs w:val="24"/>
          <w:lang w:eastAsia="ru-RU"/>
        </w:rPr>
        <w:t>: болезни Лайма – в 1,5 раза, пострадавших от укусов дикими животными было меньше на 45%, от укусов клещами меньше</w:t>
      </w:r>
      <w:r w:rsidR="006327A6">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 </w:t>
      </w:r>
      <w:r w:rsidR="00FB7F86" w:rsidRPr="0066263B">
        <w:rPr>
          <w:rFonts w:ascii="Times New Roman" w:eastAsia="Times New Roman" w:hAnsi="Times New Roman" w:cs="Times New Roman"/>
          <w:sz w:val="24"/>
          <w:szCs w:val="24"/>
          <w:lang w:eastAsia="ru-RU"/>
        </w:rPr>
        <w:t>на 4%</w:t>
      </w:r>
      <w:r w:rsidRPr="0066263B">
        <w:rPr>
          <w:rFonts w:ascii="Times New Roman" w:eastAsia="Times New Roman" w:hAnsi="Times New Roman" w:cs="Times New Roman"/>
          <w:sz w:val="24"/>
          <w:szCs w:val="24"/>
          <w:lang w:eastAsia="ru-RU"/>
        </w:rPr>
        <w:t>;</w:t>
      </w:r>
    </w:p>
    <w:p w:rsidR="00FB7F86" w:rsidRPr="0066263B" w:rsidRDefault="005169E5"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i/>
          <w:sz w:val="24"/>
          <w:szCs w:val="24"/>
          <w:lang w:eastAsia="ru-RU"/>
        </w:rPr>
        <w:t xml:space="preserve">по </w:t>
      </w:r>
      <w:r w:rsidR="00FB7F86" w:rsidRPr="0066263B">
        <w:rPr>
          <w:rFonts w:ascii="Times New Roman" w:eastAsia="Times New Roman" w:hAnsi="Times New Roman" w:cs="Times New Roman"/>
          <w:i/>
          <w:sz w:val="24"/>
          <w:szCs w:val="24"/>
          <w:lang w:eastAsia="ru-RU"/>
        </w:rPr>
        <w:t>паразитарным заболеваниям</w:t>
      </w:r>
      <w:r w:rsidR="00FB7F86" w:rsidRPr="0066263B">
        <w:rPr>
          <w:rFonts w:ascii="Times New Roman" w:eastAsia="Times New Roman" w:hAnsi="Times New Roman" w:cs="Times New Roman"/>
          <w:sz w:val="24"/>
          <w:szCs w:val="24"/>
          <w:lang w:eastAsia="ru-RU"/>
        </w:rPr>
        <w:t xml:space="preserve">: энтеробиозу – на 7%, аскаридозу – на 15%, лямблиозу – в 1,5 раза, чесоткой </w:t>
      </w:r>
      <w:r w:rsidRPr="0066263B">
        <w:rPr>
          <w:rFonts w:ascii="Times New Roman" w:eastAsia="Times New Roman" w:hAnsi="Times New Roman" w:cs="Times New Roman"/>
          <w:sz w:val="24"/>
          <w:szCs w:val="24"/>
          <w:lang w:eastAsia="ru-RU"/>
        </w:rPr>
        <w:t xml:space="preserve">– </w:t>
      </w:r>
      <w:r w:rsidR="00FB7F86" w:rsidRPr="0066263B">
        <w:rPr>
          <w:rFonts w:ascii="Times New Roman" w:eastAsia="Times New Roman" w:hAnsi="Times New Roman" w:cs="Times New Roman"/>
          <w:sz w:val="24"/>
          <w:szCs w:val="24"/>
          <w:lang w:eastAsia="ru-RU"/>
        </w:rPr>
        <w:t>на 3%</w:t>
      </w:r>
      <w:r w:rsidRPr="0066263B">
        <w:rPr>
          <w:rFonts w:ascii="Times New Roman" w:eastAsia="Times New Roman" w:hAnsi="Times New Roman" w:cs="Times New Roman"/>
          <w:sz w:val="24"/>
          <w:szCs w:val="24"/>
          <w:lang w:eastAsia="ru-RU"/>
        </w:rPr>
        <w:t>.</w:t>
      </w:r>
    </w:p>
    <w:p w:rsidR="005169E5" w:rsidRPr="0066263B" w:rsidRDefault="005169E5" w:rsidP="00FB7F86">
      <w:pPr>
        <w:spacing w:before="0" w:after="0"/>
        <w:ind w:firstLine="709"/>
        <w:rPr>
          <w:rFonts w:ascii="Times New Roman" w:eastAsia="Times New Roman" w:hAnsi="Times New Roman" w:cs="Times New Roman"/>
          <w:sz w:val="24"/>
          <w:szCs w:val="24"/>
          <w:lang w:eastAsia="ru-RU"/>
        </w:rPr>
      </w:pPr>
    </w:p>
    <w:p w:rsidR="00FB7F86" w:rsidRPr="0066263B" w:rsidRDefault="00FB7F86" w:rsidP="00FB7F86">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2021 г</w:t>
      </w:r>
      <w:r w:rsidR="005169E5" w:rsidRPr="0066263B">
        <w:rPr>
          <w:rFonts w:ascii="Times New Roman" w:eastAsia="Times New Roman" w:hAnsi="Times New Roman" w:cs="Times New Roman"/>
          <w:sz w:val="24"/>
          <w:szCs w:val="24"/>
          <w:lang w:eastAsia="ru-RU"/>
        </w:rPr>
        <w:t>оду</w:t>
      </w:r>
      <w:r w:rsidRPr="0066263B">
        <w:rPr>
          <w:rFonts w:ascii="Times New Roman" w:eastAsia="Times New Roman" w:hAnsi="Times New Roman" w:cs="Times New Roman"/>
          <w:sz w:val="24"/>
          <w:szCs w:val="24"/>
          <w:lang w:eastAsia="ru-RU"/>
        </w:rPr>
        <w:t xml:space="preserve"> на территории области не регистрировались случаи заболевания холерой, полиомиелитом, в том числе вакциноассоциированным, дифтерией, корью, краснухой, бешенством, столбняком, бруцелл</w:t>
      </w:r>
      <w:r w:rsidR="005169E5"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зом, сибирской язвой, клещевым вирусным энцефалитом, сыпным тифом, листериозом, туляремией, легионеллёзом, орнитозом, малярией.</w:t>
      </w:r>
      <w:proofErr w:type="gramEnd"/>
    </w:p>
    <w:p w:rsidR="00FB7F86" w:rsidRPr="0066263B" w:rsidRDefault="00FB7F86" w:rsidP="00FB7F8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выше средне российских показателей зарегистрирована заболеваемость по 10 нозологическим формам: острый гепатит</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 xml:space="preserve">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29,40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1,43 на 100 тыс. нас.), острый гепатит</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xml:space="preserve">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0,67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0,31 на 100 тыс. нас.), острый гепатит Е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0,33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0,04 на 100 тыс. нас.), менингококковая инфекция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0,84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0,21 на 100 тыс. нас.), болезнь Лайма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2,92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2,62 на 100 тыс. нас.), укусы животными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300,7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226,91 на 100 тыс. нас.), ОРЗ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33</w:t>
      </w:r>
      <w:r w:rsidR="005169E5"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810,5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26</w:t>
      </w:r>
      <w:r w:rsidR="005169E5"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150,64 на 100 тыс. нас.), внебольничная пневмония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3</w:t>
      </w:r>
      <w:r w:rsidR="005169E5"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630,9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w:t>
      </w:r>
      <w:r w:rsidR="005169E5"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150,42 на 100 тыс. нас.), пневмонии COVID-19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2</w:t>
      </w:r>
      <w:r w:rsidR="005169E5"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407,5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w:t>
      </w:r>
      <w:r w:rsidR="005169E5"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387,30 на 100 тыс. нас.), пневмонии COVID-19 вирус идентифицирован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w:t>
      </w:r>
      <w:r w:rsidR="005169E5"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917,3 на 100 тыс. нас. (РФ </w:t>
      </w:r>
      <w:r w:rsidR="005169E5"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w:t>
      </w:r>
      <w:r w:rsidR="005169E5"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121,97 на 100 тыс. нас.)</w:t>
      </w:r>
      <w:r w:rsidR="005169E5" w:rsidRPr="0066263B">
        <w:rPr>
          <w:rFonts w:ascii="Times New Roman" w:eastAsia="Times New Roman" w:hAnsi="Times New Roman" w:cs="Times New Roman"/>
          <w:sz w:val="24"/>
          <w:szCs w:val="24"/>
          <w:lang w:eastAsia="ru-RU"/>
        </w:rPr>
        <w:t>.</w:t>
      </w:r>
    </w:p>
    <w:p w:rsidR="005169E5" w:rsidRDefault="005169E5" w:rsidP="00FB7F86">
      <w:pPr>
        <w:spacing w:before="0" w:after="0"/>
        <w:ind w:firstLine="709"/>
        <w:rPr>
          <w:rFonts w:ascii="Times New Roman" w:eastAsia="Times New Roman" w:hAnsi="Times New Roman" w:cs="Times New Roman"/>
          <w:sz w:val="24"/>
          <w:szCs w:val="24"/>
          <w:lang w:eastAsia="ru-RU"/>
        </w:rPr>
      </w:pPr>
    </w:p>
    <w:p w:rsidR="006327A6" w:rsidRPr="0066263B" w:rsidRDefault="006327A6" w:rsidP="00FB7F86">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b/>
          <w:bCs/>
          <w:i/>
          <w:sz w:val="24"/>
          <w:szCs w:val="24"/>
          <w:u w:val="single"/>
          <w:lang w:eastAsia="ru-RU"/>
        </w:rPr>
      </w:pPr>
      <w:r w:rsidRPr="0066263B">
        <w:rPr>
          <w:rFonts w:ascii="Times New Roman" w:eastAsia="TimesNewRomanPS-BoldMT" w:hAnsi="Times New Roman" w:cs="Times New Roman"/>
          <w:b/>
          <w:bCs/>
          <w:i/>
          <w:sz w:val="24"/>
          <w:szCs w:val="24"/>
        </w:rPr>
        <w:t>Инфекционные заболевания, управляемые средствами</w:t>
      </w:r>
      <w:r w:rsidRPr="0066263B">
        <w:rPr>
          <w:rFonts w:ascii="Times New Roman" w:eastAsia="TimesNewRomanPS-BoldMT" w:hAnsi="Times New Roman" w:cs="Times New Roman"/>
          <w:b/>
          <w:bCs/>
          <w:i/>
          <w:sz w:val="24"/>
          <w:szCs w:val="24"/>
        </w:rPr>
        <w:br/>
        <w:t>специфической профилактики</w:t>
      </w:r>
    </w:p>
    <w:p w:rsidR="00324483" w:rsidRPr="0066263B" w:rsidRDefault="00324483" w:rsidP="00324483">
      <w:pPr>
        <w:tabs>
          <w:tab w:val="left" w:pos="0"/>
        </w:tabs>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Дифтерия</w:t>
      </w:r>
    </w:p>
    <w:p w:rsidR="005169E5" w:rsidRPr="0066263B" w:rsidRDefault="005169E5" w:rsidP="005169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2004 года в Брянской области случаи заболевания дифтерией не регистрируются. Такой результат, достигнут благодаря высокому охвату населения профилактическими прививками против дифтерии (более 95,0%).</w:t>
      </w:r>
    </w:p>
    <w:p w:rsidR="005169E5" w:rsidRPr="0066263B" w:rsidRDefault="005169E5" w:rsidP="005169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Вакцинацией против дифтерии своевременно (в возрасте 12 месяцев) охвачено 96,5% детей (2020 – 95,9%).</w:t>
      </w:r>
    </w:p>
    <w:p w:rsidR="005169E5" w:rsidRPr="0066263B" w:rsidRDefault="005169E5" w:rsidP="005169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Первой ревакцинацией против дифтерии в возрасте 24 месяца своевременно охвачено 96,8% детей (2020 – 95,0%).</w:t>
      </w:r>
    </w:p>
    <w:p w:rsidR="005169E5" w:rsidRPr="0066263B" w:rsidRDefault="005169E5" w:rsidP="005169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Второй ревакцинацией против дифтерии в возрасте 6-7 лет охвачено 97,3% детей (2020 – 96,2%).</w:t>
      </w:r>
    </w:p>
    <w:p w:rsidR="005169E5" w:rsidRPr="0066263B" w:rsidRDefault="005169E5" w:rsidP="005169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Третьей ревакцинацией против дифтерии в возрасте 14 лет охвачено 95,3% детей (2020 – 92,5%).</w:t>
      </w:r>
    </w:p>
    <w:p w:rsidR="005169E5" w:rsidRPr="0066263B" w:rsidRDefault="005169E5" w:rsidP="005169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Взрослое население привито против дифтерии (вакцинация и ревакцинация) на 97,9% (2020 – 99,0%), в том числе в возрасте 18-35 лет на 99,7% (2020 – 99,2%), 36-59 лет на 97,8% (2020 – 97,9%), 60 лет и старше на 96,5% (2020 – 96,5%).</w:t>
      </w:r>
    </w:p>
    <w:p w:rsidR="005169E5" w:rsidRPr="0066263B" w:rsidRDefault="005169E5" w:rsidP="005169E5">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C23EB0" w:rsidRPr="0066263B" w:rsidRDefault="00C23EB0" w:rsidP="005169E5">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71</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Показатели охвата профилактическими прививками против дифтерии, %</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9317" w:type="dxa"/>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1"/>
        <w:gridCol w:w="856"/>
        <w:gridCol w:w="856"/>
        <w:gridCol w:w="856"/>
        <w:gridCol w:w="856"/>
        <w:gridCol w:w="856"/>
        <w:gridCol w:w="856"/>
      </w:tblGrid>
      <w:tr w:rsidR="005169E5" w:rsidRPr="0066263B" w:rsidTr="005169E5">
        <w:trPr>
          <w:jc w:val="center"/>
        </w:trPr>
        <w:tc>
          <w:tcPr>
            <w:tcW w:w="4181" w:type="dxa"/>
            <w:vAlign w:val="center"/>
          </w:tcPr>
          <w:p w:rsidR="005169E5" w:rsidRPr="0066263B" w:rsidRDefault="005169E5"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Возрастная группа, вид прививки</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2016</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2017</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856" w:type="dxa"/>
            <w:vAlign w:val="center"/>
          </w:tcPr>
          <w:p w:rsidR="005169E5" w:rsidRPr="0066263B" w:rsidRDefault="005169E5"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5169E5" w:rsidRPr="0066263B" w:rsidTr="005169E5">
        <w:trPr>
          <w:jc w:val="center"/>
        </w:trPr>
        <w:tc>
          <w:tcPr>
            <w:tcW w:w="4181" w:type="dxa"/>
          </w:tcPr>
          <w:p w:rsidR="005169E5" w:rsidRPr="0066263B" w:rsidRDefault="005169E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 месяцев, своевременная вакцинация</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97,5</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96,1</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96,8</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97,4</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95,9</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96,5</w:t>
            </w:r>
          </w:p>
        </w:tc>
      </w:tr>
      <w:tr w:rsidR="005169E5" w:rsidRPr="0066263B" w:rsidTr="005169E5">
        <w:trPr>
          <w:jc w:val="center"/>
        </w:trPr>
        <w:tc>
          <w:tcPr>
            <w:tcW w:w="4181" w:type="dxa"/>
          </w:tcPr>
          <w:p w:rsidR="005169E5" w:rsidRPr="0066263B" w:rsidRDefault="005169E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 месяца, своевременная ревакцинация</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97,6</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96,5</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97,1</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97,2</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95,0</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96,8</w:t>
            </w:r>
          </w:p>
        </w:tc>
      </w:tr>
      <w:tr w:rsidR="005169E5" w:rsidRPr="0066263B" w:rsidTr="005169E5">
        <w:trPr>
          <w:jc w:val="center"/>
        </w:trPr>
        <w:tc>
          <w:tcPr>
            <w:tcW w:w="4181" w:type="dxa"/>
          </w:tcPr>
          <w:p w:rsidR="005169E5" w:rsidRPr="0066263B" w:rsidRDefault="005169E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 лет, 2-я ревакцинация</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98,6</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98,5</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99,0</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99,1</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96,2</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97,3</w:t>
            </w:r>
          </w:p>
        </w:tc>
      </w:tr>
      <w:tr w:rsidR="005169E5" w:rsidRPr="0066263B" w:rsidTr="005169E5">
        <w:trPr>
          <w:jc w:val="center"/>
        </w:trPr>
        <w:tc>
          <w:tcPr>
            <w:tcW w:w="4181" w:type="dxa"/>
          </w:tcPr>
          <w:p w:rsidR="005169E5" w:rsidRPr="0066263B" w:rsidRDefault="005169E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 лет, 3-я ревакцинация</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92,7</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98,8</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99,7</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99,6</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92,5</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95,3</w:t>
            </w:r>
          </w:p>
        </w:tc>
      </w:tr>
      <w:tr w:rsidR="005169E5" w:rsidRPr="0066263B" w:rsidTr="005169E5">
        <w:trPr>
          <w:jc w:val="center"/>
        </w:trPr>
        <w:tc>
          <w:tcPr>
            <w:tcW w:w="4181" w:type="dxa"/>
          </w:tcPr>
          <w:p w:rsidR="005169E5" w:rsidRPr="0066263B" w:rsidRDefault="005169E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Взрослые (с 18 лет), прививки всего (вакцинация и ревакцинация)</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98,7</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98,8</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98,6</w:t>
            </w:r>
          </w:p>
        </w:tc>
        <w:tc>
          <w:tcPr>
            <w:tcW w:w="856" w:type="dxa"/>
            <w:vAlign w:val="center"/>
          </w:tcPr>
          <w:p w:rsidR="005169E5" w:rsidRPr="0066263B" w:rsidRDefault="005169E5" w:rsidP="005169E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99,0</w:t>
            </w:r>
          </w:p>
        </w:tc>
        <w:tc>
          <w:tcPr>
            <w:tcW w:w="856" w:type="dxa"/>
            <w:vAlign w:val="center"/>
          </w:tcPr>
          <w:p w:rsidR="005169E5" w:rsidRPr="0066263B" w:rsidRDefault="005169E5" w:rsidP="005169E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97,8</w:t>
            </w:r>
          </w:p>
        </w:tc>
        <w:tc>
          <w:tcPr>
            <w:tcW w:w="856" w:type="dxa"/>
            <w:vAlign w:val="center"/>
          </w:tcPr>
          <w:p w:rsidR="005169E5" w:rsidRPr="0066263B" w:rsidRDefault="005169E5" w:rsidP="005169E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97,9</w:t>
            </w:r>
          </w:p>
        </w:tc>
      </w:tr>
    </w:tbl>
    <w:p w:rsidR="005169E5" w:rsidRPr="0066263B" w:rsidRDefault="005169E5" w:rsidP="00262DC9">
      <w:pPr>
        <w:spacing w:before="0" w:after="0"/>
        <w:ind w:firstLine="709"/>
        <w:rPr>
          <w:rFonts w:ascii="Times New Roman" w:eastAsia="Times New Roman" w:hAnsi="Times New Roman" w:cs="Times New Roman"/>
          <w:sz w:val="24"/>
          <w:szCs w:val="24"/>
          <w:lang w:eastAsia="ru-RU"/>
        </w:rPr>
      </w:pPr>
    </w:p>
    <w:p w:rsidR="00C23EB0" w:rsidRPr="0066263B" w:rsidRDefault="00C23EB0" w:rsidP="00262DC9">
      <w:pPr>
        <w:spacing w:before="0" w:after="0"/>
        <w:ind w:firstLine="709"/>
        <w:rPr>
          <w:rFonts w:ascii="Times New Roman" w:eastAsia="Times New Roman" w:hAnsi="Times New Roman" w:cs="Times New Roman"/>
          <w:sz w:val="24"/>
          <w:szCs w:val="24"/>
          <w:lang w:eastAsia="ru-RU"/>
        </w:rPr>
      </w:pPr>
    </w:p>
    <w:p w:rsidR="00262DC9" w:rsidRPr="0066263B" w:rsidRDefault="00262DC9" w:rsidP="00262DC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Показатели охвата населения Брянской области по уровням соответствуют результатам лабораторного мониторинга уровня коллективного иммунитета.</w:t>
      </w:r>
    </w:p>
    <w:p w:rsidR="005169E5" w:rsidRPr="0066263B" w:rsidRDefault="005169E5" w:rsidP="00324483">
      <w:pPr>
        <w:spacing w:before="0" w:after="0"/>
        <w:jc w:val="left"/>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Результаты определения иммунитета против дифтерии по индикаторным группам</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9356" w:type="dxa"/>
        <w:jc w:val="center"/>
        <w:tblInd w:w="108" w:type="dxa"/>
        <w:tblLayout w:type="fixed"/>
        <w:tblLook w:val="04A0"/>
      </w:tblPr>
      <w:tblGrid>
        <w:gridCol w:w="1418"/>
        <w:gridCol w:w="850"/>
        <w:gridCol w:w="709"/>
        <w:gridCol w:w="709"/>
        <w:gridCol w:w="709"/>
        <w:gridCol w:w="708"/>
        <w:gridCol w:w="709"/>
        <w:gridCol w:w="709"/>
        <w:gridCol w:w="709"/>
        <w:gridCol w:w="708"/>
        <w:gridCol w:w="709"/>
        <w:gridCol w:w="709"/>
      </w:tblGrid>
      <w:tr w:rsidR="00262DC9" w:rsidRPr="0066263B" w:rsidTr="00262DC9">
        <w:trPr>
          <w:cantSplit/>
          <w:trHeight w:val="240"/>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Индикаторные группы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Обследовано лиц</w:t>
            </w:r>
          </w:p>
        </w:tc>
        <w:tc>
          <w:tcPr>
            <w:tcW w:w="5670" w:type="dxa"/>
            <w:gridSpan w:val="8"/>
            <w:tcBorders>
              <w:top w:val="single" w:sz="4" w:space="0" w:color="auto"/>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Титры антител (РПГА)</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Число</w:t>
            </w:r>
            <w:r w:rsidRPr="0066263B">
              <w:rPr>
                <w:rFonts w:ascii="Times New Roman" w:eastAsia="Times New Roman" w:hAnsi="Times New Roman" w:cs="Times New Roman"/>
                <w:b/>
                <w:i/>
                <w:lang w:eastAsia="ru-RU"/>
              </w:rPr>
              <w:br/>
              <w:t>сывороток</w:t>
            </w:r>
            <w:r w:rsidRPr="0066263B">
              <w:rPr>
                <w:rFonts w:ascii="Times New Roman" w:eastAsia="Times New Roman" w:hAnsi="Times New Roman" w:cs="Times New Roman"/>
                <w:b/>
                <w:i/>
                <w:lang w:eastAsia="ru-RU"/>
              </w:rPr>
              <w:br/>
              <w:t>с защитным</w:t>
            </w:r>
            <w:r w:rsidRPr="0066263B">
              <w:rPr>
                <w:rFonts w:ascii="Times New Roman" w:eastAsia="Times New Roman" w:hAnsi="Times New Roman" w:cs="Times New Roman"/>
                <w:b/>
                <w:i/>
                <w:lang w:eastAsia="ru-RU"/>
              </w:rPr>
              <w:br/>
              <w:t>уровнем</w:t>
            </w:r>
          </w:p>
        </w:tc>
      </w:tr>
      <w:tr w:rsidR="00262DC9" w:rsidRPr="0066263B" w:rsidTr="00262DC9">
        <w:trPr>
          <w:cantSplit/>
          <w:trHeight w:val="735"/>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p>
        </w:tc>
        <w:tc>
          <w:tcPr>
            <w:tcW w:w="1418" w:type="dxa"/>
            <w:gridSpan w:val="2"/>
            <w:tcBorders>
              <w:top w:val="single" w:sz="4" w:space="0" w:color="auto"/>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1:10 и менее</w:t>
            </w:r>
            <w:r w:rsidRPr="0066263B">
              <w:rPr>
                <w:rFonts w:ascii="Times New Roman" w:eastAsia="Times New Roman" w:hAnsi="Times New Roman" w:cs="Times New Roman"/>
                <w:b/>
                <w:i/>
                <w:lang w:eastAsia="ru-RU"/>
              </w:rPr>
              <w:br/>
              <w:t>(ниже</w:t>
            </w:r>
            <w:r w:rsidRPr="0066263B">
              <w:rPr>
                <w:rFonts w:ascii="Times New Roman" w:eastAsia="Times New Roman" w:hAnsi="Times New Roman" w:cs="Times New Roman"/>
                <w:b/>
                <w:i/>
                <w:lang w:eastAsia="ru-RU"/>
              </w:rPr>
              <w:br/>
              <w:t>защитного уровня)</w:t>
            </w:r>
          </w:p>
        </w:tc>
        <w:tc>
          <w:tcPr>
            <w:tcW w:w="1417" w:type="dxa"/>
            <w:gridSpan w:val="2"/>
            <w:tcBorders>
              <w:top w:val="single" w:sz="4" w:space="0" w:color="auto"/>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1:20-1:40</w:t>
            </w:r>
            <w:r w:rsidRPr="0066263B">
              <w:rPr>
                <w:rFonts w:ascii="Times New Roman" w:eastAsia="Times New Roman" w:hAnsi="Times New Roman" w:cs="Times New Roman"/>
                <w:b/>
                <w:i/>
                <w:lang w:eastAsia="ru-RU"/>
              </w:rPr>
              <w:br/>
              <w:t>(низкие титры)</w:t>
            </w:r>
          </w:p>
        </w:tc>
        <w:tc>
          <w:tcPr>
            <w:tcW w:w="1418" w:type="dxa"/>
            <w:gridSpan w:val="2"/>
            <w:tcBorders>
              <w:top w:val="single" w:sz="4" w:space="0" w:color="auto"/>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1:80-1:160</w:t>
            </w:r>
            <w:r w:rsidRPr="0066263B">
              <w:rPr>
                <w:rFonts w:ascii="Times New Roman" w:eastAsia="Times New Roman" w:hAnsi="Times New Roman" w:cs="Times New Roman"/>
                <w:b/>
                <w:i/>
                <w:lang w:eastAsia="ru-RU"/>
              </w:rPr>
              <w:br/>
              <w:t>(средние титры)</w:t>
            </w:r>
          </w:p>
        </w:tc>
        <w:tc>
          <w:tcPr>
            <w:tcW w:w="1417" w:type="dxa"/>
            <w:gridSpan w:val="2"/>
            <w:tcBorders>
              <w:top w:val="single" w:sz="4" w:space="0" w:color="auto"/>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1:320</w:t>
            </w:r>
            <w:r w:rsidRPr="0066263B">
              <w:rPr>
                <w:rFonts w:ascii="Times New Roman" w:eastAsia="Times New Roman" w:hAnsi="Times New Roman" w:cs="Times New Roman"/>
                <w:b/>
                <w:i/>
                <w:lang w:eastAsia="ru-RU"/>
              </w:rPr>
              <w:br/>
              <w:t>и выше</w:t>
            </w:r>
            <w:r w:rsidRPr="0066263B">
              <w:rPr>
                <w:rFonts w:ascii="Times New Roman" w:eastAsia="Times New Roman" w:hAnsi="Times New Roman" w:cs="Times New Roman"/>
                <w:b/>
                <w:i/>
                <w:lang w:eastAsia="ru-RU"/>
              </w:rPr>
              <w:br/>
              <w:t>(высокие титры)</w:t>
            </w: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p>
        </w:tc>
      </w:tr>
      <w:tr w:rsidR="00262DC9" w:rsidRPr="0066263B" w:rsidTr="00262DC9">
        <w:trPr>
          <w:cantSplit/>
          <w:trHeight w:val="240"/>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p>
        </w:tc>
        <w:tc>
          <w:tcPr>
            <w:tcW w:w="709"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709"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c>
          <w:tcPr>
            <w:tcW w:w="709"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708"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c>
          <w:tcPr>
            <w:tcW w:w="709"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709"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c>
          <w:tcPr>
            <w:tcW w:w="709"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708"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c>
          <w:tcPr>
            <w:tcW w:w="709"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709" w:type="dxa"/>
            <w:tcBorders>
              <w:top w:val="nil"/>
              <w:left w:val="nil"/>
              <w:bottom w:val="single" w:sz="4" w:space="0" w:color="auto"/>
              <w:right w:val="single" w:sz="4" w:space="0" w:color="auto"/>
            </w:tcBorders>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r>
      <w:tr w:rsidR="00E60C15" w:rsidRPr="0066263B" w:rsidTr="00262DC9">
        <w:trPr>
          <w:cantSplit/>
          <w:trHeight w:val="343"/>
          <w:jc w:val="center"/>
        </w:trPr>
        <w:tc>
          <w:tcPr>
            <w:tcW w:w="1418" w:type="dxa"/>
            <w:tcBorders>
              <w:top w:val="single" w:sz="4" w:space="0" w:color="auto"/>
              <w:left w:val="single" w:sz="4" w:space="0" w:color="auto"/>
              <w:bottom w:val="single" w:sz="4" w:space="0" w:color="auto"/>
              <w:right w:val="single" w:sz="4" w:space="0" w:color="auto"/>
            </w:tcBorders>
            <w:vAlign w:val="center"/>
          </w:tcPr>
          <w:p w:rsidR="00E60C15" w:rsidRPr="0066263B" w:rsidRDefault="00E60C1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 года</w:t>
            </w:r>
          </w:p>
        </w:tc>
        <w:tc>
          <w:tcPr>
            <w:tcW w:w="850"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101</w:t>
            </w:r>
          </w:p>
        </w:tc>
        <w:tc>
          <w:tcPr>
            <w:tcW w:w="709"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09"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708"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w:t>
            </w:r>
          </w:p>
        </w:tc>
        <w:tc>
          <w:tcPr>
            <w:tcW w:w="709"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w:t>
            </w:r>
          </w:p>
        </w:tc>
        <w:tc>
          <w:tcPr>
            <w:tcW w:w="709"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16,8</w:t>
            </w:r>
          </w:p>
        </w:tc>
        <w:tc>
          <w:tcPr>
            <w:tcW w:w="709"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80</w:t>
            </w:r>
          </w:p>
        </w:tc>
        <w:tc>
          <w:tcPr>
            <w:tcW w:w="708"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79,3</w:t>
            </w:r>
          </w:p>
        </w:tc>
        <w:tc>
          <w:tcPr>
            <w:tcW w:w="709"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101</w:t>
            </w:r>
          </w:p>
        </w:tc>
        <w:tc>
          <w:tcPr>
            <w:tcW w:w="709" w:type="dxa"/>
            <w:tcBorders>
              <w:top w:val="single" w:sz="4" w:space="0" w:color="auto"/>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r>
      <w:tr w:rsidR="00E60C15" w:rsidRPr="0066263B" w:rsidTr="00262DC9">
        <w:trPr>
          <w:cantSplit/>
          <w:jc w:val="center"/>
        </w:trPr>
        <w:tc>
          <w:tcPr>
            <w:tcW w:w="1418" w:type="dxa"/>
            <w:tcBorders>
              <w:top w:val="nil"/>
              <w:left w:val="single" w:sz="4" w:space="0" w:color="auto"/>
              <w:bottom w:val="single" w:sz="4" w:space="0" w:color="auto"/>
              <w:right w:val="single" w:sz="4" w:space="0" w:color="auto"/>
            </w:tcBorders>
          </w:tcPr>
          <w:p w:rsidR="00E60C15" w:rsidRPr="0066263B" w:rsidRDefault="00E60C1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16-17 лет</w:t>
            </w:r>
          </w:p>
        </w:tc>
        <w:tc>
          <w:tcPr>
            <w:tcW w:w="850"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708"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77</w:t>
            </w:r>
          </w:p>
        </w:tc>
        <w:tc>
          <w:tcPr>
            <w:tcW w:w="708"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77</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w:t>
            </w:r>
          </w:p>
        </w:tc>
      </w:tr>
      <w:tr w:rsidR="00E60C15" w:rsidRPr="0066263B" w:rsidTr="00262DC9">
        <w:trPr>
          <w:cantSplit/>
          <w:trHeight w:val="211"/>
          <w:jc w:val="center"/>
        </w:trPr>
        <w:tc>
          <w:tcPr>
            <w:tcW w:w="1418" w:type="dxa"/>
            <w:tcBorders>
              <w:top w:val="nil"/>
              <w:left w:val="single" w:sz="4" w:space="0" w:color="auto"/>
              <w:bottom w:val="single" w:sz="4" w:space="0" w:color="auto"/>
              <w:right w:val="single" w:sz="4" w:space="0" w:color="auto"/>
            </w:tcBorders>
          </w:tcPr>
          <w:p w:rsidR="00E60C15" w:rsidRPr="0066263B" w:rsidRDefault="00E60C1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Взрослые</w:t>
            </w:r>
          </w:p>
        </w:tc>
        <w:tc>
          <w:tcPr>
            <w:tcW w:w="850"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390</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11,3</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w:t>
            </w:r>
          </w:p>
        </w:tc>
        <w:tc>
          <w:tcPr>
            <w:tcW w:w="708"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15,4</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19,2</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211</w:t>
            </w:r>
          </w:p>
        </w:tc>
        <w:tc>
          <w:tcPr>
            <w:tcW w:w="708"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54,1</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346</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88,7</w:t>
            </w:r>
          </w:p>
        </w:tc>
      </w:tr>
      <w:tr w:rsidR="00E60C15" w:rsidRPr="0066263B" w:rsidTr="00262DC9">
        <w:trPr>
          <w:cantSplit/>
          <w:trHeight w:val="282"/>
          <w:jc w:val="center"/>
        </w:trPr>
        <w:tc>
          <w:tcPr>
            <w:tcW w:w="1418" w:type="dxa"/>
            <w:tcBorders>
              <w:top w:val="nil"/>
              <w:left w:val="single" w:sz="4" w:space="0" w:color="auto"/>
              <w:bottom w:val="single" w:sz="4" w:space="0" w:color="auto"/>
              <w:right w:val="single" w:sz="4" w:space="0" w:color="auto"/>
            </w:tcBorders>
            <w:vAlign w:val="bottom"/>
          </w:tcPr>
          <w:p w:rsidR="00E60C15" w:rsidRPr="0066263B" w:rsidRDefault="00E60C1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ИТОГО</w:t>
            </w:r>
          </w:p>
        </w:tc>
        <w:tc>
          <w:tcPr>
            <w:tcW w:w="850"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591</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7,9</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68</w:t>
            </w:r>
          </w:p>
        </w:tc>
        <w:tc>
          <w:tcPr>
            <w:tcW w:w="708"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11,5</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108</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18,3</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368</w:t>
            </w:r>
          </w:p>
        </w:tc>
        <w:tc>
          <w:tcPr>
            <w:tcW w:w="708"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62,3</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544</w:t>
            </w:r>
          </w:p>
        </w:tc>
        <w:tc>
          <w:tcPr>
            <w:tcW w:w="709" w:type="dxa"/>
            <w:tcBorders>
              <w:top w:val="nil"/>
              <w:left w:val="nil"/>
              <w:bottom w:val="single" w:sz="4" w:space="0" w:color="auto"/>
              <w:right w:val="single" w:sz="4" w:space="0" w:color="auto"/>
            </w:tcBorders>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w:t>
            </w:r>
          </w:p>
        </w:tc>
      </w:tr>
    </w:tbl>
    <w:p w:rsidR="00E60C15" w:rsidRPr="0066263B" w:rsidRDefault="00E60C15" w:rsidP="00324483">
      <w:pPr>
        <w:spacing w:before="0" w:after="0"/>
        <w:ind w:firstLine="709"/>
        <w:rPr>
          <w:rFonts w:ascii="Times New Roman" w:eastAsia="Times New Roman" w:hAnsi="Times New Roman" w:cs="Times New Roman"/>
          <w:sz w:val="24"/>
          <w:szCs w:val="24"/>
          <w:lang w:eastAsia="ru-RU"/>
        </w:rPr>
      </w:pPr>
    </w:p>
    <w:p w:rsidR="00262DC9" w:rsidRPr="0066263B" w:rsidRDefault="00262DC9" w:rsidP="00262DC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 эпидемиологическом благополучии по дифтерии на территории Брянской области свидетельствует отсутствие случаев выделения токсигенных коринебактерий дифтерии при проведении диагностических и профилактических лабораторных обследований.</w:t>
      </w:r>
    </w:p>
    <w:p w:rsidR="00262DC9" w:rsidRPr="0066263B" w:rsidRDefault="00262DC9"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73</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Бактериологическое обследование за распространением токсигенных</w:t>
      </w:r>
      <w:r w:rsidRPr="0066263B">
        <w:rPr>
          <w:rFonts w:ascii="Times New Roman" w:eastAsia="Times New Roman" w:hAnsi="Times New Roman" w:cs="Times New Roman"/>
          <w:b/>
          <w:lang w:eastAsia="ru-RU"/>
        </w:rPr>
        <w:br/>
        <w:t>и нетоксигенных коринебактерий дифтерии</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9465"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42"/>
        <w:gridCol w:w="851"/>
        <w:gridCol w:w="1470"/>
        <w:gridCol w:w="1523"/>
        <w:gridCol w:w="1879"/>
      </w:tblGrid>
      <w:tr w:rsidR="00262DC9" w:rsidRPr="0066263B" w:rsidTr="003A0957">
        <w:trPr>
          <w:cantSplit/>
          <w:jc w:val="center"/>
        </w:trPr>
        <w:tc>
          <w:tcPr>
            <w:tcW w:w="3742" w:type="dxa"/>
            <w:vMerge w:val="restart"/>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Контингент</w:t>
            </w:r>
          </w:p>
        </w:tc>
        <w:tc>
          <w:tcPr>
            <w:tcW w:w="851" w:type="dxa"/>
            <w:vMerge w:val="restart"/>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Всего, абс.</w:t>
            </w:r>
          </w:p>
        </w:tc>
        <w:tc>
          <w:tcPr>
            <w:tcW w:w="1470" w:type="dxa"/>
            <w:vMerge w:val="restart"/>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из них</w:t>
            </w:r>
            <w:r w:rsidRPr="0066263B">
              <w:rPr>
                <w:rFonts w:ascii="Times New Roman" w:eastAsia="Times New Roman" w:hAnsi="Times New Roman" w:cs="Times New Roman"/>
                <w:b/>
                <w:i/>
                <w:lang w:eastAsia="ru-RU"/>
              </w:rPr>
              <w:br/>
              <w:t>обследовано, абс.</w:t>
            </w:r>
          </w:p>
        </w:tc>
        <w:tc>
          <w:tcPr>
            <w:tcW w:w="3402" w:type="dxa"/>
            <w:gridSpan w:val="2"/>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 том числе выявлено</w:t>
            </w:r>
            <w:r w:rsidRPr="0066263B">
              <w:rPr>
                <w:rFonts w:ascii="Times New Roman" w:eastAsia="Times New Roman" w:hAnsi="Times New Roman" w:cs="Times New Roman"/>
                <w:b/>
                <w:i/>
                <w:lang w:eastAsia="ru-RU"/>
              </w:rPr>
              <w:br/>
              <w:t>коринебактерий</w:t>
            </w:r>
          </w:p>
        </w:tc>
      </w:tr>
      <w:tr w:rsidR="00262DC9" w:rsidRPr="0066263B" w:rsidTr="003A0957">
        <w:trPr>
          <w:cantSplit/>
          <w:trHeight w:val="60"/>
          <w:jc w:val="center"/>
        </w:trPr>
        <w:tc>
          <w:tcPr>
            <w:tcW w:w="3742" w:type="dxa"/>
            <w:vMerge/>
            <w:vAlign w:val="center"/>
          </w:tcPr>
          <w:p w:rsidR="00262DC9" w:rsidRPr="0066263B" w:rsidRDefault="00262DC9" w:rsidP="00262DC9">
            <w:pPr>
              <w:spacing w:before="20" w:after="20"/>
              <w:ind w:right="-53"/>
              <w:jc w:val="center"/>
              <w:rPr>
                <w:rFonts w:ascii="Times New Roman" w:eastAsia="Times New Roman" w:hAnsi="Times New Roman" w:cs="Times New Roman"/>
                <w:b/>
                <w:i/>
                <w:lang w:eastAsia="ru-RU"/>
              </w:rPr>
            </w:pPr>
          </w:p>
        </w:tc>
        <w:tc>
          <w:tcPr>
            <w:tcW w:w="851" w:type="dxa"/>
            <w:vMerge/>
            <w:vAlign w:val="center"/>
          </w:tcPr>
          <w:p w:rsidR="00262DC9" w:rsidRPr="0066263B" w:rsidRDefault="00262DC9" w:rsidP="00262DC9">
            <w:pPr>
              <w:spacing w:before="20" w:after="20"/>
              <w:ind w:right="-53"/>
              <w:jc w:val="center"/>
              <w:rPr>
                <w:rFonts w:ascii="Times New Roman" w:eastAsia="Times New Roman" w:hAnsi="Times New Roman" w:cs="Times New Roman"/>
                <w:b/>
                <w:i/>
                <w:lang w:eastAsia="ru-RU"/>
              </w:rPr>
            </w:pPr>
          </w:p>
        </w:tc>
        <w:tc>
          <w:tcPr>
            <w:tcW w:w="1470" w:type="dxa"/>
            <w:vMerge/>
            <w:vAlign w:val="center"/>
          </w:tcPr>
          <w:p w:rsidR="00262DC9" w:rsidRPr="0066263B" w:rsidRDefault="00262DC9" w:rsidP="00262DC9">
            <w:pPr>
              <w:spacing w:before="20" w:after="20"/>
              <w:ind w:right="-53"/>
              <w:jc w:val="center"/>
              <w:rPr>
                <w:rFonts w:ascii="Times New Roman" w:eastAsia="Times New Roman" w:hAnsi="Times New Roman" w:cs="Times New Roman"/>
                <w:b/>
                <w:i/>
                <w:lang w:eastAsia="ru-RU"/>
              </w:rPr>
            </w:pPr>
          </w:p>
        </w:tc>
        <w:tc>
          <w:tcPr>
            <w:tcW w:w="1523" w:type="dxa"/>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токсигенных</w:t>
            </w:r>
          </w:p>
        </w:tc>
        <w:tc>
          <w:tcPr>
            <w:tcW w:w="1879" w:type="dxa"/>
            <w:vAlign w:val="center"/>
          </w:tcPr>
          <w:p w:rsidR="00262DC9" w:rsidRPr="0066263B" w:rsidRDefault="00262DC9"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нетоксигенных</w:t>
            </w:r>
          </w:p>
        </w:tc>
      </w:tr>
      <w:tr w:rsidR="00E60C15" w:rsidRPr="0066263B" w:rsidTr="003A0957">
        <w:trPr>
          <w:jc w:val="center"/>
        </w:trPr>
        <w:tc>
          <w:tcPr>
            <w:tcW w:w="3742" w:type="dxa"/>
          </w:tcPr>
          <w:p w:rsidR="00E60C15" w:rsidRPr="0066263B" w:rsidRDefault="00E60C1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С </w:t>
            </w:r>
            <w:proofErr w:type="gramStart"/>
            <w:r w:rsidRPr="0066263B">
              <w:rPr>
                <w:rFonts w:ascii="Times New Roman" w:eastAsia="Times New Roman" w:hAnsi="Times New Roman" w:cs="Times New Roman"/>
                <w:lang w:eastAsia="ru-RU"/>
              </w:rPr>
              <w:t>диагностической</w:t>
            </w:r>
            <w:proofErr w:type="gramEnd"/>
            <w:r w:rsidRPr="0066263B">
              <w:rPr>
                <w:rFonts w:ascii="Times New Roman" w:eastAsia="Times New Roman" w:hAnsi="Times New Roman" w:cs="Times New Roman"/>
                <w:lang w:eastAsia="ru-RU"/>
              </w:rPr>
              <w:t xml:space="preserve"> цель, из них:</w:t>
            </w:r>
          </w:p>
        </w:tc>
        <w:tc>
          <w:tcPr>
            <w:tcW w:w="851"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618</w:t>
            </w:r>
          </w:p>
        </w:tc>
        <w:tc>
          <w:tcPr>
            <w:tcW w:w="147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1236</w:t>
            </w:r>
          </w:p>
        </w:tc>
        <w:tc>
          <w:tcPr>
            <w:tcW w:w="1523"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879"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E60C15" w:rsidRPr="0066263B" w:rsidTr="003A0957">
        <w:trPr>
          <w:jc w:val="center"/>
        </w:trPr>
        <w:tc>
          <w:tcPr>
            <w:tcW w:w="3742" w:type="dxa"/>
          </w:tcPr>
          <w:p w:rsidR="00E60C15" w:rsidRPr="0066263B" w:rsidRDefault="00E60C15" w:rsidP="00160BD2">
            <w:pPr>
              <w:numPr>
                <w:ilvl w:val="0"/>
                <w:numId w:val="45"/>
              </w:numPr>
              <w:spacing w:before="20" w:after="20"/>
              <w:ind w:left="232" w:hanging="142"/>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 эпидемическим показаниям</w:t>
            </w:r>
          </w:p>
        </w:tc>
        <w:tc>
          <w:tcPr>
            <w:tcW w:w="851"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47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523"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879"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E60C15" w:rsidRPr="0066263B" w:rsidTr="003A0957">
        <w:trPr>
          <w:jc w:val="center"/>
        </w:trPr>
        <w:tc>
          <w:tcPr>
            <w:tcW w:w="3742" w:type="dxa"/>
          </w:tcPr>
          <w:p w:rsidR="00E60C15" w:rsidRPr="0066263B" w:rsidRDefault="00E60C15" w:rsidP="00160BD2">
            <w:pPr>
              <w:numPr>
                <w:ilvl w:val="0"/>
                <w:numId w:val="45"/>
              </w:numPr>
              <w:spacing w:before="20" w:after="20"/>
              <w:ind w:left="232" w:hanging="142"/>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 профилактической целью</w:t>
            </w:r>
          </w:p>
        </w:tc>
        <w:tc>
          <w:tcPr>
            <w:tcW w:w="851"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1770</w:t>
            </w:r>
          </w:p>
        </w:tc>
        <w:tc>
          <w:tcPr>
            <w:tcW w:w="147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3551</w:t>
            </w:r>
          </w:p>
        </w:tc>
        <w:tc>
          <w:tcPr>
            <w:tcW w:w="1523"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879"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E60C15" w:rsidRPr="0066263B" w:rsidTr="003A0957">
        <w:trPr>
          <w:jc w:val="center"/>
        </w:trPr>
        <w:tc>
          <w:tcPr>
            <w:tcW w:w="3742" w:type="dxa"/>
          </w:tcPr>
          <w:p w:rsidR="00E60C15" w:rsidRPr="0066263B" w:rsidRDefault="00E60C1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w:t>
            </w:r>
          </w:p>
        </w:tc>
        <w:tc>
          <w:tcPr>
            <w:tcW w:w="851"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2388</w:t>
            </w:r>
          </w:p>
        </w:tc>
        <w:tc>
          <w:tcPr>
            <w:tcW w:w="147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4787</w:t>
            </w:r>
          </w:p>
        </w:tc>
        <w:tc>
          <w:tcPr>
            <w:tcW w:w="1523"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879"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262DC9" w:rsidRPr="0066263B" w:rsidRDefault="00262DC9" w:rsidP="00324483">
      <w:pPr>
        <w:spacing w:before="0" w:after="0"/>
        <w:jc w:val="center"/>
        <w:rPr>
          <w:rFonts w:ascii="Times New Roman" w:eastAsia="Times New Roman" w:hAnsi="Times New Roman" w:cs="Times New Roman"/>
          <w:lang w:eastAsia="ru-RU"/>
        </w:rPr>
      </w:pPr>
    </w:p>
    <w:p w:rsidR="00C23EB0" w:rsidRPr="0066263B" w:rsidRDefault="00C23EB0">
      <w:pP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br w:type="page"/>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lastRenderedPageBreak/>
        <w:t>Коклюш</w:t>
      </w:r>
    </w:p>
    <w:p w:rsidR="00E60C15" w:rsidRPr="0066263B" w:rsidRDefault="00E60C15" w:rsidP="00E60C1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Вакцинацией против коклюша своевременно (12 месяцев) охвачено 96,0% детей (2020 – 95,3%).</w:t>
      </w:r>
    </w:p>
    <w:p w:rsidR="00E60C15" w:rsidRPr="0066263B" w:rsidRDefault="00E60C15" w:rsidP="00E60C1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Ревакцинацией против коклюша своевременно (24 месяца) охвачено 96,6% детей (2019 – 94,7%).</w:t>
      </w:r>
    </w:p>
    <w:p w:rsidR="00E60C15" w:rsidRPr="0066263B" w:rsidRDefault="00E60C15" w:rsidP="00262DC9">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Показатели охвата профилактическими прививками против коклюша детей, %</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9277"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4"/>
        <w:gridCol w:w="850"/>
        <w:gridCol w:w="851"/>
        <w:gridCol w:w="850"/>
        <w:gridCol w:w="851"/>
        <w:gridCol w:w="850"/>
        <w:gridCol w:w="851"/>
      </w:tblGrid>
      <w:tr w:rsidR="00E60C15" w:rsidRPr="0066263B" w:rsidTr="00E60C15">
        <w:trPr>
          <w:jc w:val="center"/>
        </w:trPr>
        <w:tc>
          <w:tcPr>
            <w:tcW w:w="4174" w:type="dxa"/>
            <w:vAlign w:val="center"/>
          </w:tcPr>
          <w:p w:rsidR="00E60C15" w:rsidRPr="0066263B" w:rsidRDefault="00E60C15" w:rsidP="00262DC9">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Возрастная группа, вид прививки</w:t>
            </w:r>
          </w:p>
        </w:tc>
        <w:tc>
          <w:tcPr>
            <w:tcW w:w="850" w:type="dxa"/>
          </w:tcPr>
          <w:p w:rsidR="00E60C15" w:rsidRPr="0066263B" w:rsidRDefault="00E60C15"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2016</w:t>
            </w:r>
          </w:p>
        </w:tc>
        <w:tc>
          <w:tcPr>
            <w:tcW w:w="851" w:type="dxa"/>
            <w:vAlign w:val="center"/>
          </w:tcPr>
          <w:p w:rsidR="00E60C15" w:rsidRPr="0066263B" w:rsidRDefault="00E60C15"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2017</w:t>
            </w:r>
          </w:p>
        </w:tc>
        <w:tc>
          <w:tcPr>
            <w:tcW w:w="850" w:type="dxa"/>
            <w:vAlign w:val="center"/>
          </w:tcPr>
          <w:p w:rsidR="00E60C15" w:rsidRPr="0066263B" w:rsidRDefault="00E60C15"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851" w:type="dxa"/>
          </w:tcPr>
          <w:p w:rsidR="00E60C15" w:rsidRPr="0066263B" w:rsidRDefault="00E60C15"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850" w:type="dxa"/>
            <w:vAlign w:val="center"/>
          </w:tcPr>
          <w:p w:rsidR="00E60C15" w:rsidRPr="0066263B" w:rsidRDefault="00E60C15"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851" w:type="dxa"/>
            <w:vAlign w:val="center"/>
          </w:tcPr>
          <w:p w:rsidR="00E60C15" w:rsidRPr="0066263B" w:rsidRDefault="00E60C15"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E60C15" w:rsidRPr="0066263B" w:rsidTr="00E60C15">
        <w:trPr>
          <w:jc w:val="center"/>
        </w:trPr>
        <w:tc>
          <w:tcPr>
            <w:tcW w:w="4174" w:type="dxa"/>
          </w:tcPr>
          <w:p w:rsidR="00E60C15" w:rsidRPr="0066263B" w:rsidRDefault="00E60C1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 месяцев, своевременная вакцинация</w:t>
            </w:r>
          </w:p>
        </w:tc>
        <w:tc>
          <w:tcPr>
            <w:tcW w:w="850" w:type="dxa"/>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97,0</w:t>
            </w:r>
          </w:p>
        </w:tc>
        <w:tc>
          <w:tcPr>
            <w:tcW w:w="851" w:type="dxa"/>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97,2</w:t>
            </w:r>
          </w:p>
        </w:tc>
        <w:tc>
          <w:tcPr>
            <w:tcW w:w="85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96,8</w:t>
            </w:r>
          </w:p>
        </w:tc>
        <w:tc>
          <w:tcPr>
            <w:tcW w:w="851" w:type="dxa"/>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97,1</w:t>
            </w:r>
          </w:p>
        </w:tc>
        <w:tc>
          <w:tcPr>
            <w:tcW w:w="85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95,3</w:t>
            </w:r>
          </w:p>
        </w:tc>
        <w:tc>
          <w:tcPr>
            <w:tcW w:w="851"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96,0</w:t>
            </w:r>
          </w:p>
        </w:tc>
      </w:tr>
      <w:tr w:rsidR="00E60C15" w:rsidRPr="0066263B" w:rsidTr="00E60C15">
        <w:trPr>
          <w:jc w:val="center"/>
        </w:trPr>
        <w:tc>
          <w:tcPr>
            <w:tcW w:w="4174" w:type="dxa"/>
          </w:tcPr>
          <w:p w:rsidR="00E60C15" w:rsidRPr="0066263B" w:rsidRDefault="00E60C1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 месяца, своевременная ревакцинация</w:t>
            </w:r>
          </w:p>
        </w:tc>
        <w:tc>
          <w:tcPr>
            <w:tcW w:w="850" w:type="dxa"/>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97,3</w:t>
            </w:r>
          </w:p>
        </w:tc>
        <w:tc>
          <w:tcPr>
            <w:tcW w:w="851" w:type="dxa"/>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97,8</w:t>
            </w:r>
          </w:p>
        </w:tc>
        <w:tc>
          <w:tcPr>
            <w:tcW w:w="85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97,2</w:t>
            </w:r>
          </w:p>
        </w:tc>
        <w:tc>
          <w:tcPr>
            <w:tcW w:w="851" w:type="dxa"/>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97,1</w:t>
            </w:r>
          </w:p>
        </w:tc>
        <w:tc>
          <w:tcPr>
            <w:tcW w:w="85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94,7</w:t>
            </w:r>
          </w:p>
        </w:tc>
        <w:tc>
          <w:tcPr>
            <w:tcW w:w="851"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96,6</w:t>
            </w:r>
          </w:p>
        </w:tc>
      </w:tr>
      <w:tr w:rsidR="00E60C15" w:rsidRPr="0066263B" w:rsidTr="00E60C15">
        <w:trPr>
          <w:jc w:val="center"/>
        </w:trPr>
        <w:tc>
          <w:tcPr>
            <w:tcW w:w="4174" w:type="dxa"/>
          </w:tcPr>
          <w:p w:rsidR="00E60C15" w:rsidRPr="0066263B" w:rsidRDefault="00E60C15"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 года, привито против коклюша</w:t>
            </w:r>
          </w:p>
        </w:tc>
        <w:tc>
          <w:tcPr>
            <w:tcW w:w="850" w:type="dxa"/>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98,8</w:t>
            </w:r>
          </w:p>
        </w:tc>
        <w:tc>
          <w:tcPr>
            <w:tcW w:w="851" w:type="dxa"/>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98,0</w:t>
            </w:r>
          </w:p>
        </w:tc>
        <w:tc>
          <w:tcPr>
            <w:tcW w:w="85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98,3</w:t>
            </w:r>
          </w:p>
        </w:tc>
        <w:tc>
          <w:tcPr>
            <w:tcW w:w="851" w:type="dxa"/>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98,7</w:t>
            </w:r>
          </w:p>
        </w:tc>
        <w:tc>
          <w:tcPr>
            <w:tcW w:w="850"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98,1</w:t>
            </w:r>
          </w:p>
        </w:tc>
        <w:tc>
          <w:tcPr>
            <w:tcW w:w="851" w:type="dxa"/>
            <w:vAlign w:val="center"/>
          </w:tcPr>
          <w:p w:rsidR="00E60C15" w:rsidRPr="0066263B" w:rsidRDefault="00E60C15"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98,0</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E60C15" w:rsidRPr="0066263B" w:rsidRDefault="00E60C15" w:rsidP="00262DC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Заболеваемость коклюшем в 2021 году не регистрировалась (2020 – 1,26 на 100 тыс. нас.).</w:t>
      </w:r>
    </w:p>
    <w:p w:rsidR="005C0A6C" w:rsidRPr="0066263B" w:rsidRDefault="005C0A6C" w:rsidP="00262DC9">
      <w:pPr>
        <w:spacing w:before="0" w:after="0"/>
        <w:ind w:firstLine="709"/>
        <w:rPr>
          <w:rFonts w:ascii="Times New Roman" w:eastAsia="Times New Roman" w:hAnsi="Times New Roman" w:cs="Times New Roman"/>
          <w:sz w:val="24"/>
          <w:szCs w:val="24"/>
          <w:lang w:eastAsia="ru-RU"/>
        </w:rPr>
      </w:pPr>
    </w:p>
    <w:p w:rsidR="005C0A6C" w:rsidRPr="0066263B" w:rsidRDefault="005C0A6C" w:rsidP="005C0A6C">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44308" cy="2872153"/>
            <wp:effectExtent l="0" t="0" r="0" b="0"/>
            <wp:docPr id="23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C0A6C" w:rsidRPr="0066263B" w:rsidRDefault="005C0A6C" w:rsidP="00262DC9">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60</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 xml:space="preserve">. </w:t>
      </w:r>
      <w:r w:rsidRPr="0066263B">
        <w:rPr>
          <w:rFonts w:ascii="Times New Roman" w:eastAsia="Times New Roman" w:hAnsi="Times New Roman" w:cs="Times New Roman"/>
          <w:lang w:eastAsia="ru-RU"/>
        </w:rPr>
        <w:t>Динамика заболеваемости коклюшем, на 100 тыс. населения</w:t>
      </w:r>
    </w:p>
    <w:p w:rsidR="00324483" w:rsidRPr="0066263B" w:rsidRDefault="00324483" w:rsidP="00324483">
      <w:pPr>
        <w:tabs>
          <w:tab w:val="left" w:pos="0"/>
        </w:tabs>
        <w:spacing w:before="0" w:after="0"/>
        <w:jc w:val="center"/>
        <w:rPr>
          <w:rFonts w:ascii="Times New Roman" w:eastAsia="Times New Roman" w:hAnsi="Times New Roman" w:cs="Times New Roman"/>
          <w:bCs/>
          <w:i/>
          <w:sz w:val="24"/>
          <w:szCs w:val="24"/>
          <w:lang w:eastAsia="ru-RU"/>
        </w:rPr>
      </w:pPr>
    </w:p>
    <w:p w:rsidR="00324483" w:rsidRPr="0066263B" w:rsidRDefault="00324483" w:rsidP="00324483">
      <w:pPr>
        <w:tabs>
          <w:tab w:val="left" w:pos="0"/>
        </w:tabs>
        <w:spacing w:before="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Эпидемический паротит</w:t>
      </w:r>
    </w:p>
    <w:p w:rsidR="005C0A6C" w:rsidRPr="0066263B" w:rsidRDefault="005C0A6C" w:rsidP="00262DC9">
      <w:pPr>
        <w:spacing w:before="0" w:after="0"/>
        <w:ind w:firstLine="709"/>
        <w:rPr>
          <w:rFonts w:ascii="Times New Roman" w:eastAsia="Times New Roman" w:hAnsi="Times New Roman" w:cs="Times New Roman"/>
          <w:sz w:val="24"/>
          <w:szCs w:val="24"/>
          <w:lang w:eastAsia="ru-RU"/>
        </w:rPr>
      </w:pPr>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зарегистрирован 1 случай эпидемического паротита, в 2019-2020 г.г. случаи не зарегистрированы.</w:t>
      </w:r>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Против эпидемического паротита своевременно (24 месяца) вакцинировано 97,5% детей (2020 – 95,4%). Ревакцинацией против эпидемического паротита в 6 лет охвачено 97,4% детей (2020 – 98,5%). Показатель охвата ревакцинацией детей и подростков до 17 лет – 98,9% (2020 – 98,9%).</w:t>
      </w:r>
    </w:p>
    <w:p w:rsidR="005C0A6C" w:rsidRPr="0066263B" w:rsidRDefault="005C0A6C" w:rsidP="00262DC9">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C23EB0" w:rsidRPr="0066263B" w:rsidRDefault="00C23EB0" w:rsidP="00262DC9">
      <w:pPr>
        <w:spacing w:before="0" w:after="0"/>
        <w:ind w:firstLine="709"/>
        <w:rPr>
          <w:rFonts w:ascii="Times New Roman" w:eastAsia="Times New Roman" w:hAnsi="Times New Roman" w:cs="Times New Roman"/>
          <w:sz w:val="24"/>
          <w:szCs w:val="24"/>
          <w:lang w:eastAsia="ru-RU"/>
        </w:rPr>
      </w:pPr>
    </w:p>
    <w:p w:rsidR="005C0A6C" w:rsidRPr="0066263B" w:rsidRDefault="005C0A6C" w:rsidP="005C0A6C">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216837" cy="2912338"/>
            <wp:effectExtent l="0" t="0" r="0" b="0"/>
            <wp:docPr id="25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62DC9" w:rsidRPr="0066263B" w:rsidRDefault="00262DC9"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61</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 xml:space="preserve">. </w:t>
      </w:r>
      <w:r w:rsidRPr="0066263B">
        <w:rPr>
          <w:rFonts w:ascii="Times New Roman" w:eastAsia="Times New Roman" w:hAnsi="Times New Roman" w:cs="Times New Roman"/>
          <w:lang w:eastAsia="ru-RU"/>
        </w:rPr>
        <w:t>Динамика заболеваемости эпидемиологическим паротитом, на 100 тыс. населения</w:t>
      </w:r>
    </w:p>
    <w:p w:rsidR="00324483" w:rsidRPr="0066263B" w:rsidRDefault="00324483" w:rsidP="00324483">
      <w:pPr>
        <w:tabs>
          <w:tab w:val="left" w:pos="0"/>
        </w:tabs>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Корь</w:t>
      </w:r>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на территории Брянской области, как и в 2020 году случаев кори не зарегистрировано.</w:t>
      </w:r>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Вакцинацией против кори дети 1 год – 1 год 11 мес. 29 дн. охвачены на 97,4% (2020 – 96,7%). В 24 месяца вакцинировано против кори 97,6% детей (2020 – 95,4%). Ревакцинацией против кори в 6 лет охвачено 97,4% детей (2020 – 97,9%). Взрослое население 18-35 лет охвачено прививками против кори (вакцинация и ревакцинация) на 97,8% (2020 – 97,4%). Высокий уровень охвата профилактическими прививками против кори населения Брянской области подтверждается данными серологического мониторинга (табл. 7</w:t>
      </w:r>
      <w:r w:rsidR="00816777" w:rsidRPr="0066263B">
        <w:rPr>
          <w:rFonts w:ascii="Times New Roman" w:eastAsia="Times New Roman" w:hAnsi="Times New Roman" w:cs="Times New Roman"/>
          <w:sz w:val="24"/>
          <w:szCs w:val="24"/>
          <w:lang w:eastAsia="ru-RU"/>
        </w:rPr>
        <w:t>5</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75</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Результаты серологического мониторинга состояния коллективного иммунитета</w:t>
      </w:r>
      <w:r w:rsidRPr="0066263B">
        <w:rPr>
          <w:rFonts w:ascii="Times New Roman" w:eastAsia="Times New Roman" w:hAnsi="Times New Roman" w:cs="Times New Roman"/>
          <w:b/>
          <w:lang w:eastAsia="ru-RU"/>
        </w:rPr>
        <w:br/>
        <w:t>против кори в индикаторных группах</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2"/>
        <w:gridCol w:w="1680"/>
        <w:gridCol w:w="1013"/>
        <w:gridCol w:w="1017"/>
        <w:gridCol w:w="1013"/>
        <w:gridCol w:w="1066"/>
        <w:gridCol w:w="964"/>
        <w:gridCol w:w="1013"/>
      </w:tblGrid>
      <w:tr w:rsidR="00262DC9" w:rsidRPr="0066263B" w:rsidTr="005C0A6C">
        <w:trPr>
          <w:cantSplit/>
          <w:trHeight w:val="246"/>
        </w:trPr>
        <w:tc>
          <w:tcPr>
            <w:tcW w:w="769" w:type="pct"/>
            <w:vMerge w:val="restart"/>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Индика</w:t>
            </w:r>
            <w:r w:rsidRPr="0066263B">
              <w:rPr>
                <w:rFonts w:ascii="Times New Roman" w:eastAsia="Times New Roman" w:hAnsi="Times New Roman" w:cs="Times New Roman"/>
                <w:b/>
                <w:bCs/>
                <w:i/>
                <w:iCs/>
                <w:lang w:eastAsia="ru-RU"/>
              </w:rPr>
              <w:softHyphen/>
              <w:t>торные группы</w:t>
            </w:r>
          </w:p>
        </w:tc>
        <w:tc>
          <w:tcPr>
            <w:tcW w:w="915" w:type="pct"/>
            <w:vMerge w:val="restart"/>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Количество</w:t>
            </w:r>
            <w:r w:rsidRPr="0066263B">
              <w:rPr>
                <w:rFonts w:ascii="Times New Roman" w:eastAsia="Times New Roman" w:hAnsi="Times New Roman" w:cs="Times New Roman"/>
                <w:b/>
                <w:bCs/>
                <w:i/>
                <w:iCs/>
                <w:lang w:eastAsia="ru-RU"/>
              </w:rPr>
              <w:br/>
            </w:r>
            <w:proofErr w:type="gramStart"/>
            <w:r w:rsidRPr="0066263B">
              <w:rPr>
                <w:rFonts w:ascii="Times New Roman" w:eastAsia="Times New Roman" w:hAnsi="Times New Roman" w:cs="Times New Roman"/>
                <w:b/>
                <w:bCs/>
                <w:i/>
                <w:iCs/>
                <w:lang w:eastAsia="ru-RU"/>
              </w:rPr>
              <w:t>обследованных</w:t>
            </w:r>
            <w:proofErr w:type="gramEnd"/>
          </w:p>
        </w:tc>
        <w:tc>
          <w:tcPr>
            <w:tcW w:w="3316" w:type="pct"/>
            <w:gridSpan w:val="6"/>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из них выявлено</w:t>
            </w:r>
          </w:p>
        </w:tc>
      </w:tr>
      <w:tr w:rsidR="00262DC9" w:rsidRPr="0066263B" w:rsidTr="005C0A6C">
        <w:trPr>
          <w:trHeight w:val="148"/>
        </w:trPr>
        <w:tc>
          <w:tcPr>
            <w:tcW w:w="769" w:type="pct"/>
            <w:vMerge/>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p>
        </w:tc>
        <w:tc>
          <w:tcPr>
            <w:tcW w:w="915" w:type="pct"/>
            <w:vMerge/>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p>
        </w:tc>
        <w:tc>
          <w:tcPr>
            <w:tcW w:w="1106" w:type="pct"/>
            <w:gridSpan w:val="2"/>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серопозитивных</w:t>
            </w:r>
          </w:p>
        </w:tc>
        <w:tc>
          <w:tcPr>
            <w:tcW w:w="1133" w:type="pct"/>
            <w:gridSpan w:val="2"/>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сомнительных</w:t>
            </w:r>
          </w:p>
        </w:tc>
        <w:tc>
          <w:tcPr>
            <w:tcW w:w="1077" w:type="pct"/>
            <w:gridSpan w:val="2"/>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серонегативных</w:t>
            </w:r>
          </w:p>
        </w:tc>
      </w:tr>
      <w:tr w:rsidR="00262DC9" w:rsidRPr="0066263B" w:rsidTr="005C0A6C">
        <w:trPr>
          <w:trHeight w:val="148"/>
        </w:trPr>
        <w:tc>
          <w:tcPr>
            <w:tcW w:w="769" w:type="pct"/>
            <w:vMerge/>
            <w:vAlign w:val="center"/>
          </w:tcPr>
          <w:p w:rsidR="00262DC9" w:rsidRPr="0066263B" w:rsidRDefault="00262DC9" w:rsidP="00262DC9">
            <w:pPr>
              <w:spacing w:before="20" w:after="20"/>
              <w:jc w:val="center"/>
              <w:rPr>
                <w:rFonts w:ascii="Times New Roman" w:eastAsia="Times New Roman" w:hAnsi="Times New Roman" w:cs="Times New Roman"/>
                <w:lang w:eastAsia="ru-RU"/>
              </w:rPr>
            </w:pPr>
          </w:p>
        </w:tc>
        <w:tc>
          <w:tcPr>
            <w:tcW w:w="915" w:type="pct"/>
            <w:vMerge/>
            <w:vAlign w:val="center"/>
          </w:tcPr>
          <w:p w:rsidR="00262DC9" w:rsidRPr="0066263B" w:rsidRDefault="00262DC9" w:rsidP="00262DC9">
            <w:pPr>
              <w:spacing w:before="20" w:after="20"/>
              <w:jc w:val="center"/>
              <w:rPr>
                <w:rFonts w:ascii="Times New Roman" w:eastAsia="Times New Roman" w:hAnsi="Times New Roman" w:cs="Times New Roman"/>
                <w:lang w:eastAsia="ru-RU"/>
              </w:rPr>
            </w:pPr>
          </w:p>
        </w:tc>
        <w:tc>
          <w:tcPr>
            <w:tcW w:w="552" w:type="pct"/>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554" w:type="pct"/>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w:t>
            </w:r>
          </w:p>
        </w:tc>
        <w:tc>
          <w:tcPr>
            <w:tcW w:w="552" w:type="pct"/>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581" w:type="pct"/>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w:t>
            </w:r>
          </w:p>
        </w:tc>
        <w:tc>
          <w:tcPr>
            <w:tcW w:w="525" w:type="pct"/>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552" w:type="pct"/>
            <w:vAlign w:val="center"/>
          </w:tcPr>
          <w:p w:rsidR="00262DC9" w:rsidRPr="0066263B" w:rsidRDefault="00262DC9" w:rsidP="00262DC9">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w:t>
            </w:r>
          </w:p>
        </w:tc>
      </w:tr>
      <w:tr w:rsidR="005C0A6C" w:rsidRPr="0066263B" w:rsidTr="005C0A6C">
        <w:trPr>
          <w:trHeight w:val="262"/>
        </w:trPr>
        <w:tc>
          <w:tcPr>
            <w:tcW w:w="769" w:type="pct"/>
          </w:tcPr>
          <w:p w:rsidR="005C0A6C" w:rsidRPr="0066263B" w:rsidRDefault="005C0A6C"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 года</w:t>
            </w:r>
          </w:p>
        </w:tc>
        <w:tc>
          <w:tcPr>
            <w:tcW w:w="91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w:t>
            </w:r>
          </w:p>
        </w:tc>
        <w:tc>
          <w:tcPr>
            <w:tcW w:w="554"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1"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w:t>
            </w:r>
          </w:p>
        </w:tc>
      </w:tr>
      <w:tr w:rsidR="005C0A6C" w:rsidRPr="0066263B" w:rsidTr="005C0A6C">
        <w:trPr>
          <w:trHeight w:val="246"/>
        </w:trPr>
        <w:tc>
          <w:tcPr>
            <w:tcW w:w="769" w:type="pct"/>
          </w:tcPr>
          <w:p w:rsidR="005C0A6C" w:rsidRPr="0066263B" w:rsidRDefault="005C0A6C"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30-39 лет</w:t>
            </w:r>
          </w:p>
        </w:tc>
        <w:tc>
          <w:tcPr>
            <w:tcW w:w="91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w:t>
            </w:r>
          </w:p>
        </w:tc>
        <w:tc>
          <w:tcPr>
            <w:tcW w:w="554"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68</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1"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w:t>
            </w:r>
          </w:p>
        </w:tc>
      </w:tr>
      <w:tr w:rsidR="005C0A6C" w:rsidRPr="0066263B" w:rsidTr="005C0A6C">
        <w:trPr>
          <w:trHeight w:val="246"/>
        </w:trPr>
        <w:tc>
          <w:tcPr>
            <w:tcW w:w="769" w:type="pct"/>
          </w:tcPr>
          <w:p w:rsidR="005C0A6C" w:rsidRPr="0066263B" w:rsidRDefault="005C0A6C"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40-49 лет</w:t>
            </w:r>
          </w:p>
        </w:tc>
        <w:tc>
          <w:tcPr>
            <w:tcW w:w="91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w:t>
            </w:r>
          </w:p>
        </w:tc>
        <w:tc>
          <w:tcPr>
            <w:tcW w:w="554"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76</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1"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w:t>
            </w:r>
          </w:p>
        </w:tc>
      </w:tr>
      <w:tr w:rsidR="005C0A6C" w:rsidRPr="0066263B" w:rsidTr="005C0A6C">
        <w:trPr>
          <w:trHeight w:val="262"/>
        </w:trPr>
        <w:tc>
          <w:tcPr>
            <w:tcW w:w="769" w:type="pct"/>
          </w:tcPr>
          <w:p w:rsidR="005C0A6C" w:rsidRPr="0066263B" w:rsidRDefault="005C0A6C" w:rsidP="00262DC9">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w:t>
            </w:r>
          </w:p>
        </w:tc>
        <w:tc>
          <w:tcPr>
            <w:tcW w:w="91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200</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155</w:t>
            </w:r>
          </w:p>
        </w:tc>
        <w:tc>
          <w:tcPr>
            <w:tcW w:w="554"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77</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1"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w:t>
            </w:r>
          </w:p>
        </w:tc>
        <w:tc>
          <w:tcPr>
            <w:tcW w:w="552"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w:t>
            </w:r>
          </w:p>
        </w:tc>
      </w:tr>
    </w:tbl>
    <w:p w:rsidR="00262DC9" w:rsidRPr="0066263B" w:rsidRDefault="00262DC9" w:rsidP="00324483">
      <w:pPr>
        <w:spacing w:before="0" w:after="0"/>
        <w:ind w:firstLine="709"/>
        <w:rPr>
          <w:rFonts w:ascii="Times New Roman" w:eastAsia="Times New Roman" w:hAnsi="Times New Roman" w:cs="Times New Roman"/>
          <w:sz w:val="24"/>
          <w:szCs w:val="24"/>
          <w:lang w:eastAsia="ru-RU"/>
        </w:rPr>
      </w:pPr>
    </w:p>
    <w:p w:rsidR="00C23EB0" w:rsidRPr="0066263B" w:rsidRDefault="00C23EB0">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C23EB0" w:rsidRPr="0066263B" w:rsidRDefault="00C23EB0" w:rsidP="00324483">
      <w:pPr>
        <w:spacing w:before="0" w:after="0"/>
        <w:ind w:firstLine="709"/>
        <w:rPr>
          <w:rFonts w:ascii="Times New Roman" w:eastAsia="Times New Roman" w:hAnsi="Times New Roman" w:cs="Times New Roman"/>
          <w:sz w:val="24"/>
          <w:szCs w:val="24"/>
          <w:lang w:eastAsia="ru-RU"/>
        </w:rPr>
      </w:pPr>
    </w:p>
    <w:p w:rsidR="00324483" w:rsidRPr="0066263B" w:rsidRDefault="005C0A6C" w:rsidP="005C0A6C">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29535" cy="2304499"/>
            <wp:effectExtent l="0" t="0" r="0" b="0"/>
            <wp:docPr id="254"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C0A6C" w:rsidRPr="0066263B" w:rsidRDefault="005C0A6C"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62</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корью, на 100 тыс. населения</w:t>
      </w:r>
    </w:p>
    <w:p w:rsidR="00324483" w:rsidRPr="0066263B" w:rsidRDefault="00324483" w:rsidP="00324483">
      <w:pPr>
        <w:tabs>
          <w:tab w:val="left" w:pos="0"/>
        </w:tabs>
        <w:spacing w:before="120" w:after="0"/>
        <w:jc w:val="center"/>
        <w:rPr>
          <w:rFonts w:ascii="Times New Roman" w:eastAsia="Times New Roman" w:hAnsi="Times New Roman" w:cs="Times New Roman"/>
          <w:b/>
          <w:lang w:eastAsia="ru-RU"/>
        </w:rPr>
      </w:pPr>
    </w:p>
    <w:p w:rsidR="00324483" w:rsidRPr="0066263B" w:rsidRDefault="00324483" w:rsidP="00324483">
      <w:pPr>
        <w:tabs>
          <w:tab w:val="left" w:pos="0"/>
        </w:tabs>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Краснуха</w:t>
      </w:r>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случаев заболевания краснухой на территории Брянской области не зарегистрировано (не регистрировалась с 2013 года). Снижение заболеваемости краснухой (до единичных случаев на фоне эпидемической заболеваемости в прежние годы) достигнуто в результате проведения массовой дополнительной иммунизации в рамках приоритетного национального проекта «Здоровье» – детей и подростков до 17 лет, не болевших краснухой, не привитых, привитых однократно, а также женщин до 25 лет.</w:t>
      </w:r>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p>
    <w:p w:rsidR="005C0A6C" w:rsidRPr="0066263B" w:rsidRDefault="005C0A6C" w:rsidP="005C0A6C">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01085" cy="2218414"/>
            <wp:effectExtent l="0" t="0" r="0" b="0"/>
            <wp:docPr id="33"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228B3" w:rsidRPr="0066263B" w:rsidRDefault="005228B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bCs/>
          <w:lang w:eastAsia="ru-RU"/>
        </w:rPr>
      </w:pPr>
      <w:r w:rsidRPr="0066263B">
        <w:rPr>
          <w:rFonts w:ascii="Times New Roman" w:eastAsia="Times New Roman" w:hAnsi="Times New Roman" w:cs="Times New Roman"/>
          <w:b/>
          <w:bCs/>
          <w:lang w:eastAsia="ru-RU"/>
        </w:rPr>
        <w:t xml:space="preserve">Рис. </w:t>
      </w:r>
      <w:r w:rsidR="006C34E2" w:rsidRPr="0066263B">
        <w:rPr>
          <w:rFonts w:ascii="Times New Roman" w:eastAsia="Times New Roman" w:hAnsi="Times New Roman" w:cs="Times New Roman"/>
          <w:b/>
          <w:bCs/>
          <w:lang w:eastAsia="ru-RU"/>
        </w:rPr>
        <w:fldChar w:fldCharType="begin"/>
      </w:r>
      <w:r w:rsidRPr="0066263B">
        <w:rPr>
          <w:rFonts w:ascii="Times New Roman" w:eastAsia="Times New Roman" w:hAnsi="Times New Roman" w:cs="Times New Roman"/>
          <w:b/>
          <w:bCs/>
          <w:lang w:eastAsia="ru-RU"/>
        </w:rPr>
        <w:instrText xml:space="preserve"> SEQ Рис._№ \* ARABIC </w:instrText>
      </w:r>
      <w:r w:rsidR="006C34E2" w:rsidRPr="0066263B">
        <w:rPr>
          <w:rFonts w:ascii="Times New Roman" w:eastAsia="Times New Roman" w:hAnsi="Times New Roman" w:cs="Times New Roman"/>
          <w:b/>
          <w:bCs/>
          <w:lang w:eastAsia="ru-RU"/>
        </w:rPr>
        <w:fldChar w:fldCharType="separate"/>
      </w:r>
      <w:r w:rsidR="00EC1D99">
        <w:rPr>
          <w:rFonts w:ascii="Times New Roman" w:eastAsia="Times New Roman" w:hAnsi="Times New Roman" w:cs="Times New Roman"/>
          <w:b/>
          <w:bCs/>
          <w:noProof/>
          <w:lang w:eastAsia="ru-RU"/>
        </w:rPr>
        <w:t>63</w:t>
      </w:r>
      <w:r w:rsidR="006C34E2" w:rsidRPr="0066263B">
        <w:rPr>
          <w:rFonts w:ascii="Times New Roman" w:eastAsia="Times New Roman" w:hAnsi="Times New Roman" w:cs="Times New Roman"/>
          <w:b/>
          <w:bCs/>
          <w:lang w:eastAsia="ru-RU"/>
        </w:rPr>
        <w:fldChar w:fldCharType="end"/>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lang w:eastAsia="ru-RU"/>
        </w:rPr>
        <w:t>Динамика заболеваемости краснухой, на 100 тыс.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Против краснухи своевременно (в возрасте 24 месяца) вакцинировано 97,5% детей (2020 – 95,5%). Охват ревакцинацией против краснухи детей в 6 лет составил 97,4% (2020 – 97,8%).</w:t>
      </w:r>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Дети и подростки до 17 лет охвачены прививками против краснухи на 98,9% (2020 – 98,4%). Высокий охват прививками против краснухи подтверждается результатами серологического мониторинга состояния коллективного иммунитета (табл. 7</w:t>
      </w:r>
      <w:r w:rsidR="00816777" w:rsidRPr="0066263B">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w:t>
      </w:r>
    </w:p>
    <w:p w:rsidR="005C0A6C" w:rsidRPr="0066263B" w:rsidRDefault="005C0A6C" w:rsidP="005228B3">
      <w:pPr>
        <w:spacing w:before="0" w:after="0"/>
        <w:ind w:firstLine="709"/>
        <w:rPr>
          <w:rFonts w:ascii="Times New Roman" w:eastAsia="Times New Roman" w:hAnsi="Times New Roman" w:cs="Times New Roman"/>
          <w:sz w:val="24"/>
          <w:szCs w:val="24"/>
          <w:lang w:eastAsia="ru-RU"/>
        </w:rPr>
      </w:pPr>
    </w:p>
    <w:p w:rsidR="00C23EB0" w:rsidRPr="0066263B" w:rsidRDefault="00C23EB0" w:rsidP="005228B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76</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Результаты серологического мониторинга состояния коллективного иммунитета</w:t>
      </w:r>
      <w:r w:rsidRPr="0066263B">
        <w:rPr>
          <w:rFonts w:ascii="Times New Roman" w:eastAsia="Times New Roman" w:hAnsi="Times New Roman" w:cs="Times New Roman"/>
          <w:b/>
          <w:lang w:eastAsia="ru-RU"/>
        </w:rPr>
        <w:br/>
        <w:t>против краснухи в индикаторных группах</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698"/>
        <w:gridCol w:w="1076"/>
        <w:gridCol w:w="1035"/>
        <w:gridCol w:w="964"/>
        <w:gridCol w:w="966"/>
        <w:gridCol w:w="1010"/>
        <w:gridCol w:w="1011"/>
      </w:tblGrid>
      <w:tr w:rsidR="005228B3" w:rsidRPr="0066263B" w:rsidTr="005228B3">
        <w:trPr>
          <w:cantSplit/>
          <w:trHeight w:val="246"/>
        </w:trPr>
        <w:tc>
          <w:tcPr>
            <w:tcW w:w="772" w:type="pct"/>
            <w:vMerge w:val="restart"/>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Индика</w:t>
            </w:r>
            <w:r w:rsidRPr="0066263B">
              <w:rPr>
                <w:rFonts w:ascii="Times New Roman" w:eastAsia="Times New Roman" w:hAnsi="Times New Roman" w:cs="Times New Roman"/>
                <w:b/>
                <w:bCs/>
                <w:i/>
                <w:iCs/>
                <w:lang w:eastAsia="ru-RU"/>
              </w:rPr>
              <w:softHyphen/>
              <w:t>торные группы</w:t>
            </w:r>
          </w:p>
        </w:tc>
        <w:tc>
          <w:tcPr>
            <w:tcW w:w="925" w:type="pct"/>
            <w:vMerge w:val="restart"/>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Количество</w:t>
            </w:r>
            <w:r w:rsidRPr="0066263B">
              <w:rPr>
                <w:rFonts w:ascii="Times New Roman" w:eastAsia="Times New Roman" w:hAnsi="Times New Roman" w:cs="Times New Roman"/>
                <w:b/>
                <w:bCs/>
                <w:i/>
                <w:iCs/>
                <w:lang w:eastAsia="ru-RU"/>
              </w:rPr>
              <w:br/>
            </w:r>
            <w:proofErr w:type="gramStart"/>
            <w:r w:rsidRPr="0066263B">
              <w:rPr>
                <w:rFonts w:ascii="Times New Roman" w:eastAsia="Times New Roman" w:hAnsi="Times New Roman" w:cs="Times New Roman"/>
                <w:b/>
                <w:bCs/>
                <w:i/>
                <w:iCs/>
                <w:lang w:eastAsia="ru-RU"/>
              </w:rPr>
              <w:t>обследованных</w:t>
            </w:r>
            <w:proofErr w:type="gramEnd"/>
          </w:p>
        </w:tc>
        <w:tc>
          <w:tcPr>
            <w:tcW w:w="3302" w:type="pct"/>
            <w:gridSpan w:val="6"/>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из них выявлено</w:t>
            </w:r>
          </w:p>
        </w:tc>
      </w:tr>
      <w:tr w:rsidR="005228B3" w:rsidRPr="0066263B" w:rsidTr="005228B3">
        <w:trPr>
          <w:trHeight w:val="148"/>
        </w:trPr>
        <w:tc>
          <w:tcPr>
            <w:tcW w:w="772" w:type="pct"/>
            <w:vMerge/>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p>
        </w:tc>
        <w:tc>
          <w:tcPr>
            <w:tcW w:w="925" w:type="pct"/>
            <w:vMerge/>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p>
        </w:tc>
        <w:tc>
          <w:tcPr>
            <w:tcW w:w="1150" w:type="pct"/>
            <w:gridSpan w:val="2"/>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серопозитивных</w:t>
            </w:r>
          </w:p>
        </w:tc>
        <w:tc>
          <w:tcPr>
            <w:tcW w:w="1051" w:type="pct"/>
            <w:gridSpan w:val="2"/>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сомнительных</w:t>
            </w:r>
          </w:p>
        </w:tc>
        <w:tc>
          <w:tcPr>
            <w:tcW w:w="1101" w:type="pct"/>
            <w:gridSpan w:val="2"/>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серонегативных</w:t>
            </w:r>
          </w:p>
        </w:tc>
      </w:tr>
      <w:tr w:rsidR="005228B3" w:rsidRPr="0066263B" w:rsidTr="005228B3">
        <w:trPr>
          <w:trHeight w:val="148"/>
        </w:trPr>
        <w:tc>
          <w:tcPr>
            <w:tcW w:w="772" w:type="pct"/>
            <w:vMerge/>
            <w:vAlign w:val="center"/>
          </w:tcPr>
          <w:p w:rsidR="005228B3" w:rsidRPr="0066263B" w:rsidRDefault="005228B3" w:rsidP="005228B3">
            <w:pPr>
              <w:spacing w:before="20" w:after="20"/>
              <w:jc w:val="center"/>
              <w:rPr>
                <w:rFonts w:ascii="Times New Roman" w:eastAsia="Times New Roman" w:hAnsi="Times New Roman" w:cs="Times New Roman"/>
                <w:lang w:eastAsia="ru-RU"/>
              </w:rPr>
            </w:pPr>
          </w:p>
        </w:tc>
        <w:tc>
          <w:tcPr>
            <w:tcW w:w="925" w:type="pct"/>
            <w:vMerge/>
            <w:vAlign w:val="center"/>
          </w:tcPr>
          <w:p w:rsidR="005228B3" w:rsidRPr="0066263B" w:rsidRDefault="005228B3" w:rsidP="005228B3">
            <w:pPr>
              <w:spacing w:before="20" w:after="20"/>
              <w:jc w:val="center"/>
              <w:rPr>
                <w:rFonts w:ascii="Times New Roman" w:eastAsia="Times New Roman" w:hAnsi="Times New Roman" w:cs="Times New Roman"/>
                <w:lang w:eastAsia="ru-RU"/>
              </w:rPr>
            </w:pPr>
          </w:p>
        </w:tc>
        <w:tc>
          <w:tcPr>
            <w:tcW w:w="586" w:type="pct"/>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564" w:type="pct"/>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w:t>
            </w:r>
          </w:p>
        </w:tc>
        <w:tc>
          <w:tcPr>
            <w:tcW w:w="525" w:type="pct"/>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526" w:type="pct"/>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w:t>
            </w:r>
          </w:p>
        </w:tc>
        <w:tc>
          <w:tcPr>
            <w:tcW w:w="550" w:type="pct"/>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551" w:type="pct"/>
            <w:vAlign w:val="center"/>
          </w:tcPr>
          <w:p w:rsidR="005228B3" w:rsidRPr="0066263B" w:rsidRDefault="005228B3"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w:t>
            </w:r>
          </w:p>
        </w:tc>
      </w:tr>
      <w:tr w:rsidR="005C0A6C" w:rsidRPr="0066263B" w:rsidTr="005228B3">
        <w:trPr>
          <w:trHeight w:val="262"/>
        </w:trPr>
        <w:tc>
          <w:tcPr>
            <w:tcW w:w="772" w:type="pct"/>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 года</w:t>
            </w:r>
          </w:p>
        </w:tc>
        <w:tc>
          <w:tcPr>
            <w:tcW w:w="9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586"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w:t>
            </w:r>
          </w:p>
        </w:tc>
        <w:tc>
          <w:tcPr>
            <w:tcW w:w="564"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w:t>
            </w:r>
          </w:p>
        </w:tc>
        <w:tc>
          <w:tcPr>
            <w:tcW w:w="5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26"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50"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51"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r>
      <w:tr w:rsidR="005C0A6C" w:rsidRPr="0066263B" w:rsidTr="005228B3">
        <w:trPr>
          <w:trHeight w:val="246"/>
        </w:trPr>
        <w:tc>
          <w:tcPr>
            <w:tcW w:w="772" w:type="pct"/>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30-39 лет</w:t>
            </w:r>
          </w:p>
        </w:tc>
        <w:tc>
          <w:tcPr>
            <w:tcW w:w="9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586"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w:t>
            </w:r>
          </w:p>
        </w:tc>
        <w:tc>
          <w:tcPr>
            <w:tcW w:w="564"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w:t>
            </w:r>
          </w:p>
        </w:tc>
        <w:tc>
          <w:tcPr>
            <w:tcW w:w="5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26"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50"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551"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r>
      <w:tr w:rsidR="005C0A6C" w:rsidRPr="0066263B" w:rsidTr="005228B3">
        <w:trPr>
          <w:trHeight w:val="246"/>
        </w:trPr>
        <w:tc>
          <w:tcPr>
            <w:tcW w:w="772" w:type="pct"/>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40-49 лет</w:t>
            </w:r>
          </w:p>
        </w:tc>
        <w:tc>
          <w:tcPr>
            <w:tcW w:w="9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w:t>
            </w:r>
          </w:p>
        </w:tc>
        <w:tc>
          <w:tcPr>
            <w:tcW w:w="586"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w:t>
            </w:r>
          </w:p>
        </w:tc>
        <w:tc>
          <w:tcPr>
            <w:tcW w:w="564"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w:t>
            </w:r>
          </w:p>
        </w:tc>
        <w:tc>
          <w:tcPr>
            <w:tcW w:w="5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26"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50"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551"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r>
      <w:tr w:rsidR="005C0A6C" w:rsidRPr="0066263B" w:rsidTr="005228B3">
        <w:trPr>
          <w:trHeight w:val="262"/>
        </w:trPr>
        <w:tc>
          <w:tcPr>
            <w:tcW w:w="772" w:type="pct"/>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w:t>
            </w:r>
          </w:p>
        </w:tc>
        <w:tc>
          <w:tcPr>
            <w:tcW w:w="9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200</w:t>
            </w:r>
          </w:p>
        </w:tc>
        <w:tc>
          <w:tcPr>
            <w:tcW w:w="586"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195</w:t>
            </w:r>
          </w:p>
        </w:tc>
        <w:tc>
          <w:tcPr>
            <w:tcW w:w="564"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w:t>
            </w:r>
          </w:p>
        </w:tc>
        <w:tc>
          <w:tcPr>
            <w:tcW w:w="525"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26"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50"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c>
          <w:tcPr>
            <w:tcW w:w="551" w:type="pct"/>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r>
    </w:tbl>
    <w:p w:rsidR="005228B3" w:rsidRPr="0066263B" w:rsidRDefault="005228B3" w:rsidP="005228B3">
      <w:pPr>
        <w:spacing w:before="0" w:after="0"/>
        <w:ind w:firstLine="709"/>
        <w:rPr>
          <w:rFonts w:ascii="Times New Roman" w:eastAsia="Times New Roman" w:hAnsi="Times New Roman" w:cs="Times New Roman"/>
          <w:sz w:val="24"/>
          <w:szCs w:val="24"/>
          <w:lang w:eastAsia="ru-RU"/>
        </w:rPr>
      </w:pPr>
    </w:p>
    <w:p w:rsidR="005228B3" w:rsidRPr="0066263B" w:rsidRDefault="005228B3" w:rsidP="005228B3">
      <w:pPr>
        <w:spacing w:before="0" w:after="0"/>
        <w:ind w:firstLine="709"/>
        <w:rPr>
          <w:rFonts w:ascii="Times New Roman" w:eastAsia="Times New Roman" w:hAnsi="Times New Roman" w:cs="Times New Roman"/>
          <w:sz w:val="24"/>
          <w:szCs w:val="24"/>
          <w:lang w:eastAsia="ru-RU"/>
        </w:rPr>
      </w:pPr>
    </w:p>
    <w:p w:rsidR="005228B3" w:rsidRPr="0066263B" w:rsidRDefault="005228B3" w:rsidP="005228B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tabs>
          <w:tab w:val="left" w:pos="0"/>
        </w:tabs>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Вакцинация против вирусного гепатита</w:t>
      </w:r>
      <w:proofErr w:type="gramStart"/>
      <w:r w:rsidRPr="0066263B">
        <w:rPr>
          <w:rFonts w:ascii="Times New Roman" w:eastAsia="Times New Roman" w:hAnsi="Times New Roman" w:cs="Times New Roman"/>
          <w:bCs/>
          <w:i/>
          <w:sz w:val="24"/>
          <w:szCs w:val="24"/>
          <w:lang w:eastAsia="ru-RU"/>
        </w:rPr>
        <w:t xml:space="preserve"> В</w:t>
      </w:r>
      <w:proofErr w:type="gramEnd"/>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Против вирусного гепатита</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xml:space="preserve"> своевременно (к 12 месяцам) трёхкратную вакцинацию получили 98</w:t>
      </w:r>
      <w:r w:rsidR="002C337E">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 детей (2020 – 96,5%). Дети и подростки 1-17 лет охвачены вакцинацией против вирусного гепатита</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xml:space="preserve"> на 98,9% (2020 – 98,3%).</w:t>
      </w:r>
    </w:p>
    <w:p w:rsidR="005C0A6C" w:rsidRPr="0066263B" w:rsidRDefault="005C0A6C" w:rsidP="005C0A6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результате реализации приоритетного национального проекта «Здоровье» по дополнительной иммунизации населения в Брянской области значительно возрос уровень охвата профилактическими прививками против гепатита</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xml:space="preserve"> взрослого населения. По итогам 2021 года показатель охвата прививками в возрастной группе 18-35 лет составил 97,4% (2020 – 97,0%), 36-59 лет – 97,1% (2020 – 97,0%), 18-59 лет – 97,2% (2020 – 97,0%).</w:t>
      </w:r>
    </w:p>
    <w:p w:rsidR="005C0A6C" w:rsidRPr="0066263B" w:rsidRDefault="005C0A6C" w:rsidP="005228B3">
      <w:pPr>
        <w:spacing w:before="0" w:after="0"/>
        <w:ind w:firstLine="709"/>
        <w:rPr>
          <w:rFonts w:ascii="Times New Roman" w:eastAsia="Times New Roman" w:hAnsi="Times New Roman" w:cs="Times New Roman"/>
          <w:sz w:val="24"/>
          <w:szCs w:val="24"/>
          <w:lang w:eastAsia="ru-RU"/>
        </w:rPr>
      </w:pPr>
    </w:p>
    <w:p w:rsidR="00860372" w:rsidRPr="0066263B" w:rsidRDefault="00860372" w:rsidP="00324483">
      <w:pPr>
        <w:spacing w:before="0" w:after="0"/>
        <w:ind w:firstLine="709"/>
        <w:jc w:val="right"/>
        <w:rPr>
          <w:rFonts w:ascii="Times New Roman" w:eastAsia="Calibri" w:hAnsi="Times New Roman" w:cs="Times New Roman"/>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77</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b/>
          <w:lang w:eastAsia="ru-RU"/>
        </w:rPr>
        <w:t>Показатели охвата профилактическими прививками против гепатита</w:t>
      </w:r>
      <w:proofErr w:type="gramStart"/>
      <w:r w:rsidRPr="0066263B">
        <w:rPr>
          <w:rFonts w:ascii="Times New Roman" w:eastAsia="Times New Roman" w:hAnsi="Times New Roman" w:cs="Times New Roman"/>
          <w:b/>
          <w:lang w:eastAsia="ru-RU"/>
        </w:rPr>
        <w:t xml:space="preserve"> В</w:t>
      </w:r>
      <w:proofErr w:type="gramEnd"/>
      <w:r w:rsidRPr="0066263B">
        <w:rPr>
          <w:rFonts w:ascii="Times New Roman" w:eastAsia="Times New Roman" w:hAnsi="Times New Roman" w:cs="Times New Roman"/>
          <w:b/>
          <w:lang w:eastAsia="ru-RU"/>
        </w:rPr>
        <w:t>, %</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9285" w:type="dxa"/>
        <w:jc w:val="center"/>
        <w:tblInd w:w="2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7"/>
        <w:gridCol w:w="1033"/>
        <w:gridCol w:w="1033"/>
        <w:gridCol w:w="1033"/>
        <w:gridCol w:w="1033"/>
        <w:gridCol w:w="1033"/>
        <w:gridCol w:w="1033"/>
      </w:tblGrid>
      <w:tr w:rsidR="005C0A6C" w:rsidRPr="0066263B" w:rsidTr="00833C9C">
        <w:trPr>
          <w:jc w:val="center"/>
        </w:trPr>
        <w:tc>
          <w:tcPr>
            <w:tcW w:w="3087" w:type="dxa"/>
            <w:vAlign w:val="center"/>
          </w:tcPr>
          <w:p w:rsidR="005C0A6C" w:rsidRPr="0066263B" w:rsidRDefault="005C0A6C"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Возрастная группа</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2016</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2017</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1033" w:type="dxa"/>
          </w:tcPr>
          <w:p w:rsidR="005C0A6C" w:rsidRPr="0066263B" w:rsidRDefault="005C0A6C"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1033" w:type="dxa"/>
            <w:vAlign w:val="center"/>
          </w:tcPr>
          <w:p w:rsidR="005C0A6C" w:rsidRPr="0066263B" w:rsidRDefault="005C0A6C" w:rsidP="005228B3">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5C0A6C" w:rsidRPr="0066263B" w:rsidTr="00833C9C">
        <w:trPr>
          <w:jc w:val="center"/>
        </w:trPr>
        <w:tc>
          <w:tcPr>
            <w:tcW w:w="3087" w:type="dxa"/>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год</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98,4</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97,9</w:t>
            </w:r>
          </w:p>
        </w:tc>
        <w:tc>
          <w:tcPr>
            <w:tcW w:w="1033" w:type="dxa"/>
          </w:tcPr>
          <w:p w:rsidR="005C0A6C" w:rsidRPr="0066263B" w:rsidRDefault="005C0A6C" w:rsidP="00833C9C">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97,8</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98,3</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99,1</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w:t>
            </w:r>
            <w:r w:rsidR="002C337E">
              <w:rPr>
                <w:rFonts w:ascii="Times New Roman" w:eastAsia="Times New Roman" w:hAnsi="Times New Roman" w:cs="Times New Roman"/>
                <w:lang w:eastAsia="ru-RU"/>
              </w:rPr>
              <w:t>,0</w:t>
            </w:r>
          </w:p>
        </w:tc>
      </w:tr>
      <w:tr w:rsidR="005C0A6C" w:rsidRPr="0066263B" w:rsidTr="00833C9C">
        <w:trPr>
          <w:jc w:val="center"/>
        </w:trPr>
        <w:tc>
          <w:tcPr>
            <w:tcW w:w="3087" w:type="dxa"/>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 месяцев, своевременно</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98,2</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96,7</w:t>
            </w:r>
          </w:p>
        </w:tc>
        <w:tc>
          <w:tcPr>
            <w:tcW w:w="1033" w:type="dxa"/>
          </w:tcPr>
          <w:p w:rsidR="005C0A6C" w:rsidRPr="0066263B" w:rsidRDefault="005C0A6C" w:rsidP="00833C9C">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97,1</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98,2</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96,4</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96,2</w:t>
            </w:r>
          </w:p>
        </w:tc>
      </w:tr>
      <w:tr w:rsidR="005C0A6C" w:rsidRPr="0066263B" w:rsidTr="00833C9C">
        <w:trPr>
          <w:jc w:val="center"/>
        </w:trPr>
        <w:tc>
          <w:tcPr>
            <w:tcW w:w="3087" w:type="dxa"/>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1-17 лет</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99,4</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99,1</w:t>
            </w:r>
          </w:p>
        </w:tc>
        <w:tc>
          <w:tcPr>
            <w:tcW w:w="1033" w:type="dxa"/>
          </w:tcPr>
          <w:p w:rsidR="005C0A6C" w:rsidRPr="0066263B" w:rsidRDefault="005C0A6C" w:rsidP="00833C9C">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90,0</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99,1</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98,3</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98,9</w:t>
            </w:r>
          </w:p>
        </w:tc>
      </w:tr>
      <w:tr w:rsidR="005C0A6C" w:rsidRPr="0066263B" w:rsidTr="00833C9C">
        <w:trPr>
          <w:jc w:val="center"/>
        </w:trPr>
        <w:tc>
          <w:tcPr>
            <w:tcW w:w="3087" w:type="dxa"/>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18-35 лет</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98,6</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98,1</w:t>
            </w:r>
          </w:p>
        </w:tc>
        <w:tc>
          <w:tcPr>
            <w:tcW w:w="1033" w:type="dxa"/>
          </w:tcPr>
          <w:p w:rsidR="005C0A6C" w:rsidRPr="0066263B" w:rsidRDefault="005C0A6C" w:rsidP="00833C9C">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98,4</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98,5</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97,0</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97,4</w:t>
            </w:r>
          </w:p>
        </w:tc>
      </w:tr>
      <w:tr w:rsidR="005C0A6C" w:rsidRPr="0066263B" w:rsidTr="00833C9C">
        <w:trPr>
          <w:jc w:val="center"/>
        </w:trPr>
        <w:tc>
          <w:tcPr>
            <w:tcW w:w="3087" w:type="dxa"/>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36-59 лет</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76,7</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82,1</w:t>
            </w:r>
          </w:p>
        </w:tc>
        <w:tc>
          <w:tcPr>
            <w:tcW w:w="1033" w:type="dxa"/>
          </w:tcPr>
          <w:p w:rsidR="005C0A6C" w:rsidRPr="0066263B" w:rsidRDefault="005C0A6C" w:rsidP="00833C9C">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82,9</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83,5</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97,0</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97,1</w:t>
            </w:r>
          </w:p>
        </w:tc>
      </w:tr>
      <w:tr w:rsidR="005C0A6C" w:rsidRPr="0066263B" w:rsidTr="00833C9C">
        <w:trPr>
          <w:jc w:val="center"/>
        </w:trPr>
        <w:tc>
          <w:tcPr>
            <w:tcW w:w="3087" w:type="dxa"/>
          </w:tcPr>
          <w:p w:rsidR="005C0A6C" w:rsidRPr="0066263B" w:rsidRDefault="005C0A6C" w:rsidP="005228B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18-59 лет</w:t>
            </w:r>
          </w:p>
        </w:tc>
        <w:tc>
          <w:tcPr>
            <w:tcW w:w="1033" w:type="dxa"/>
            <w:vAlign w:val="center"/>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85,6</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88,6</w:t>
            </w:r>
          </w:p>
        </w:tc>
        <w:tc>
          <w:tcPr>
            <w:tcW w:w="1033" w:type="dxa"/>
          </w:tcPr>
          <w:p w:rsidR="005C0A6C" w:rsidRPr="0066263B" w:rsidRDefault="005C0A6C" w:rsidP="00833C9C">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90,7</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91,0</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97,0</w:t>
            </w:r>
          </w:p>
        </w:tc>
        <w:tc>
          <w:tcPr>
            <w:tcW w:w="1033" w:type="dxa"/>
          </w:tcPr>
          <w:p w:rsidR="005C0A6C" w:rsidRPr="0066263B" w:rsidRDefault="005C0A6C" w:rsidP="00833C9C">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97,2</w:t>
            </w:r>
          </w:p>
        </w:tc>
      </w:tr>
    </w:tbl>
    <w:p w:rsidR="005228B3" w:rsidRPr="0066263B" w:rsidRDefault="005228B3" w:rsidP="005228B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tabs>
          <w:tab w:val="left" w:pos="0"/>
        </w:tabs>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Реализация «Национального плана действий по поддержанию свободного</w:t>
      </w:r>
      <w:r w:rsidRPr="0066263B">
        <w:rPr>
          <w:rFonts w:ascii="Times New Roman" w:eastAsia="Times New Roman" w:hAnsi="Times New Roman" w:cs="Times New Roman"/>
          <w:bCs/>
          <w:i/>
          <w:sz w:val="24"/>
          <w:szCs w:val="24"/>
          <w:lang w:eastAsia="ru-RU"/>
        </w:rPr>
        <w:br/>
        <w:t>от полиомиелита статуса Российской Федерации»</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Для продолжения работы по данному направлению в Брянской области утверждён План действий Брянской области по поддержанию свободного от полиомиелита</w:t>
      </w:r>
      <w:proofErr w:type="gramEnd"/>
      <w:r w:rsidRPr="0066263B">
        <w:rPr>
          <w:rFonts w:ascii="Times New Roman" w:eastAsia="Times New Roman" w:hAnsi="Times New Roman" w:cs="Times New Roman"/>
          <w:sz w:val="24"/>
          <w:szCs w:val="24"/>
          <w:lang w:eastAsia="ru-RU"/>
        </w:rPr>
        <w:t xml:space="preserve"> статуса Российской Федерации на 2019-2021 годы.</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случаев заболевания полиомиелитом и выделения дикого полиовируса от людей и из объектов окружающей среды на территории Брянской области не выявлено. За 2021 год случаев острых вялых параличей не выявлено (2020 – 2 сл.). Нормативное значение регистрации случаев острых вялых параличей в Брянской области – 2 случая.</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Брянской области обеспечены регламентированные индикативные показатели качества и чувствительности эпидемиологического надзора за ПОЛИО/ОВП:</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выявление и регистрация случаев ПОЛИО/ОВП на 100 тысяч детей в возрасте до 15 лет;</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своевременность выявления больных ПОЛИО/ОВП (не позднее 7 дней от начала появления паралича)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адекватность отбора проб фекалий от больных ПОЛИО/ОВП для вирусологического исследования (забор 2 проб не позднее 14 дней от начала заболевания)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полнота лабораторных исследований проб фекалий от больных ПОЛИО/ОВП (2 пробы от одного больного) в РЦ и НЦЛДП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своевременность (не позднее 72 часов с момента взятия второй пробы фекалий) доставки проб от больных ПОЛИО/ОВП в РЦ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удельный вес проб фекалий, поступивших в лабораторию для исследования, отвечающих установленным требованиям (удовлетворительных проб)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своевременность представления результатов лабораторией в учреждение, направившее пробы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эпидемиологическое расследование случаев ПОЛИО/ОВП в течение 24 часов после регистрации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повторный осмотр больных ПОЛИО/ОВП через 60 дней от начала паралича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доля больных полиомиелитом, обследованных вирусологически на 60 и 90 дни от начала паралича – случаев полиомиелита не было;</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окончательная классификация случаев ПОЛИО/ОВП через 120 дней от начала паралича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своевременность представления в установленные сроки и в установленном порядке ежемесячной информации о заболеваемости ПОЛИО/ОВП (в т.ч. нулевой)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своевременность представления в установленные сроки и в установленном порядке копий эпидкарт эпидемиологического расследования случаев заболеваний ПОЛИО/ОВП – 100%;</w:t>
      </w:r>
    </w:p>
    <w:p w:rsidR="00833C9C" w:rsidRPr="0066263B" w:rsidRDefault="00833C9C" w:rsidP="00833C9C">
      <w:pPr>
        <w:numPr>
          <w:ilvl w:val="0"/>
          <w:numId w:val="10"/>
        </w:numPr>
        <w:spacing w:before="0" w:after="0"/>
        <w:ind w:left="720"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полнота представления в установленные сроки и в установленном порядке изолятов полиовирусов, прочих (неполио) энтеровирусов, выделенных в пробах фекалий от людей, из объектов окружающей среды – 100%.</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Брянской области в соответствии с планом лабораторных исследований ежегодно проводится мониторинг за циркуляцией поли</w:t>
      </w:r>
      <w:proofErr w:type="gramStart"/>
      <w:r w:rsidRPr="0066263B">
        <w:rPr>
          <w:rFonts w:ascii="Times New Roman" w:eastAsia="Times New Roman" w:hAnsi="Times New Roman" w:cs="Times New Roman"/>
          <w:sz w:val="24"/>
          <w:szCs w:val="24"/>
          <w:lang w:eastAsia="ru-RU"/>
        </w:rPr>
        <w:t>о-</w:t>
      </w:r>
      <w:proofErr w:type="gramEnd"/>
      <w:r w:rsidRPr="0066263B">
        <w:rPr>
          <w:rFonts w:ascii="Times New Roman" w:eastAsia="Times New Roman" w:hAnsi="Times New Roman" w:cs="Times New Roman"/>
          <w:sz w:val="24"/>
          <w:szCs w:val="24"/>
          <w:lang w:eastAsia="ru-RU"/>
        </w:rPr>
        <w:t xml:space="preserve"> и других энтеровирусов в объектах окружающей среды. За 2021 год в соответствии с плановым объёмом было исследовано 100 проб сточных вод.</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области обеспечен требуемый уровень охвата профилактическими прививками против полиомиелита в декретированных возрастах (не менее 95%): вакцинировано своевременно (12 месяцев) – 96,5%, своевременно ревакцинировано (вторая ревакцинация в 24 месяца) – 96,2%.</w:t>
      </w:r>
    </w:p>
    <w:p w:rsidR="00324483" w:rsidRPr="0066263B" w:rsidRDefault="00324483" w:rsidP="00324483">
      <w:pPr>
        <w:tabs>
          <w:tab w:val="left" w:pos="0"/>
        </w:tabs>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Энтеровирусная инфекция</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 Брянской области зарегистрировано 10 случаев энтеровирусной инфекции или 0,34 на 100 тысяч населения (2020 – 4</w:t>
      </w:r>
      <w:r w:rsidR="006327A6">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сл. или 0,34 на 100 тыс. нас.), отмечается рост заболеваемости в 2,5 раза.</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Случаи заболевания зарегистрированы в Жуковском, Дятьковском, Новозыбковском районах и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Брянске.</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Анализ возрастной структуры заболевших показывает, что на детей до 14 лет приходится 9 случаев энтеровирусной инфекции или 90% </w:t>
      </w:r>
      <w:proofErr w:type="gramStart"/>
      <w:r w:rsidRPr="0066263B">
        <w:rPr>
          <w:rFonts w:ascii="Times New Roman" w:eastAsia="Times New Roman" w:hAnsi="Times New Roman" w:cs="Times New Roman"/>
          <w:sz w:val="24"/>
          <w:szCs w:val="24"/>
          <w:lang w:eastAsia="ru-RU"/>
        </w:rPr>
        <w:t>от</w:t>
      </w:r>
      <w:proofErr w:type="gramEnd"/>
      <w:r w:rsidRPr="0066263B">
        <w:rPr>
          <w:rFonts w:ascii="Times New Roman" w:eastAsia="Times New Roman" w:hAnsi="Times New Roman" w:cs="Times New Roman"/>
          <w:sz w:val="24"/>
          <w:szCs w:val="24"/>
          <w:lang w:eastAsia="ru-RU"/>
        </w:rPr>
        <w:t xml:space="preserve"> заболевших, в том числе:</w:t>
      </w:r>
    </w:p>
    <w:p w:rsidR="00833C9C" w:rsidRPr="0066263B" w:rsidRDefault="00833C9C" w:rsidP="00833C9C">
      <w:pPr>
        <w:numPr>
          <w:ilvl w:val="0"/>
          <w:numId w:val="19"/>
        </w:numPr>
        <w:tabs>
          <w:tab w:val="num" w:pos="1543"/>
        </w:tabs>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дети 1-2 года – 5 случаев (24,1 на 100 тыс.</w:t>
      </w:r>
      <w:r w:rsidR="003A095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нас.);</w:t>
      </w:r>
    </w:p>
    <w:p w:rsidR="00833C9C" w:rsidRPr="0066263B" w:rsidRDefault="00833C9C" w:rsidP="00833C9C">
      <w:pPr>
        <w:numPr>
          <w:ilvl w:val="0"/>
          <w:numId w:val="19"/>
        </w:numPr>
        <w:tabs>
          <w:tab w:val="num" w:pos="1543"/>
        </w:tabs>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3-6 лет – 4 случая (7,9 на 100 тыс. нас.).</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взрослых зарегистрирован 1 случай или 0,1 на 100 тыс. нас.</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зарегистрирован 1 случай энтеровирусного менингита у ребёнка, посещающего ДОУ. В 2020 году на территории Брянской области случаев энтеровирусного менингита не регистрировалось. В рамках реализации программы «Эпидемиологический надзор и профилактика энтеровирусной инфекции на 2019-2021 г.г.» проводится мониторинг за циркуляцией энтеровирусов во внешней среде.</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исследовано 100 проб сточных вод, энтеровирусы не </w:t>
      </w:r>
      <w:proofErr w:type="gramStart"/>
      <w:r w:rsidRPr="0066263B">
        <w:rPr>
          <w:rFonts w:ascii="Times New Roman" w:eastAsia="Times New Roman" w:hAnsi="Times New Roman" w:cs="Times New Roman"/>
          <w:sz w:val="24"/>
          <w:szCs w:val="24"/>
          <w:lang w:eastAsia="ru-RU"/>
        </w:rPr>
        <w:t>выделены</w:t>
      </w:r>
      <w:proofErr w:type="gramEnd"/>
      <w:r w:rsidRPr="0066263B">
        <w:rPr>
          <w:rFonts w:ascii="Times New Roman" w:eastAsia="Times New Roman" w:hAnsi="Times New Roman" w:cs="Times New Roman"/>
          <w:sz w:val="24"/>
          <w:szCs w:val="24"/>
          <w:lang w:eastAsia="ru-RU"/>
        </w:rPr>
        <w:t>.</w:t>
      </w:r>
    </w:p>
    <w:p w:rsidR="00833C9C" w:rsidRPr="0066263B" w:rsidRDefault="00833C9C" w:rsidP="00833C9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ранней диагностики энтеровирусной инфекции в 2021 году обследовано 54 человека.</w:t>
      </w:r>
    </w:p>
    <w:p w:rsidR="00324483" w:rsidRPr="0066263B" w:rsidRDefault="00324483" w:rsidP="00324483">
      <w:pPr>
        <w:spacing w:before="0" w:after="0"/>
        <w:jc w:val="center"/>
        <w:rPr>
          <w:rFonts w:ascii="Times New Roman" w:eastAsia="TimesNewRomanPS-BoldMT" w:hAnsi="Times New Roman" w:cs="Times New Roman"/>
          <w:b/>
          <w:bCs/>
          <w:i/>
          <w:sz w:val="24"/>
          <w:szCs w:val="24"/>
        </w:rPr>
      </w:pPr>
      <w:r w:rsidRPr="0066263B">
        <w:rPr>
          <w:rFonts w:ascii="Times New Roman" w:eastAsia="TimesNewRomanPS-BoldMT" w:hAnsi="Times New Roman" w:cs="Times New Roman"/>
          <w:b/>
          <w:bCs/>
          <w:i/>
          <w:sz w:val="24"/>
          <w:szCs w:val="24"/>
        </w:rPr>
        <w:t>Грипп, ОРВИ, внебольничные пневмонии</w:t>
      </w:r>
    </w:p>
    <w:p w:rsidR="00324483" w:rsidRPr="0066263B" w:rsidRDefault="00324483" w:rsidP="00324483">
      <w:pPr>
        <w:tabs>
          <w:tab w:val="left" w:pos="0"/>
        </w:tabs>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Грипп и ОРВИ</w:t>
      </w:r>
    </w:p>
    <w:p w:rsidR="00833C9C" w:rsidRPr="0066263B" w:rsidRDefault="00833C9C" w:rsidP="005228B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группе воздушно-капельных инфекций основное место занимают грипп и острые респираторные вирусные инфекции. В 2021 году в структуре всех зарегистрированных инфекционных заболеваний в области на их долю приходится 73,5% (404 820 сл.).</w:t>
      </w:r>
    </w:p>
    <w:p w:rsidR="00833C9C" w:rsidRPr="0066263B" w:rsidRDefault="00833C9C" w:rsidP="005228B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78</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гриппом</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
        <w:gridCol w:w="1079"/>
        <w:gridCol w:w="717"/>
        <w:gridCol w:w="1079"/>
        <w:gridCol w:w="721"/>
        <w:gridCol w:w="1079"/>
        <w:gridCol w:w="865"/>
        <w:gridCol w:w="1078"/>
        <w:gridCol w:w="867"/>
        <w:gridCol w:w="1078"/>
      </w:tblGrid>
      <w:tr w:rsidR="00833C9C" w:rsidRPr="0066263B" w:rsidTr="00833C9C">
        <w:trPr>
          <w:cantSplit/>
        </w:trPr>
        <w:tc>
          <w:tcPr>
            <w:tcW w:w="970" w:type="pct"/>
            <w:gridSpan w:val="2"/>
            <w:tcBorders>
              <w:top w:val="single" w:sz="4" w:space="0" w:color="auto"/>
              <w:left w:val="single" w:sz="4" w:space="0" w:color="auto"/>
              <w:bottom w:val="single" w:sz="4" w:space="0" w:color="auto"/>
              <w:right w:val="single" w:sz="4" w:space="0" w:color="auto"/>
            </w:tcBorders>
            <w:vAlign w:val="center"/>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967" w:type="pct"/>
            <w:gridSpan w:val="2"/>
            <w:tcBorders>
              <w:top w:val="single" w:sz="4" w:space="0" w:color="auto"/>
              <w:left w:val="single" w:sz="4" w:space="0" w:color="auto"/>
              <w:bottom w:val="single" w:sz="4" w:space="0" w:color="auto"/>
              <w:right w:val="single" w:sz="4" w:space="0" w:color="auto"/>
            </w:tcBorders>
            <w:vAlign w:val="center"/>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046" w:type="pct"/>
            <w:gridSpan w:val="2"/>
            <w:tcBorders>
              <w:top w:val="single" w:sz="4" w:space="0" w:color="auto"/>
              <w:left w:val="single" w:sz="4" w:space="0" w:color="auto"/>
              <w:bottom w:val="single" w:sz="4" w:space="0" w:color="auto"/>
              <w:right w:val="single" w:sz="4" w:space="0" w:color="auto"/>
            </w:tcBorders>
            <w:vAlign w:val="center"/>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047" w:type="pct"/>
            <w:gridSpan w:val="2"/>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833C9C" w:rsidRPr="0066263B" w:rsidTr="00833C9C">
        <w:tc>
          <w:tcPr>
            <w:tcW w:w="389"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1"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386"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1"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388"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1"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66"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0"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67"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5228B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0" w:type="pct"/>
            <w:tcBorders>
              <w:top w:val="nil"/>
              <w:left w:val="single" w:sz="4" w:space="0" w:color="auto"/>
              <w:bottom w:val="single" w:sz="4" w:space="0" w:color="auto"/>
              <w:right w:val="single" w:sz="4" w:space="0" w:color="auto"/>
            </w:tcBorders>
            <w:vAlign w:val="center"/>
          </w:tcPr>
          <w:p w:rsidR="00833C9C" w:rsidRPr="0066263B" w:rsidRDefault="00833C9C" w:rsidP="005228B3">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r>
      <w:tr w:rsidR="00833C9C" w:rsidRPr="0066263B" w:rsidTr="00833C9C">
        <w:tc>
          <w:tcPr>
            <w:tcW w:w="389"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177</w:t>
            </w:r>
          </w:p>
        </w:tc>
        <w:tc>
          <w:tcPr>
            <w:tcW w:w="581"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14,54</w:t>
            </w:r>
          </w:p>
        </w:tc>
        <w:tc>
          <w:tcPr>
            <w:tcW w:w="386"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126</w:t>
            </w:r>
          </w:p>
        </w:tc>
        <w:tc>
          <w:tcPr>
            <w:tcW w:w="581"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10,42</w:t>
            </w:r>
          </w:p>
        </w:tc>
        <w:tc>
          <w:tcPr>
            <w:tcW w:w="388"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386</w:t>
            </w:r>
          </w:p>
        </w:tc>
        <w:tc>
          <w:tcPr>
            <w:tcW w:w="581"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32,07</w:t>
            </w:r>
          </w:p>
        </w:tc>
        <w:tc>
          <w:tcPr>
            <w:tcW w:w="466"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344</w:t>
            </w:r>
          </w:p>
        </w:tc>
        <w:tc>
          <w:tcPr>
            <w:tcW w:w="580"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28,95</w:t>
            </w:r>
          </w:p>
        </w:tc>
        <w:tc>
          <w:tcPr>
            <w:tcW w:w="467"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67</w:t>
            </w:r>
          </w:p>
        </w:tc>
        <w:tc>
          <w:tcPr>
            <w:tcW w:w="580"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w:t>
            </w:r>
          </w:p>
        </w:tc>
      </w:tr>
    </w:tbl>
    <w:p w:rsidR="00833C9C" w:rsidRPr="0066263B" w:rsidRDefault="00833C9C" w:rsidP="00324483">
      <w:pPr>
        <w:spacing w:before="0" w:after="0"/>
        <w:jc w:val="center"/>
        <w:rPr>
          <w:rFonts w:ascii="Times New Roman" w:eastAsia="Times New Roman" w:hAnsi="Times New Roman" w:cs="Times New Roman"/>
          <w:lang w:eastAsia="ru-RU"/>
        </w:rPr>
      </w:pPr>
    </w:p>
    <w:p w:rsidR="005228B3" w:rsidRPr="0066263B" w:rsidRDefault="005228B3" w:rsidP="00324483">
      <w:pPr>
        <w:spacing w:before="0" w:after="0"/>
        <w:jc w:val="center"/>
        <w:rPr>
          <w:rFonts w:ascii="Times New Roman" w:eastAsia="Times New Roman" w:hAnsi="Times New Roman" w:cs="Times New Roman"/>
          <w:lang w:eastAsia="ru-RU"/>
        </w:rPr>
      </w:pPr>
    </w:p>
    <w:p w:rsidR="00833C9C" w:rsidRPr="0066263B" w:rsidRDefault="00833C9C"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noProof/>
          <w:lang w:eastAsia="ru-RU"/>
        </w:rPr>
        <w:drawing>
          <wp:inline distT="0" distB="0" distL="0" distR="0">
            <wp:extent cx="5759450" cy="2804602"/>
            <wp:effectExtent l="0" t="0" r="0" b="0"/>
            <wp:docPr id="34"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24483" w:rsidRPr="0066263B" w:rsidRDefault="00324483" w:rsidP="00324483">
      <w:pPr>
        <w:spacing w:before="0" w:after="0"/>
        <w:jc w:val="center"/>
        <w:rPr>
          <w:rFonts w:ascii="Times New Roman" w:eastAsia="Calibri" w:hAnsi="Times New Roman" w:cs="Times New Roman"/>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64</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lang w:eastAsia="ru-RU"/>
        </w:rPr>
        <w:t xml:space="preserve">Динамика заболеваемости гриппом, на 100 тыс. </w:t>
      </w:r>
      <w:r w:rsidRPr="0066263B">
        <w:rPr>
          <w:rFonts w:ascii="Times New Roman" w:eastAsia="Times New Roman" w:hAnsi="Times New Roman" w:cs="Times New Roman"/>
          <w:lang w:eastAsia="ru-RU"/>
        </w:rPr>
        <w:t>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79</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ОРВИ</w:t>
      </w:r>
    </w:p>
    <w:p w:rsidR="005228B3" w:rsidRPr="0066263B" w:rsidRDefault="005228B3" w:rsidP="00324483">
      <w:pPr>
        <w:spacing w:before="0" w:after="0"/>
        <w:jc w:val="center"/>
        <w:rPr>
          <w:rFonts w:ascii="Times New Roman" w:eastAsia="Times New Roman" w:hAnsi="Times New Roman" w:cs="Times New Roman"/>
          <w:lang w:eastAsia="ru-RU"/>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4"/>
        <w:gridCol w:w="1003"/>
        <w:gridCol w:w="854"/>
        <w:gridCol w:w="999"/>
        <w:gridCol w:w="854"/>
        <w:gridCol w:w="999"/>
        <w:gridCol w:w="854"/>
        <w:gridCol w:w="999"/>
        <w:gridCol w:w="876"/>
        <w:gridCol w:w="1029"/>
      </w:tblGrid>
      <w:tr w:rsidR="00833C9C" w:rsidRPr="0066263B" w:rsidTr="00833C9C">
        <w:tc>
          <w:tcPr>
            <w:tcW w:w="996" w:type="pct"/>
            <w:gridSpan w:val="2"/>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2017</w:t>
            </w:r>
          </w:p>
        </w:tc>
        <w:tc>
          <w:tcPr>
            <w:tcW w:w="994" w:type="pct"/>
            <w:gridSpan w:val="2"/>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2018</w:t>
            </w:r>
          </w:p>
        </w:tc>
        <w:tc>
          <w:tcPr>
            <w:tcW w:w="994" w:type="pct"/>
            <w:gridSpan w:val="2"/>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2019</w:t>
            </w:r>
          </w:p>
        </w:tc>
        <w:tc>
          <w:tcPr>
            <w:tcW w:w="994" w:type="pct"/>
            <w:gridSpan w:val="2"/>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2020</w:t>
            </w:r>
          </w:p>
        </w:tc>
        <w:tc>
          <w:tcPr>
            <w:tcW w:w="1022" w:type="pct"/>
            <w:gridSpan w:val="2"/>
            <w:tcBorders>
              <w:top w:val="single" w:sz="4" w:space="0" w:color="auto"/>
              <w:left w:val="single" w:sz="4" w:space="0" w:color="auto"/>
              <w:bottom w:val="single" w:sz="4" w:space="0" w:color="auto"/>
              <w:right w:val="single" w:sz="4" w:space="0" w:color="auto"/>
            </w:tcBorders>
          </w:tcPr>
          <w:p w:rsidR="00833C9C" w:rsidRPr="0066263B" w:rsidRDefault="00833C9C" w:rsidP="00324483">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2021</w:t>
            </w:r>
          </w:p>
        </w:tc>
      </w:tr>
      <w:tr w:rsidR="00833C9C" w:rsidRPr="0066263B" w:rsidTr="00833C9C">
        <w:tc>
          <w:tcPr>
            <w:tcW w:w="458"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32448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8"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324483">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58"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32448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6"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324483">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58"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32448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6"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324483">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58"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32448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6"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324483">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70"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32448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52" w:type="pct"/>
            <w:tcBorders>
              <w:top w:val="single" w:sz="4" w:space="0" w:color="auto"/>
              <w:left w:val="single" w:sz="4" w:space="0" w:color="auto"/>
              <w:bottom w:val="single" w:sz="4" w:space="0" w:color="auto"/>
              <w:right w:val="single" w:sz="4" w:space="0" w:color="auto"/>
            </w:tcBorders>
            <w:vAlign w:val="center"/>
          </w:tcPr>
          <w:p w:rsidR="00833C9C" w:rsidRPr="0066263B" w:rsidRDefault="00833C9C" w:rsidP="00833C9C">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r>
      <w:tr w:rsidR="00833C9C" w:rsidRPr="0066263B" w:rsidTr="00833C9C">
        <w:tc>
          <w:tcPr>
            <w:tcW w:w="458"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252905</w:t>
            </w:r>
          </w:p>
        </w:tc>
        <w:tc>
          <w:tcPr>
            <w:tcW w:w="538"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20782,6</w:t>
            </w:r>
          </w:p>
        </w:tc>
        <w:tc>
          <w:tcPr>
            <w:tcW w:w="458"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250869</w:t>
            </w:r>
          </w:p>
        </w:tc>
        <w:tc>
          <w:tcPr>
            <w:tcW w:w="536"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20753,0</w:t>
            </w:r>
          </w:p>
        </w:tc>
        <w:tc>
          <w:tcPr>
            <w:tcW w:w="458"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233095</w:t>
            </w:r>
          </w:p>
        </w:tc>
        <w:tc>
          <w:tcPr>
            <w:tcW w:w="536"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19365,1</w:t>
            </w:r>
          </w:p>
        </w:tc>
        <w:tc>
          <w:tcPr>
            <w:tcW w:w="458"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281634</w:t>
            </w:r>
          </w:p>
        </w:tc>
        <w:tc>
          <w:tcPr>
            <w:tcW w:w="536"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23703,3</w:t>
            </w:r>
          </w:p>
        </w:tc>
        <w:tc>
          <w:tcPr>
            <w:tcW w:w="470"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404753</w:t>
            </w:r>
          </w:p>
        </w:tc>
        <w:tc>
          <w:tcPr>
            <w:tcW w:w="552" w:type="pct"/>
            <w:tcBorders>
              <w:top w:val="single" w:sz="4" w:space="0" w:color="auto"/>
              <w:left w:val="single" w:sz="4" w:space="0" w:color="auto"/>
              <w:bottom w:val="single" w:sz="4" w:space="0" w:color="auto"/>
              <w:right w:val="single" w:sz="4" w:space="0" w:color="auto"/>
            </w:tcBorders>
          </w:tcPr>
          <w:p w:rsidR="00833C9C" w:rsidRPr="0066263B" w:rsidRDefault="00833C9C" w:rsidP="00833C9C">
            <w:pPr>
              <w:tabs>
                <w:tab w:val="left" w:pos="720"/>
                <w:tab w:val="left" w:pos="8931"/>
                <w:tab w:val="left" w:pos="9639"/>
              </w:tabs>
              <w:spacing w:before="20" w:after="20"/>
              <w:jc w:val="center"/>
              <w:rPr>
                <w:rFonts w:ascii="Times New Roman" w:eastAsia="Times New Roman" w:hAnsi="Times New Roman" w:cs="Times New Roman"/>
                <w:sz w:val="21"/>
                <w:szCs w:val="21"/>
                <w:lang w:eastAsia="ru-RU"/>
              </w:rPr>
            </w:pPr>
            <w:r w:rsidRPr="0066263B">
              <w:rPr>
                <w:rFonts w:ascii="Times New Roman" w:eastAsia="Times New Roman" w:hAnsi="Times New Roman" w:cs="Times New Roman"/>
                <w:sz w:val="21"/>
                <w:szCs w:val="21"/>
                <w:lang w:eastAsia="ru-RU"/>
              </w:rPr>
              <w:t>33810,5</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142437" w:rsidRPr="0066263B" w:rsidRDefault="00142437" w:rsidP="005228B3">
      <w:pPr>
        <w:spacing w:before="0" w:after="0"/>
        <w:jc w:val="center"/>
        <w:rPr>
          <w:rFonts w:ascii="Times New Roman" w:eastAsia="Times New Roman" w:hAnsi="Times New Roman" w:cs="Times New Roman"/>
          <w:sz w:val="24"/>
          <w:szCs w:val="24"/>
          <w:lang w:eastAsia="ru-RU"/>
        </w:rPr>
      </w:pPr>
    </w:p>
    <w:p w:rsidR="00833C9C" w:rsidRPr="0066263B" w:rsidRDefault="00833C9C" w:rsidP="005228B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2284935"/>
            <wp:effectExtent l="0" t="0" r="0" b="0"/>
            <wp:docPr id="35"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65</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lang w:eastAsia="ru-RU"/>
        </w:rPr>
        <w:t xml:space="preserve">Динамика заболеваемости ОРВИ, на 100 тыс. </w:t>
      </w:r>
      <w:r w:rsidRPr="0066263B">
        <w:rPr>
          <w:rFonts w:ascii="Times New Roman" w:eastAsia="Times New Roman" w:hAnsi="Times New Roman" w:cs="Times New Roman"/>
          <w:lang w:eastAsia="ru-RU"/>
        </w:rPr>
        <w:t>населения</w:t>
      </w:r>
    </w:p>
    <w:p w:rsidR="00924253" w:rsidRPr="0066263B" w:rsidRDefault="00924253" w:rsidP="005228B3">
      <w:pPr>
        <w:spacing w:before="0" w:after="0"/>
        <w:ind w:firstLine="709"/>
        <w:rPr>
          <w:rFonts w:ascii="Times New Roman" w:eastAsia="Times New Roman" w:hAnsi="Times New Roman" w:cs="Times New Roman"/>
          <w:sz w:val="24"/>
          <w:szCs w:val="24"/>
          <w:lang w:eastAsia="ru-RU"/>
        </w:rPr>
      </w:pP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Анализ итогов эпидемического сезона заболеваемости гриппом и ОРВИ в 2020-2021 г.г. в Брянской области показал, что подъём заболеваемости в области и в г. Брянске отмечался с октября 2020 г. по март 2021 г., сентябрь-декабрь 2021 г.</w:t>
      </w:r>
    </w:p>
    <w:p w:rsidR="00924253" w:rsidRPr="0066263B" w:rsidRDefault="00924253" w:rsidP="005228B3">
      <w:pPr>
        <w:spacing w:before="0" w:after="0"/>
        <w:ind w:firstLine="709"/>
        <w:rPr>
          <w:rFonts w:ascii="Times New Roman" w:eastAsia="Times New Roman" w:hAnsi="Times New Roman" w:cs="Times New Roman"/>
          <w:sz w:val="24"/>
          <w:szCs w:val="24"/>
          <w:lang w:eastAsia="ru-RU"/>
        </w:rPr>
      </w:pPr>
    </w:p>
    <w:p w:rsidR="00924253" w:rsidRPr="0066263B" w:rsidRDefault="00924253" w:rsidP="0092425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61892" cy="3276600"/>
            <wp:effectExtent l="0" t="0" r="0" b="0"/>
            <wp:docPr id="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44DE4" w:rsidRPr="0066263B" w:rsidRDefault="00944DE4" w:rsidP="00944DE4">
      <w:pPr>
        <w:spacing w:before="0" w:after="0"/>
        <w:jc w:val="center"/>
        <w:rPr>
          <w:rFonts w:ascii="Times New Roman" w:eastAsia="Times New Roman" w:hAnsi="Times New Roman" w:cs="Times New Roman"/>
          <w:b/>
          <w:lang w:eastAsia="ru-RU"/>
        </w:rPr>
      </w:pPr>
    </w:p>
    <w:p w:rsidR="00924253" w:rsidRPr="0066263B" w:rsidRDefault="00924253" w:rsidP="00944DE4">
      <w:pPr>
        <w:spacing w:before="0" w:after="0"/>
        <w:jc w:val="center"/>
        <w:rPr>
          <w:rFonts w:ascii="Times New Roman" w:eastAsia="Times New Roman" w:hAnsi="Times New Roman" w:cs="Times New Roman"/>
          <w:bCs/>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66</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lang w:eastAsia="ru-RU"/>
        </w:rPr>
        <w:t>Месячная динамика заболеваемости за 2020-2021 г.г. по территории</w:t>
      </w:r>
      <w:r w:rsidRPr="0066263B">
        <w:rPr>
          <w:rFonts w:ascii="Times New Roman" w:eastAsia="Times New Roman" w:hAnsi="Times New Roman" w:cs="Times New Roman"/>
          <w:bCs/>
          <w:lang w:eastAsia="ru-RU"/>
        </w:rPr>
        <w:br/>
        <w:t>Брянской области по контингенту – все жители (абс.)</w:t>
      </w:r>
    </w:p>
    <w:p w:rsidR="00924253" w:rsidRPr="0066263B" w:rsidRDefault="00924253" w:rsidP="00924253">
      <w:pPr>
        <w:spacing w:before="0" w:after="0"/>
        <w:jc w:val="center"/>
        <w:rPr>
          <w:rFonts w:ascii="Times New Roman" w:eastAsia="Times New Roman" w:hAnsi="Times New Roman" w:cs="Times New Roman"/>
          <w:b/>
          <w:bCs/>
          <w:lang w:eastAsia="ru-RU"/>
        </w:rPr>
      </w:pP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Снижение заболеваемости гриппом и ОРВИ в целом по области произошло с мая по август 2021 г.</w:t>
      </w: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Эпидемический подъём заболеваемости гриппом и ОРВИ среди населения Брянской области и г. Брянска в эпидсезон 2020-2021 г.г. обусловлен в основном циркуляцией возбудителей гриппа типа</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/H3N2, РС-инфекции, аденовирусной инфекции, парагриппа, риновирусной инфекции.</w:t>
      </w: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Анализ возрастной структуры заболевших гриппом и ОРВИ показал, что среди заболевших на долю детей в возрасте до 14 лет приходится 131 955 случаев или 73,5%.</w:t>
      </w: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Наибольшее количество случаев заболевания среди детей было отмечено в возрастной группе 3-6 лет – 52 936 случаев или 40,1% (доля организованных детей составила 83,1%). В структуре заболевших детей, также высокий уровень заболеваемости отмечался в возрастной группе 7-14 лет – 46 476 случаев или 35,2%.</w:t>
      </w: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этиологической расшифровки гриппа и ОРВИ в эпидсезон (сентябрь 2020 г. – март 2021 г.) на базе вирусологического отделения микробиологической лаборатории ФБУЗ «Центр гигиены и эпидемиологии в Брянской области» обследовано 1 192 человека (проведено 10 492 исследования), выявлен 61 положительный результат:</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48 – риновирус,</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3 – парагрипп,</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7 – возбудителей коронавирусной инфекции,</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 – метопневмовирус,</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 – SARS COV-2.</w:t>
      </w: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p>
    <w:p w:rsidR="00324483" w:rsidRPr="0066263B" w:rsidRDefault="00924253" w:rsidP="0092425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111750" cy="2311400"/>
            <wp:effectExtent l="0" t="0" r="0" b="0"/>
            <wp:docPr id="38"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67</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 xml:space="preserve">. </w:t>
      </w:r>
      <w:r w:rsidRPr="0066263B">
        <w:rPr>
          <w:rFonts w:ascii="Times New Roman" w:eastAsia="Times New Roman" w:hAnsi="Times New Roman" w:cs="Times New Roman"/>
          <w:lang w:eastAsia="ru-RU"/>
        </w:rPr>
        <w:t>Этиологическая структура вирусов гриппа и ОРВИ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Всего в эпидсезон 2020-2021 г.г. в Брянской области было запланировано привить 720 560 человек (715 560 чел. за счёт Федерального бюджета и 5 000 чел. за счёт областного бюджета) или 60,2% от численности населения:</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дети – 160 490 чел.;</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декретированный контингент (взрослые) – 389 030 чел.;</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взрослые (дополнительно) – 165 490 чел.</w:t>
      </w:r>
    </w:p>
    <w:p w:rsidR="006327A6" w:rsidRDefault="006327A6" w:rsidP="00924253">
      <w:pPr>
        <w:spacing w:before="0" w:after="0"/>
        <w:ind w:firstLine="709"/>
        <w:rPr>
          <w:rFonts w:ascii="Times New Roman" w:eastAsia="Times New Roman" w:hAnsi="Times New Roman" w:cs="Times New Roman"/>
          <w:sz w:val="24"/>
          <w:szCs w:val="24"/>
          <w:lang w:eastAsia="ru-RU"/>
        </w:rPr>
      </w:pP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Поставлено вакцины:</w:t>
      </w:r>
    </w:p>
    <w:p w:rsidR="0004497F"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детской </w:t>
      </w:r>
      <w:r w:rsidR="0004497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170</w:t>
      </w:r>
      <w:r w:rsidR="0004497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760 доз,</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взрослой </w:t>
      </w:r>
      <w:r w:rsidR="0004497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524</w:t>
      </w:r>
      <w:r w:rsidR="0004497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864 доз</w:t>
      </w:r>
      <w:r w:rsidR="0004497F" w:rsidRPr="0066263B">
        <w:rPr>
          <w:rFonts w:ascii="Times New Roman" w:eastAsia="Times New Roman" w:hAnsi="Times New Roman" w:cs="Times New Roman"/>
          <w:sz w:val="24"/>
          <w:szCs w:val="24"/>
          <w:lang w:eastAsia="ru-RU"/>
        </w:rPr>
        <w:t>ы</w:t>
      </w:r>
      <w:r w:rsidRPr="0066263B">
        <w:rPr>
          <w:rFonts w:ascii="Times New Roman" w:eastAsia="Times New Roman" w:hAnsi="Times New Roman" w:cs="Times New Roman"/>
          <w:sz w:val="24"/>
          <w:szCs w:val="24"/>
          <w:lang w:eastAsia="ru-RU"/>
        </w:rPr>
        <w:t>.</w:t>
      </w:r>
    </w:p>
    <w:p w:rsidR="006327A6" w:rsidRDefault="006327A6" w:rsidP="00924253">
      <w:pPr>
        <w:spacing w:before="0" w:after="0"/>
        <w:ind w:firstLine="709"/>
        <w:rPr>
          <w:rFonts w:ascii="Times New Roman" w:eastAsia="Times New Roman" w:hAnsi="Times New Roman" w:cs="Times New Roman"/>
          <w:sz w:val="24"/>
          <w:szCs w:val="24"/>
          <w:lang w:eastAsia="ru-RU"/>
        </w:rPr>
      </w:pP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Вакцины поставлено на 39</w:t>
      </w:r>
      <w:r w:rsidR="0004497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679 доз больше, чем заявлено</w:t>
      </w:r>
      <w:r w:rsidR="0004497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за сч</w:t>
      </w:r>
      <w:r w:rsidR="0004497F"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т областного бюджета</w:t>
      </w:r>
      <w:r w:rsidR="0004497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взрослой </w:t>
      </w:r>
      <w:r w:rsidR="0004497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5</w:t>
      </w:r>
      <w:r w:rsidR="0004497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000 доз</w:t>
      </w:r>
      <w:r w:rsidR="0004497F"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w:t>
      </w:r>
    </w:p>
    <w:p w:rsidR="00924253" w:rsidRPr="0066263B" w:rsidRDefault="00924253" w:rsidP="0092425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Привито всего 765</w:t>
      </w:r>
      <w:r w:rsidR="0004497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300 человек или 64,2% от совокупного населения Брянской области:</w:t>
      </w:r>
    </w:p>
    <w:p w:rsidR="00924253" w:rsidRPr="0066263B"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дети </w:t>
      </w:r>
      <w:r w:rsidR="0004497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160</w:t>
      </w:r>
      <w:r w:rsidR="0004497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490 чел</w:t>
      </w:r>
      <w:r w:rsidR="0004497F"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w:t>
      </w:r>
      <w:r w:rsidR="00837D8E">
        <w:rPr>
          <w:rFonts w:ascii="Times New Roman" w:eastAsia="Times New Roman" w:hAnsi="Times New Roman" w:cs="Times New Roman"/>
          <w:sz w:val="24"/>
          <w:szCs w:val="24"/>
          <w:lang w:eastAsia="ru-RU"/>
        </w:rPr>
        <w:t>или</w:t>
      </w:r>
      <w:r w:rsidR="0004497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100% от плана</w:t>
      </w:r>
      <w:r w:rsidR="0004497F" w:rsidRPr="0066263B">
        <w:rPr>
          <w:rFonts w:ascii="Times New Roman" w:eastAsia="Times New Roman" w:hAnsi="Times New Roman" w:cs="Times New Roman"/>
          <w:sz w:val="24"/>
          <w:szCs w:val="24"/>
          <w:lang w:eastAsia="ru-RU"/>
        </w:rPr>
        <w:t>;</w:t>
      </w:r>
    </w:p>
    <w:p w:rsidR="00924253" w:rsidRDefault="00924253" w:rsidP="00BE7104">
      <w:pPr>
        <w:numPr>
          <w:ilvl w:val="0"/>
          <w:numId w:val="46"/>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взрослые </w:t>
      </w:r>
      <w:r w:rsidR="0004497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599</w:t>
      </w:r>
      <w:r w:rsidR="0004497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260 чел.</w:t>
      </w:r>
      <w:r w:rsidR="0004497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(в том числе 3</w:t>
      </w:r>
      <w:r w:rsidR="0004497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970 беременных) или 108,1% от плана.</w:t>
      </w:r>
    </w:p>
    <w:p w:rsidR="006327A6" w:rsidRPr="0066263B" w:rsidRDefault="006327A6" w:rsidP="006327A6">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tabs>
          <w:tab w:val="left" w:pos="0"/>
        </w:tabs>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Внебольничные пневмонии</w:t>
      </w:r>
    </w:p>
    <w:p w:rsidR="0004497F" w:rsidRPr="0066263B" w:rsidRDefault="0004497F" w:rsidP="0004497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 Брянской области зарегистрировано 43 466 случаев внебольничных пневмоний или 3 630,9 на 100 тысяч населения, что на 43% выше заболеваемости 2020 года (2 538,8 на 100 тыс. нас.), также в 2,2 раза выше заболеваемости по РФ (1 150,42 на 100 тыс. нас.)</w:t>
      </w:r>
    </w:p>
    <w:p w:rsidR="0004497F" w:rsidRPr="0066263B" w:rsidRDefault="0004497F" w:rsidP="0004497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городского населения внебольничные пневмонии регистрируются чаще – 79,5% от всех случаев. На долю сельского населения приходится соответственно 20,5% заболеваемости.</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80</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внебольничными пневмониями</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4"/>
        <w:gridCol w:w="1003"/>
        <w:gridCol w:w="854"/>
        <w:gridCol w:w="999"/>
        <w:gridCol w:w="854"/>
        <w:gridCol w:w="999"/>
        <w:gridCol w:w="854"/>
        <w:gridCol w:w="999"/>
        <w:gridCol w:w="876"/>
        <w:gridCol w:w="1029"/>
      </w:tblGrid>
      <w:tr w:rsidR="0004497F" w:rsidRPr="0066263B" w:rsidTr="0004497F">
        <w:tc>
          <w:tcPr>
            <w:tcW w:w="996" w:type="pct"/>
            <w:gridSpan w:val="2"/>
            <w:tcBorders>
              <w:top w:val="single" w:sz="4" w:space="0" w:color="auto"/>
              <w:left w:val="single" w:sz="4" w:space="0" w:color="auto"/>
              <w:bottom w:val="single" w:sz="4" w:space="0" w:color="auto"/>
              <w:right w:val="single" w:sz="4" w:space="0" w:color="auto"/>
            </w:tcBorders>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2017</w:t>
            </w:r>
          </w:p>
        </w:tc>
        <w:tc>
          <w:tcPr>
            <w:tcW w:w="994" w:type="pct"/>
            <w:gridSpan w:val="2"/>
            <w:tcBorders>
              <w:top w:val="single" w:sz="4" w:space="0" w:color="auto"/>
              <w:left w:val="single" w:sz="4" w:space="0" w:color="auto"/>
              <w:bottom w:val="single" w:sz="4" w:space="0" w:color="auto"/>
              <w:right w:val="single" w:sz="4" w:space="0" w:color="auto"/>
            </w:tcBorders>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2018</w:t>
            </w:r>
          </w:p>
        </w:tc>
        <w:tc>
          <w:tcPr>
            <w:tcW w:w="994" w:type="pct"/>
            <w:gridSpan w:val="2"/>
            <w:tcBorders>
              <w:top w:val="single" w:sz="4" w:space="0" w:color="auto"/>
              <w:left w:val="single" w:sz="4" w:space="0" w:color="auto"/>
              <w:bottom w:val="single" w:sz="4" w:space="0" w:color="auto"/>
              <w:right w:val="single" w:sz="4" w:space="0" w:color="auto"/>
            </w:tcBorders>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2019</w:t>
            </w:r>
          </w:p>
        </w:tc>
        <w:tc>
          <w:tcPr>
            <w:tcW w:w="994" w:type="pct"/>
            <w:gridSpan w:val="2"/>
            <w:tcBorders>
              <w:top w:val="single" w:sz="4" w:space="0" w:color="auto"/>
              <w:left w:val="single" w:sz="4" w:space="0" w:color="auto"/>
              <w:bottom w:val="single" w:sz="4" w:space="0" w:color="auto"/>
              <w:right w:val="single" w:sz="4" w:space="0" w:color="auto"/>
            </w:tcBorders>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2020</w:t>
            </w:r>
          </w:p>
        </w:tc>
        <w:tc>
          <w:tcPr>
            <w:tcW w:w="1022" w:type="pct"/>
            <w:gridSpan w:val="2"/>
            <w:tcBorders>
              <w:top w:val="single" w:sz="4" w:space="0" w:color="auto"/>
              <w:left w:val="single" w:sz="4" w:space="0" w:color="auto"/>
              <w:bottom w:val="single" w:sz="4" w:space="0" w:color="auto"/>
              <w:right w:val="single" w:sz="4" w:space="0" w:color="auto"/>
            </w:tcBorders>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2021</w:t>
            </w:r>
          </w:p>
        </w:tc>
      </w:tr>
      <w:tr w:rsidR="0004497F" w:rsidRPr="0066263B" w:rsidTr="0004497F">
        <w:tc>
          <w:tcPr>
            <w:tcW w:w="45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5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6"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5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6"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5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6"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70"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52"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r>
      <w:tr w:rsidR="0004497F" w:rsidRPr="0066263B" w:rsidTr="0004497F">
        <w:tc>
          <w:tcPr>
            <w:tcW w:w="45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6481</w:t>
            </w:r>
          </w:p>
        </w:tc>
        <w:tc>
          <w:tcPr>
            <w:tcW w:w="53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532,6</w:t>
            </w:r>
          </w:p>
        </w:tc>
        <w:tc>
          <w:tcPr>
            <w:tcW w:w="45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10171</w:t>
            </w:r>
          </w:p>
        </w:tc>
        <w:tc>
          <w:tcPr>
            <w:tcW w:w="536"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841,4</w:t>
            </w:r>
          </w:p>
        </w:tc>
        <w:tc>
          <w:tcPr>
            <w:tcW w:w="45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8860</w:t>
            </w:r>
          </w:p>
        </w:tc>
        <w:tc>
          <w:tcPr>
            <w:tcW w:w="536"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736,1</w:t>
            </w:r>
          </w:p>
        </w:tc>
        <w:tc>
          <w:tcPr>
            <w:tcW w:w="458"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30165</w:t>
            </w:r>
          </w:p>
        </w:tc>
        <w:tc>
          <w:tcPr>
            <w:tcW w:w="536"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2538,8</w:t>
            </w:r>
          </w:p>
        </w:tc>
        <w:tc>
          <w:tcPr>
            <w:tcW w:w="470"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43466</w:t>
            </w:r>
          </w:p>
        </w:tc>
        <w:tc>
          <w:tcPr>
            <w:tcW w:w="552" w:type="pct"/>
            <w:tcBorders>
              <w:top w:val="single" w:sz="4" w:space="0" w:color="auto"/>
              <w:left w:val="single" w:sz="4" w:space="0" w:color="auto"/>
              <w:bottom w:val="single" w:sz="4" w:space="0" w:color="auto"/>
              <w:right w:val="single" w:sz="4" w:space="0" w:color="auto"/>
            </w:tcBorders>
            <w:vAlign w:val="center"/>
          </w:tcPr>
          <w:p w:rsidR="0004497F" w:rsidRPr="0066263B" w:rsidRDefault="0004497F" w:rsidP="0004497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3630,9</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04497F" w:rsidRPr="0066263B" w:rsidRDefault="0004497F" w:rsidP="0004497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Наиболее высокий уровень заболеваемости, превышающий среднеобластной показатель, зарегистрирован:</w:t>
      </w:r>
    </w:p>
    <w:p w:rsidR="0004497F" w:rsidRPr="0066263B" w:rsidRDefault="0004497F" w:rsidP="0004497F">
      <w:pPr>
        <w:numPr>
          <w:ilvl w:val="0"/>
          <w:numId w:val="20"/>
        </w:numPr>
        <w:spacing w:before="0" w:after="0"/>
        <w:ind w:left="1134"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 Брянск – 6 673,5 на 100 тыс. нас</w:t>
      </w:r>
      <w:proofErr w:type="gramStart"/>
      <w:r w:rsidRPr="0066263B">
        <w:rPr>
          <w:rFonts w:ascii="Times New Roman" w:eastAsia="Times New Roman" w:hAnsi="Times New Roman" w:cs="Times New Roman"/>
          <w:sz w:val="24"/>
          <w:szCs w:val="24"/>
          <w:lang w:eastAsia="ru-RU"/>
        </w:rPr>
        <w:t>.;</w:t>
      </w:r>
      <w:proofErr w:type="gramEnd"/>
    </w:p>
    <w:p w:rsidR="0004497F" w:rsidRPr="0066263B" w:rsidRDefault="0004497F" w:rsidP="0004497F">
      <w:pPr>
        <w:numPr>
          <w:ilvl w:val="0"/>
          <w:numId w:val="20"/>
        </w:numPr>
        <w:spacing w:before="0" w:after="0"/>
        <w:ind w:left="1134"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Карачевский район – 5 225,3 на 100 тыс. нас.</w:t>
      </w:r>
    </w:p>
    <w:p w:rsidR="00C23EB0" w:rsidRPr="0066263B" w:rsidRDefault="00C23EB0" w:rsidP="005228B3">
      <w:pPr>
        <w:spacing w:before="0" w:after="0"/>
        <w:ind w:firstLine="709"/>
        <w:rPr>
          <w:rFonts w:ascii="Times New Roman" w:eastAsia="Times New Roman" w:hAnsi="Times New Roman" w:cs="Times New Roman"/>
          <w:sz w:val="24"/>
          <w:szCs w:val="24"/>
          <w:lang w:eastAsia="ru-RU"/>
        </w:rPr>
      </w:pPr>
    </w:p>
    <w:p w:rsidR="0004497F" w:rsidRPr="0066263B" w:rsidRDefault="005228B3" w:rsidP="005228B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Анализ возрастной структуры </w:t>
      </w:r>
      <w:proofErr w:type="gramStart"/>
      <w:r w:rsidRPr="0066263B">
        <w:rPr>
          <w:rFonts w:ascii="Times New Roman" w:eastAsia="Times New Roman" w:hAnsi="Times New Roman" w:cs="Times New Roman"/>
          <w:sz w:val="24"/>
          <w:szCs w:val="24"/>
          <w:lang w:eastAsia="ru-RU"/>
        </w:rPr>
        <w:t>заболевших</w:t>
      </w:r>
      <w:proofErr w:type="gramEnd"/>
      <w:r w:rsidRPr="0066263B">
        <w:rPr>
          <w:rFonts w:ascii="Times New Roman" w:eastAsia="Times New Roman" w:hAnsi="Times New Roman" w:cs="Times New Roman"/>
          <w:sz w:val="24"/>
          <w:szCs w:val="24"/>
          <w:lang w:eastAsia="ru-RU"/>
        </w:rPr>
        <w:t xml:space="preserve"> внебольничными пневмониями</w:t>
      </w:r>
      <w:r w:rsidR="0004497F" w:rsidRPr="0066263B">
        <w:rPr>
          <w:rFonts w:ascii="Times New Roman" w:eastAsia="Times New Roman" w:hAnsi="Times New Roman" w:cs="Times New Roman"/>
          <w:sz w:val="24"/>
          <w:szCs w:val="24"/>
          <w:lang w:eastAsia="ru-RU"/>
        </w:rPr>
        <w:t xml:space="preserve"> представлен на рисунке </w:t>
      </w:r>
      <w:r w:rsidR="0066263B" w:rsidRPr="0066263B">
        <w:rPr>
          <w:rFonts w:ascii="Times New Roman" w:eastAsia="Times New Roman" w:hAnsi="Times New Roman" w:cs="Times New Roman"/>
          <w:sz w:val="24"/>
          <w:szCs w:val="24"/>
          <w:lang w:eastAsia="ru-RU"/>
        </w:rPr>
        <w:t>68</w:t>
      </w:r>
      <w:r w:rsidR="0004497F" w:rsidRPr="0066263B">
        <w:rPr>
          <w:rFonts w:ascii="Times New Roman" w:eastAsia="Times New Roman" w:hAnsi="Times New Roman" w:cs="Times New Roman"/>
          <w:sz w:val="24"/>
          <w:szCs w:val="24"/>
          <w:lang w:eastAsia="ru-RU"/>
        </w:rPr>
        <w:t>.</w:t>
      </w:r>
    </w:p>
    <w:p w:rsidR="005228B3" w:rsidRPr="0066263B" w:rsidRDefault="005228B3" w:rsidP="005228B3">
      <w:pPr>
        <w:spacing w:before="0" w:after="0"/>
        <w:ind w:firstLine="709"/>
        <w:rPr>
          <w:rFonts w:ascii="Times New Roman" w:eastAsia="Times New Roman" w:hAnsi="Times New Roman" w:cs="Times New Roman"/>
          <w:sz w:val="24"/>
          <w:szCs w:val="24"/>
          <w:lang w:eastAsia="ru-RU"/>
        </w:rPr>
      </w:pPr>
    </w:p>
    <w:p w:rsidR="0004497F" w:rsidRPr="0066263B" w:rsidRDefault="00944DE4" w:rsidP="0004497F">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60427" cy="2860431"/>
            <wp:effectExtent l="19050" t="0" r="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9433E" w:rsidRPr="0066263B" w:rsidRDefault="0039433E" w:rsidP="0004497F">
      <w:pPr>
        <w:spacing w:before="0" w:after="0"/>
        <w:jc w:val="center"/>
        <w:rPr>
          <w:rFonts w:ascii="Times New Roman" w:eastAsia="Times New Roman" w:hAnsi="Times New Roman" w:cs="Times New Roman"/>
          <w:b/>
          <w:lang w:eastAsia="ru-RU"/>
        </w:rPr>
      </w:pPr>
    </w:p>
    <w:p w:rsidR="0004497F" w:rsidRPr="0066263B" w:rsidRDefault="0004497F" w:rsidP="0004497F">
      <w:pPr>
        <w:spacing w:before="0" w:after="0"/>
        <w:jc w:val="center"/>
        <w:rPr>
          <w:rFonts w:ascii="Times New Roman" w:eastAsia="Times New Roman" w:hAnsi="Times New Roman" w:cs="Times New Roman"/>
          <w:bCs/>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68</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b/>
          <w:bCs/>
          <w:lang w:eastAsia="ru-RU"/>
        </w:rPr>
        <w:t xml:space="preserve"> </w:t>
      </w:r>
      <w:r w:rsidRPr="0066263B">
        <w:rPr>
          <w:rFonts w:ascii="Times New Roman" w:eastAsia="Times New Roman" w:hAnsi="Times New Roman" w:cs="Times New Roman"/>
          <w:bCs/>
          <w:lang w:eastAsia="ru-RU"/>
        </w:rPr>
        <w:t>Структура заболеваемости за 2021 год внебольничной пневмонией,</w:t>
      </w:r>
      <w:r w:rsidRPr="0066263B">
        <w:rPr>
          <w:rFonts w:ascii="Times New Roman" w:eastAsia="Times New Roman" w:hAnsi="Times New Roman" w:cs="Times New Roman"/>
          <w:bCs/>
          <w:lang w:eastAsia="ru-RU"/>
        </w:rPr>
        <w:br/>
        <w:t>на 100 тыс. населения</w:t>
      </w:r>
    </w:p>
    <w:p w:rsidR="001C01FD" w:rsidRPr="0066263B" w:rsidRDefault="001C01FD" w:rsidP="005228B3">
      <w:pPr>
        <w:spacing w:before="0" w:after="0"/>
        <w:ind w:firstLine="709"/>
        <w:rPr>
          <w:rFonts w:ascii="Times New Roman" w:eastAsia="Times New Roman" w:hAnsi="Times New Roman" w:cs="Times New Roman"/>
          <w:sz w:val="24"/>
          <w:szCs w:val="24"/>
          <w:lang w:eastAsia="ru-RU"/>
        </w:rPr>
      </w:pPr>
    </w:p>
    <w:p w:rsidR="0039433E" w:rsidRPr="0066263B" w:rsidRDefault="0039433E" w:rsidP="0039433E">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структуре заболевших: взрослое население (96,3% заболеваемости) – показатель заболеваемости 4 289,1 на 100 тыс. нас</w:t>
      </w:r>
      <w:proofErr w:type="gramStart"/>
      <w:r w:rsidRPr="0066263B">
        <w:rPr>
          <w:rFonts w:ascii="Times New Roman" w:eastAsia="Times New Roman" w:hAnsi="Times New Roman" w:cs="Times New Roman"/>
          <w:sz w:val="24"/>
          <w:szCs w:val="24"/>
          <w:lang w:eastAsia="ru-RU"/>
        </w:rPr>
        <w:t xml:space="preserve">., </w:t>
      </w:r>
      <w:proofErr w:type="gramEnd"/>
      <w:r w:rsidRPr="0066263B">
        <w:rPr>
          <w:rFonts w:ascii="Times New Roman" w:eastAsia="Times New Roman" w:hAnsi="Times New Roman" w:cs="Times New Roman"/>
          <w:sz w:val="24"/>
          <w:szCs w:val="24"/>
          <w:lang w:eastAsia="ru-RU"/>
        </w:rPr>
        <w:t>дети до 14 лет – 785,9 на 100 тыс. нас.</w:t>
      </w:r>
    </w:p>
    <w:p w:rsidR="0039433E" w:rsidRPr="0066263B" w:rsidRDefault="0039433E" w:rsidP="0039433E">
      <w:pPr>
        <w:spacing w:before="0" w:after="0"/>
        <w:ind w:firstLine="709"/>
        <w:rPr>
          <w:rFonts w:ascii="Times New Roman" w:eastAsia="Times New Roman" w:hAnsi="Times New Roman" w:cs="Times New Roman"/>
          <w:sz w:val="24"/>
          <w:szCs w:val="24"/>
          <w:lang w:eastAsia="ru-RU"/>
        </w:rPr>
      </w:pPr>
    </w:p>
    <w:p w:rsidR="0039433E" w:rsidRPr="0066263B" w:rsidRDefault="0039433E" w:rsidP="0039433E">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81</w:t>
      </w:r>
      <w:r w:rsidR="006C34E2" w:rsidRPr="0066263B">
        <w:rPr>
          <w:rFonts w:ascii="Times New Roman" w:eastAsia="Calibri" w:hAnsi="Times New Roman" w:cs="Times New Roman"/>
        </w:rPr>
        <w:fldChar w:fldCharType="end"/>
      </w:r>
    </w:p>
    <w:p w:rsidR="0039433E" w:rsidRPr="0066263B" w:rsidRDefault="0039433E" w:rsidP="0039433E">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детей внебольничными пневмониями</w:t>
      </w:r>
    </w:p>
    <w:p w:rsidR="0039433E" w:rsidRPr="0066263B" w:rsidRDefault="0039433E" w:rsidP="0039433E">
      <w:pPr>
        <w:spacing w:before="0" w:after="0"/>
        <w:jc w:val="center"/>
        <w:rPr>
          <w:rFonts w:ascii="Times New Roman" w:eastAsia="Times New Roman" w:hAnsi="Times New Roman" w:cs="Times New Roman"/>
          <w:lang w:eastAsia="ru-RU"/>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4"/>
        <w:gridCol w:w="1003"/>
        <w:gridCol w:w="854"/>
        <w:gridCol w:w="999"/>
        <w:gridCol w:w="854"/>
        <w:gridCol w:w="999"/>
        <w:gridCol w:w="854"/>
        <w:gridCol w:w="999"/>
        <w:gridCol w:w="876"/>
        <w:gridCol w:w="1029"/>
      </w:tblGrid>
      <w:tr w:rsidR="0039433E" w:rsidRPr="0066263B" w:rsidTr="008E3293">
        <w:tc>
          <w:tcPr>
            <w:tcW w:w="996" w:type="pct"/>
            <w:gridSpan w:val="2"/>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2017</w:t>
            </w:r>
          </w:p>
        </w:tc>
        <w:tc>
          <w:tcPr>
            <w:tcW w:w="994" w:type="pct"/>
            <w:gridSpan w:val="2"/>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2018</w:t>
            </w:r>
          </w:p>
        </w:tc>
        <w:tc>
          <w:tcPr>
            <w:tcW w:w="994" w:type="pct"/>
            <w:gridSpan w:val="2"/>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2019</w:t>
            </w:r>
          </w:p>
        </w:tc>
        <w:tc>
          <w:tcPr>
            <w:tcW w:w="994" w:type="pct"/>
            <w:gridSpan w:val="2"/>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2020</w:t>
            </w:r>
          </w:p>
        </w:tc>
        <w:tc>
          <w:tcPr>
            <w:tcW w:w="1022" w:type="pct"/>
            <w:gridSpan w:val="2"/>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2021</w:t>
            </w:r>
          </w:p>
        </w:tc>
      </w:tr>
      <w:tr w:rsidR="0039433E" w:rsidRPr="0066263B" w:rsidTr="008E3293">
        <w:tc>
          <w:tcPr>
            <w:tcW w:w="45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5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6"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5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6"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5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36"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7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52"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r>
      <w:tr w:rsidR="0039433E" w:rsidRPr="0066263B" w:rsidTr="008E3293">
        <w:tc>
          <w:tcPr>
            <w:tcW w:w="45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1817</w:t>
            </w:r>
          </w:p>
        </w:tc>
        <w:tc>
          <w:tcPr>
            <w:tcW w:w="53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960,2</w:t>
            </w:r>
          </w:p>
        </w:tc>
        <w:tc>
          <w:tcPr>
            <w:tcW w:w="45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2991</w:t>
            </w:r>
          </w:p>
        </w:tc>
        <w:tc>
          <w:tcPr>
            <w:tcW w:w="536"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1553,2</w:t>
            </w:r>
          </w:p>
        </w:tc>
        <w:tc>
          <w:tcPr>
            <w:tcW w:w="45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2531</w:t>
            </w:r>
          </w:p>
        </w:tc>
        <w:tc>
          <w:tcPr>
            <w:tcW w:w="536"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1359,7</w:t>
            </w:r>
          </w:p>
        </w:tc>
        <w:tc>
          <w:tcPr>
            <w:tcW w:w="458"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1422</w:t>
            </w:r>
          </w:p>
        </w:tc>
        <w:tc>
          <w:tcPr>
            <w:tcW w:w="536"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744,4</w:t>
            </w:r>
          </w:p>
        </w:tc>
        <w:tc>
          <w:tcPr>
            <w:tcW w:w="47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1459</w:t>
            </w:r>
          </w:p>
        </w:tc>
        <w:tc>
          <w:tcPr>
            <w:tcW w:w="552"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sz w:val="24"/>
                <w:szCs w:val="24"/>
                <w:lang w:eastAsia="ru-RU"/>
              </w:rPr>
              <w:t>785,9</w:t>
            </w:r>
          </w:p>
        </w:tc>
      </w:tr>
    </w:tbl>
    <w:p w:rsidR="0039433E" w:rsidRPr="0066263B" w:rsidRDefault="0039433E" w:rsidP="005228B3">
      <w:pPr>
        <w:spacing w:before="0" w:after="0"/>
        <w:ind w:firstLine="709"/>
        <w:rPr>
          <w:rFonts w:ascii="Times New Roman" w:eastAsia="Times New Roman" w:hAnsi="Times New Roman" w:cs="Times New Roman"/>
          <w:sz w:val="24"/>
          <w:szCs w:val="24"/>
          <w:lang w:eastAsia="ru-RU"/>
        </w:rPr>
      </w:pPr>
    </w:p>
    <w:p w:rsidR="00944DE4" w:rsidRPr="0066263B" w:rsidRDefault="00944DE4" w:rsidP="00944DE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смертность от внебольничных пневмоний составила 2,34 на 100 тыс. населения, что ниже уровня 2020 года в 2,9 раза – (6,99 на 100 тыс. нас</w:t>
      </w:r>
      <w:proofErr w:type="gramStart"/>
      <w:r w:rsidRPr="0066263B">
        <w:rPr>
          <w:rFonts w:ascii="Times New Roman" w:eastAsia="Times New Roman" w:hAnsi="Times New Roman" w:cs="Times New Roman"/>
          <w:sz w:val="24"/>
          <w:szCs w:val="24"/>
          <w:lang w:eastAsia="ru-RU"/>
        </w:rPr>
        <w:t xml:space="preserve">., </w:t>
      </w:r>
      <w:proofErr w:type="gramEnd"/>
      <w:r w:rsidRPr="0066263B">
        <w:rPr>
          <w:rFonts w:ascii="Times New Roman" w:eastAsia="Times New Roman" w:hAnsi="Times New Roman" w:cs="Times New Roman"/>
          <w:sz w:val="24"/>
          <w:szCs w:val="24"/>
          <w:lang w:eastAsia="ru-RU"/>
        </w:rPr>
        <w:t>умерло 83 чел.; 2019 – 76 чел.; 2018 – 69 чел.).</w:t>
      </w:r>
    </w:p>
    <w:p w:rsidR="00944DE4" w:rsidRPr="0066263B" w:rsidRDefault="00944DE4" w:rsidP="00944DE4">
      <w:pPr>
        <w:spacing w:before="0" w:after="0"/>
        <w:ind w:firstLine="709"/>
        <w:rPr>
          <w:rFonts w:ascii="Times New Roman" w:eastAsia="Times New Roman" w:hAnsi="Times New Roman" w:cs="Times New Roman"/>
          <w:sz w:val="24"/>
          <w:szCs w:val="24"/>
          <w:lang w:eastAsia="ru-RU"/>
        </w:rPr>
      </w:pPr>
    </w:p>
    <w:p w:rsidR="00944DE4" w:rsidRPr="0066263B" w:rsidRDefault="00944DE4" w:rsidP="00944DE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этиологической структуре внебольничных пневмоний 91,8% составляет вирусная пневмония – 39 895 сл</w:t>
      </w:r>
      <w:r w:rsidR="006327A6">
        <w:rPr>
          <w:rFonts w:ascii="Times New Roman" w:eastAsia="Times New Roman" w:hAnsi="Times New Roman" w:cs="Times New Roman"/>
          <w:sz w:val="24"/>
          <w:szCs w:val="24"/>
          <w:lang w:eastAsia="ru-RU"/>
        </w:rPr>
        <w:t>учаев</w:t>
      </w:r>
      <w:r w:rsidRPr="0066263B">
        <w:rPr>
          <w:rFonts w:ascii="Times New Roman" w:eastAsia="Times New Roman" w:hAnsi="Times New Roman" w:cs="Times New Roman"/>
          <w:sz w:val="24"/>
          <w:szCs w:val="24"/>
          <w:lang w:eastAsia="ru-RU"/>
        </w:rPr>
        <w:t>, 3332,6 на 100 тыс. нас</w:t>
      </w:r>
      <w:proofErr w:type="gramStart"/>
      <w:r w:rsidRPr="0066263B">
        <w:rPr>
          <w:rFonts w:ascii="Times New Roman" w:eastAsia="Times New Roman" w:hAnsi="Times New Roman" w:cs="Times New Roman"/>
          <w:sz w:val="24"/>
          <w:szCs w:val="24"/>
          <w:lang w:eastAsia="ru-RU"/>
        </w:rPr>
        <w:t xml:space="preserve">., </w:t>
      </w:r>
      <w:proofErr w:type="gramEnd"/>
      <w:r w:rsidRPr="0066263B">
        <w:rPr>
          <w:rFonts w:ascii="Times New Roman" w:eastAsia="Times New Roman" w:hAnsi="Times New Roman" w:cs="Times New Roman"/>
          <w:sz w:val="24"/>
          <w:szCs w:val="24"/>
          <w:lang w:eastAsia="ru-RU"/>
        </w:rPr>
        <w:t>рост по сравнению с 2020 годом в 1,7 раза.</w:t>
      </w:r>
    </w:p>
    <w:p w:rsidR="00944DE4" w:rsidRPr="0066263B" w:rsidRDefault="00944DE4" w:rsidP="00944DE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 числа бактериальных пневмоний (2 246 сл.) на долю пневмоний, вызванных пневмококком</w:t>
      </w:r>
      <w:r w:rsidR="00837D8E">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приходится 0,4% (2020 – 3,8%).</w:t>
      </w:r>
    </w:p>
    <w:p w:rsidR="00944DE4" w:rsidRPr="0066263B" w:rsidRDefault="00944DE4" w:rsidP="00944DE4">
      <w:pPr>
        <w:spacing w:before="0" w:after="0"/>
        <w:ind w:firstLine="709"/>
        <w:rPr>
          <w:rFonts w:ascii="Times New Roman" w:eastAsia="Times New Roman" w:hAnsi="Times New Roman" w:cs="Times New Roman"/>
          <w:sz w:val="24"/>
          <w:szCs w:val="24"/>
          <w:lang w:eastAsia="ru-RU"/>
        </w:rPr>
      </w:pPr>
    </w:p>
    <w:p w:rsidR="00944DE4" w:rsidRPr="0066263B" w:rsidRDefault="00944DE4" w:rsidP="00944DE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области в 2020 году проводилась иммунизация против пневмококковой инфекции. Вакцинировано против пневмококковой инфекции в 2021 году 33 144 человека, в том числе 18 578 детей, ревакцинировано – 17 282 человека, в том числе детей – 17 004.</w:t>
      </w:r>
    </w:p>
    <w:p w:rsidR="00324483" w:rsidRPr="0066263B" w:rsidRDefault="00324483" w:rsidP="00324483">
      <w:pPr>
        <w:tabs>
          <w:tab w:val="left" w:pos="0"/>
        </w:tabs>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Менингококковая инфекция</w:t>
      </w:r>
    </w:p>
    <w:p w:rsidR="00944DE4" w:rsidRPr="0066263B" w:rsidRDefault="00944DE4" w:rsidP="00944DE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2021 год на территории Брянской области зарегистрировано 10 случаев менингококковой инфекции или 0,84 на 100 тысяч населения, все случаи – генерализованная форма инфекции.</w:t>
      </w:r>
    </w:p>
    <w:p w:rsidR="00944DE4" w:rsidRPr="0066263B" w:rsidRDefault="00944DE4" w:rsidP="00944DE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сравнению с 2020 годом заболеваемость выросла в 2,5 раза (2020 – 4 сл. или 0,34 на 100 тыс. нас.). Заболеваемость регистрировалась на 8 административных территориях Брянской области (2020 – на 3 административных территориях).</w:t>
      </w:r>
    </w:p>
    <w:p w:rsidR="00944DE4" w:rsidRPr="0066263B" w:rsidRDefault="00944DE4" w:rsidP="005228B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менингококковой инфекцией</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949" w:type="pct"/>
        <w:tblInd w:w="108" w:type="dxa"/>
        <w:tblBorders>
          <w:top w:val="single" w:sz="4" w:space="0" w:color="auto"/>
          <w:left w:val="single" w:sz="4" w:space="0" w:color="auto"/>
          <w:bottom w:val="single" w:sz="4" w:space="0" w:color="auto"/>
          <w:right w:val="single" w:sz="4" w:space="0" w:color="auto"/>
        </w:tblBorders>
        <w:tblLook w:val="0000"/>
      </w:tblPr>
      <w:tblGrid>
        <w:gridCol w:w="994"/>
        <w:gridCol w:w="2050"/>
        <w:gridCol w:w="2053"/>
        <w:gridCol w:w="2050"/>
        <w:gridCol w:w="2044"/>
      </w:tblGrid>
      <w:tr w:rsidR="005228B3" w:rsidRPr="0066263B" w:rsidTr="005228B3">
        <w:trPr>
          <w:cantSplit/>
          <w:trHeight w:val="149"/>
        </w:trPr>
        <w:tc>
          <w:tcPr>
            <w:tcW w:w="541" w:type="pct"/>
            <w:vMerge w:val="restart"/>
            <w:tcBorders>
              <w:top w:val="single" w:sz="4" w:space="0" w:color="auto"/>
              <w:left w:val="single" w:sz="4" w:space="0" w:color="auto"/>
              <w:bottom w:val="single" w:sz="4" w:space="0" w:color="auto"/>
              <w:right w:val="single" w:sz="4" w:space="0" w:color="auto"/>
            </w:tcBorders>
            <w:vAlign w:val="center"/>
          </w:tcPr>
          <w:p w:rsidR="005228B3" w:rsidRPr="0066263B" w:rsidRDefault="005228B3" w:rsidP="005228B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2232" w:type="pct"/>
            <w:gridSpan w:val="2"/>
            <w:tcBorders>
              <w:top w:val="single" w:sz="4" w:space="0" w:color="auto"/>
              <w:left w:val="single" w:sz="4" w:space="0" w:color="auto"/>
              <w:bottom w:val="single" w:sz="4" w:space="0" w:color="auto"/>
              <w:right w:val="single" w:sz="4" w:space="0" w:color="auto"/>
            </w:tcBorders>
            <w:vAlign w:val="center"/>
          </w:tcPr>
          <w:p w:rsidR="005228B3" w:rsidRPr="0066263B" w:rsidRDefault="005228B3" w:rsidP="005228B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Менингококковая инфекция</w:t>
            </w:r>
          </w:p>
        </w:tc>
        <w:tc>
          <w:tcPr>
            <w:tcW w:w="2227" w:type="pct"/>
            <w:gridSpan w:val="2"/>
            <w:tcBorders>
              <w:top w:val="single" w:sz="4" w:space="0" w:color="auto"/>
              <w:left w:val="single" w:sz="4" w:space="0" w:color="auto"/>
              <w:bottom w:val="single" w:sz="4" w:space="0" w:color="auto"/>
              <w:right w:val="single" w:sz="4" w:space="0" w:color="auto"/>
            </w:tcBorders>
            <w:vAlign w:val="center"/>
          </w:tcPr>
          <w:p w:rsidR="005228B3" w:rsidRPr="0066263B" w:rsidRDefault="005228B3" w:rsidP="005228B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Генерализованные формы</w:t>
            </w:r>
          </w:p>
        </w:tc>
      </w:tr>
      <w:tr w:rsidR="005228B3" w:rsidRPr="0066263B" w:rsidTr="005228B3">
        <w:trPr>
          <w:cantSplit/>
          <w:trHeight w:val="101"/>
        </w:trPr>
        <w:tc>
          <w:tcPr>
            <w:tcW w:w="541" w:type="pct"/>
            <w:vMerge/>
            <w:tcBorders>
              <w:top w:val="single" w:sz="4" w:space="0" w:color="auto"/>
              <w:left w:val="single" w:sz="4" w:space="0" w:color="auto"/>
              <w:bottom w:val="single" w:sz="4" w:space="0" w:color="auto"/>
              <w:right w:val="single" w:sz="4" w:space="0" w:color="auto"/>
            </w:tcBorders>
            <w:vAlign w:val="center"/>
          </w:tcPr>
          <w:p w:rsidR="005228B3" w:rsidRPr="0066263B" w:rsidRDefault="005228B3" w:rsidP="005228B3">
            <w:pPr>
              <w:spacing w:before="20" w:after="20"/>
              <w:jc w:val="center"/>
              <w:rPr>
                <w:rFonts w:ascii="Times New Roman" w:eastAsia="Times New Roman" w:hAnsi="Times New Roman" w:cs="Times New Roman"/>
                <w:b/>
                <w:i/>
                <w:lang w:eastAsia="ru-RU"/>
              </w:rPr>
            </w:pPr>
          </w:p>
        </w:tc>
        <w:tc>
          <w:tcPr>
            <w:tcW w:w="1115" w:type="pct"/>
            <w:tcBorders>
              <w:top w:val="single" w:sz="4" w:space="0" w:color="auto"/>
              <w:left w:val="single" w:sz="4" w:space="0" w:color="auto"/>
              <w:bottom w:val="single" w:sz="4" w:space="0" w:color="auto"/>
              <w:right w:val="single" w:sz="4" w:space="0" w:color="auto"/>
            </w:tcBorders>
            <w:vAlign w:val="center"/>
          </w:tcPr>
          <w:p w:rsidR="005228B3" w:rsidRPr="0066263B" w:rsidRDefault="005228B3" w:rsidP="005228B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1117" w:type="pct"/>
            <w:tcBorders>
              <w:top w:val="single" w:sz="4" w:space="0" w:color="auto"/>
              <w:left w:val="single" w:sz="4" w:space="0" w:color="auto"/>
              <w:bottom w:val="single" w:sz="4" w:space="0" w:color="auto"/>
              <w:right w:val="single" w:sz="4" w:space="0" w:color="auto"/>
            </w:tcBorders>
            <w:vAlign w:val="center"/>
          </w:tcPr>
          <w:p w:rsidR="005228B3" w:rsidRPr="0066263B" w:rsidRDefault="005228B3" w:rsidP="005228B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 тыс. нас.</w:t>
            </w:r>
          </w:p>
        </w:tc>
        <w:tc>
          <w:tcPr>
            <w:tcW w:w="1115" w:type="pct"/>
            <w:tcBorders>
              <w:top w:val="single" w:sz="4" w:space="0" w:color="auto"/>
              <w:left w:val="single" w:sz="4" w:space="0" w:color="auto"/>
              <w:bottom w:val="single" w:sz="4" w:space="0" w:color="auto"/>
              <w:right w:val="single" w:sz="4" w:space="0" w:color="auto"/>
            </w:tcBorders>
            <w:vAlign w:val="center"/>
          </w:tcPr>
          <w:p w:rsidR="005228B3" w:rsidRPr="0066263B" w:rsidRDefault="005228B3" w:rsidP="005228B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1112" w:type="pct"/>
            <w:tcBorders>
              <w:top w:val="single" w:sz="4" w:space="0" w:color="auto"/>
              <w:left w:val="single" w:sz="4" w:space="0" w:color="auto"/>
              <w:bottom w:val="single" w:sz="4" w:space="0" w:color="auto"/>
              <w:right w:val="single" w:sz="4" w:space="0" w:color="auto"/>
            </w:tcBorders>
            <w:vAlign w:val="center"/>
          </w:tcPr>
          <w:p w:rsidR="005228B3" w:rsidRPr="0066263B" w:rsidRDefault="005228B3" w:rsidP="005228B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 тыс. нас.</w:t>
            </w:r>
          </w:p>
        </w:tc>
      </w:tr>
      <w:tr w:rsidR="005228B3" w:rsidRPr="0066263B" w:rsidTr="005228B3">
        <w:trPr>
          <w:trHeight w:val="179"/>
        </w:trPr>
        <w:tc>
          <w:tcPr>
            <w:tcW w:w="541"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2014</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1117"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0,96</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w:t>
            </w:r>
          </w:p>
        </w:tc>
        <w:tc>
          <w:tcPr>
            <w:tcW w:w="1112"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0,64</w:t>
            </w:r>
          </w:p>
        </w:tc>
      </w:tr>
      <w:tr w:rsidR="005228B3" w:rsidRPr="0066263B" w:rsidTr="005228B3">
        <w:trPr>
          <w:trHeight w:val="179"/>
        </w:trPr>
        <w:tc>
          <w:tcPr>
            <w:tcW w:w="541"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2015</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w:t>
            </w:r>
          </w:p>
        </w:tc>
        <w:tc>
          <w:tcPr>
            <w:tcW w:w="1117"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0,74</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w:t>
            </w:r>
          </w:p>
        </w:tc>
        <w:tc>
          <w:tcPr>
            <w:tcW w:w="1112"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0,74</w:t>
            </w:r>
          </w:p>
        </w:tc>
      </w:tr>
      <w:tr w:rsidR="005228B3" w:rsidRPr="0066263B" w:rsidTr="005228B3">
        <w:trPr>
          <w:trHeight w:val="179"/>
        </w:trPr>
        <w:tc>
          <w:tcPr>
            <w:tcW w:w="541"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2016</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1117"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0,33</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1112"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0,33</w:t>
            </w:r>
          </w:p>
        </w:tc>
      </w:tr>
      <w:tr w:rsidR="005228B3" w:rsidRPr="0066263B" w:rsidTr="005228B3">
        <w:trPr>
          <w:trHeight w:val="179"/>
        </w:trPr>
        <w:tc>
          <w:tcPr>
            <w:tcW w:w="541"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2017</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c>
          <w:tcPr>
            <w:tcW w:w="1117"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0,41</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c>
          <w:tcPr>
            <w:tcW w:w="1112"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0,41</w:t>
            </w:r>
          </w:p>
        </w:tc>
      </w:tr>
      <w:tr w:rsidR="005228B3" w:rsidRPr="0066263B" w:rsidTr="005228B3">
        <w:trPr>
          <w:trHeight w:val="179"/>
        </w:trPr>
        <w:tc>
          <w:tcPr>
            <w:tcW w:w="541"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w:t>
            </w:r>
          </w:p>
        </w:tc>
        <w:tc>
          <w:tcPr>
            <w:tcW w:w="1117"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0,66</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w:t>
            </w:r>
          </w:p>
        </w:tc>
        <w:tc>
          <w:tcPr>
            <w:tcW w:w="1112"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0,58</w:t>
            </w:r>
          </w:p>
        </w:tc>
      </w:tr>
      <w:tr w:rsidR="005228B3" w:rsidRPr="0066263B" w:rsidTr="005228B3">
        <w:trPr>
          <w:trHeight w:val="179"/>
        </w:trPr>
        <w:tc>
          <w:tcPr>
            <w:tcW w:w="541"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1117"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c>
          <w:tcPr>
            <w:tcW w:w="1112"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0,91</w:t>
            </w:r>
          </w:p>
        </w:tc>
      </w:tr>
      <w:tr w:rsidR="005228B3" w:rsidRPr="0066263B" w:rsidTr="005228B3">
        <w:trPr>
          <w:trHeight w:val="179"/>
        </w:trPr>
        <w:tc>
          <w:tcPr>
            <w:tcW w:w="541"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1117"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0,34</w:t>
            </w:r>
          </w:p>
        </w:tc>
        <w:tc>
          <w:tcPr>
            <w:tcW w:w="1115"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1112" w:type="pct"/>
            <w:tcBorders>
              <w:top w:val="single" w:sz="4" w:space="0" w:color="auto"/>
              <w:left w:val="single" w:sz="4" w:space="0" w:color="auto"/>
              <w:bottom w:val="single" w:sz="4" w:space="0" w:color="auto"/>
              <w:right w:val="single" w:sz="4" w:space="0" w:color="auto"/>
            </w:tcBorders>
          </w:tcPr>
          <w:p w:rsidR="005228B3" w:rsidRPr="0066263B" w:rsidRDefault="005228B3" w:rsidP="005228B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0,34</w:t>
            </w:r>
          </w:p>
        </w:tc>
      </w:tr>
      <w:tr w:rsidR="00944DE4" w:rsidRPr="0066263B" w:rsidTr="005228B3">
        <w:trPr>
          <w:trHeight w:val="179"/>
        </w:trPr>
        <w:tc>
          <w:tcPr>
            <w:tcW w:w="541" w:type="pct"/>
            <w:tcBorders>
              <w:top w:val="single" w:sz="4" w:space="0" w:color="auto"/>
              <w:left w:val="single" w:sz="4" w:space="0" w:color="auto"/>
              <w:bottom w:val="single" w:sz="4" w:space="0" w:color="auto"/>
              <w:right w:val="single" w:sz="4" w:space="0" w:color="auto"/>
            </w:tcBorders>
          </w:tcPr>
          <w:p w:rsidR="00944DE4" w:rsidRPr="0066263B" w:rsidRDefault="00944DE4" w:rsidP="005228B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1115" w:type="pct"/>
            <w:tcBorders>
              <w:top w:val="single" w:sz="4" w:space="0" w:color="auto"/>
              <w:left w:val="single" w:sz="4" w:space="0" w:color="auto"/>
              <w:bottom w:val="single" w:sz="4" w:space="0" w:color="auto"/>
              <w:right w:val="single" w:sz="4" w:space="0" w:color="auto"/>
            </w:tcBorders>
          </w:tcPr>
          <w:p w:rsidR="00944DE4" w:rsidRPr="0066263B" w:rsidRDefault="00944DE4" w:rsidP="006B6CE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1117" w:type="pct"/>
            <w:tcBorders>
              <w:top w:val="single" w:sz="4" w:space="0" w:color="auto"/>
              <w:left w:val="single" w:sz="4" w:space="0" w:color="auto"/>
              <w:bottom w:val="single" w:sz="4" w:space="0" w:color="auto"/>
              <w:right w:val="single" w:sz="4" w:space="0" w:color="auto"/>
            </w:tcBorders>
          </w:tcPr>
          <w:p w:rsidR="00944DE4" w:rsidRPr="0066263B" w:rsidRDefault="00944DE4" w:rsidP="006B6CE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0,84</w:t>
            </w:r>
          </w:p>
        </w:tc>
        <w:tc>
          <w:tcPr>
            <w:tcW w:w="1115" w:type="pct"/>
            <w:tcBorders>
              <w:top w:val="single" w:sz="4" w:space="0" w:color="auto"/>
              <w:left w:val="single" w:sz="4" w:space="0" w:color="auto"/>
              <w:bottom w:val="single" w:sz="4" w:space="0" w:color="auto"/>
              <w:right w:val="single" w:sz="4" w:space="0" w:color="auto"/>
            </w:tcBorders>
          </w:tcPr>
          <w:p w:rsidR="00944DE4" w:rsidRPr="0066263B" w:rsidRDefault="00944DE4" w:rsidP="006B6CE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1112" w:type="pct"/>
            <w:tcBorders>
              <w:top w:val="single" w:sz="4" w:space="0" w:color="auto"/>
              <w:left w:val="single" w:sz="4" w:space="0" w:color="auto"/>
              <w:bottom w:val="single" w:sz="4" w:space="0" w:color="auto"/>
              <w:right w:val="single" w:sz="4" w:space="0" w:color="auto"/>
            </w:tcBorders>
          </w:tcPr>
          <w:p w:rsidR="00944DE4" w:rsidRPr="0066263B" w:rsidRDefault="00944DE4" w:rsidP="006B6CE9">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0,84</w:t>
            </w:r>
          </w:p>
        </w:tc>
      </w:tr>
    </w:tbl>
    <w:p w:rsidR="005228B3" w:rsidRPr="0066263B" w:rsidRDefault="005228B3" w:rsidP="00324483">
      <w:pPr>
        <w:spacing w:before="0" w:after="0"/>
        <w:ind w:firstLine="709"/>
        <w:rPr>
          <w:rFonts w:ascii="Times New Roman" w:eastAsia="Times New Roman" w:hAnsi="Times New Roman" w:cs="Times New Roman"/>
          <w:sz w:val="24"/>
          <w:szCs w:val="24"/>
          <w:lang w:eastAsia="ru-RU"/>
        </w:rPr>
      </w:pPr>
    </w:p>
    <w:p w:rsidR="006B6CE9" w:rsidRPr="0066263B" w:rsidRDefault="006B6CE9" w:rsidP="006B6CE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зарегистрирован 1 летальный исход (2020 – летальных исходов не зарегистрировано).</w:t>
      </w:r>
    </w:p>
    <w:p w:rsidR="006B6CE9" w:rsidRPr="0066263B" w:rsidRDefault="006B6CE9" w:rsidP="006B6CE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Среди всех заболевших в 2021 году:</w:t>
      </w:r>
    </w:p>
    <w:p w:rsidR="006B6CE9" w:rsidRPr="0066263B" w:rsidRDefault="006B6CE9" w:rsidP="00BE7104">
      <w:pPr>
        <w:pStyle w:val="aff9"/>
        <w:numPr>
          <w:ilvl w:val="0"/>
          <w:numId w:val="70"/>
        </w:numPr>
        <w:ind w:left="1134" w:hanging="141"/>
      </w:pPr>
      <w:r w:rsidRPr="0066263B">
        <w:t>дети до 1 года – 2 сл.,</w:t>
      </w:r>
    </w:p>
    <w:p w:rsidR="006B6CE9" w:rsidRPr="0066263B" w:rsidRDefault="006B6CE9" w:rsidP="00BE7104">
      <w:pPr>
        <w:pStyle w:val="aff9"/>
        <w:numPr>
          <w:ilvl w:val="0"/>
          <w:numId w:val="70"/>
        </w:numPr>
        <w:ind w:left="1134" w:hanging="141"/>
      </w:pPr>
      <w:r w:rsidRPr="0066263B">
        <w:t>1-2 года – 2</w:t>
      </w:r>
      <w:r w:rsidR="001E7FBE">
        <w:t xml:space="preserve"> </w:t>
      </w:r>
      <w:r w:rsidRPr="0066263B">
        <w:t>сл.,</w:t>
      </w:r>
    </w:p>
    <w:p w:rsidR="006B6CE9" w:rsidRPr="0066263B" w:rsidRDefault="006B6CE9" w:rsidP="00BE7104">
      <w:pPr>
        <w:pStyle w:val="aff9"/>
        <w:numPr>
          <w:ilvl w:val="0"/>
          <w:numId w:val="70"/>
        </w:numPr>
        <w:ind w:left="1134" w:hanging="141"/>
      </w:pPr>
      <w:r w:rsidRPr="0066263B">
        <w:t>дети 3-6 лет – 3 сл.,</w:t>
      </w:r>
    </w:p>
    <w:p w:rsidR="006B6CE9" w:rsidRPr="0066263B" w:rsidRDefault="006B6CE9" w:rsidP="00BE7104">
      <w:pPr>
        <w:pStyle w:val="aff9"/>
        <w:numPr>
          <w:ilvl w:val="0"/>
          <w:numId w:val="70"/>
        </w:numPr>
        <w:ind w:left="1134" w:hanging="141"/>
      </w:pPr>
      <w:r w:rsidRPr="0066263B">
        <w:t>дети 15-17 лет – 2 сл.,</w:t>
      </w:r>
    </w:p>
    <w:p w:rsidR="006B6CE9" w:rsidRPr="0066263B" w:rsidRDefault="006B6CE9" w:rsidP="00BE7104">
      <w:pPr>
        <w:pStyle w:val="aff9"/>
        <w:numPr>
          <w:ilvl w:val="0"/>
          <w:numId w:val="70"/>
        </w:numPr>
        <w:ind w:left="1134" w:hanging="141"/>
      </w:pPr>
      <w:r w:rsidRPr="0066263B">
        <w:t>взрослые – 1 сл.</w:t>
      </w:r>
    </w:p>
    <w:p w:rsidR="006B6CE9" w:rsidRPr="0066263B" w:rsidRDefault="006B6CE9" w:rsidP="006B6CE9">
      <w:pPr>
        <w:spacing w:before="0" w:after="0"/>
        <w:ind w:firstLine="709"/>
        <w:rPr>
          <w:rFonts w:ascii="Times New Roman" w:eastAsia="Times New Roman" w:hAnsi="Times New Roman" w:cs="Times New Roman"/>
          <w:sz w:val="24"/>
          <w:szCs w:val="24"/>
          <w:lang w:eastAsia="ru-RU"/>
        </w:rPr>
      </w:pPr>
    </w:p>
    <w:p w:rsidR="006B6CE9" w:rsidRPr="0066263B" w:rsidRDefault="006B6CE9" w:rsidP="006B6CE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Городские жители </w:t>
      </w:r>
      <w:r w:rsidR="00837D8E"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80% (8</w:t>
      </w:r>
      <w:r w:rsidR="001E7FBE">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сл.), сельские – 20% (2 сл.)</w:t>
      </w:r>
      <w:r w:rsidR="00837D8E">
        <w:rPr>
          <w:rFonts w:ascii="Times New Roman" w:eastAsia="Times New Roman" w:hAnsi="Times New Roman" w:cs="Times New Roman"/>
          <w:sz w:val="24"/>
          <w:szCs w:val="24"/>
          <w:lang w:eastAsia="ru-RU"/>
        </w:rPr>
        <w:t>.</w:t>
      </w:r>
    </w:p>
    <w:p w:rsidR="001C01FD" w:rsidRPr="0066263B" w:rsidRDefault="001C01FD" w:rsidP="00324483">
      <w:pPr>
        <w:spacing w:before="0" w:after="0"/>
        <w:ind w:firstLine="709"/>
        <w:rPr>
          <w:rFonts w:ascii="Times New Roman" w:eastAsia="Times New Roman" w:hAnsi="Times New Roman" w:cs="Times New Roman"/>
          <w:sz w:val="24"/>
          <w:szCs w:val="24"/>
          <w:lang w:eastAsia="ru-RU"/>
        </w:rPr>
      </w:pPr>
    </w:p>
    <w:p w:rsidR="006B6CE9" w:rsidRPr="0066263B" w:rsidRDefault="006B6CE9" w:rsidP="006B6CE9">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2495136"/>
            <wp:effectExtent l="0" t="0" r="0" b="0"/>
            <wp:docPr id="4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B6CE9" w:rsidRPr="0066263B" w:rsidRDefault="006B6CE9"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69</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менингококковой инфекцией, на 100 тыс.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
          <w:bCs/>
          <w:i/>
          <w:sz w:val="24"/>
          <w:szCs w:val="24"/>
        </w:rPr>
      </w:pPr>
      <w:r w:rsidRPr="0066263B">
        <w:rPr>
          <w:rFonts w:ascii="Times New Roman" w:eastAsia="TimesNewRomanPS-BoldMT" w:hAnsi="Times New Roman" w:cs="Times New Roman"/>
          <w:b/>
          <w:bCs/>
          <w:i/>
          <w:sz w:val="24"/>
          <w:szCs w:val="24"/>
        </w:rPr>
        <w:t>Вирусные гепатиты</w:t>
      </w:r>
    </w:p>
    <w:p w:rsidR="00324483" w:rsidRPr="0066263B" w:rsidRDefault="00324483" w:rsidP="00324483">
      <w:pPr>
        <w:spacing w:before="0" w:after="0"/>
        <w:jc w:val="center"/>
        <w:rPr>
          <w:rFonts w:ascii="Times New Roman" w:eastAsia="Times New Roman" w:hAnsi="Times New Roman" w:cs="Times New Roman"/>
          <w:bCs/>
          <w:i/>
          <w:sz w:val="24"/>
          <w:szCs w:val="24"/>
          <w:lang w:eastAsia="ru-RU"/>
        </w:rPr>
      </w:pPr>
    </w:p>
    <w:p w:rsidR="00324483" w:rsidRPr="0066263B" w:rsidRDefault="00324483" w:rsidP="00324483">
      <w:pPr>
        <w:spacing w:before="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Вирусный гепатит</w:t>
      </w:r>
      <w:proofErr w:type="gramStart"/>
      <w:r w:rsidRPr="0066263B">
        <w:rPr>
          <w:rFonts w:ascii="Times New Roman" w:eastAsia="Times New Roman" w:hAnsi="Times New Roman" w:cs="Times New Roman"/>
          <w:bCs/>
          <w:i/>
          <w:sz w:val="24"/>
          <w:szCs w:val="24"/>
          <w:lang w:eastAsia="ru-RU"/>
        </w:rPr>
        <w:t xml:space="preserve"> А</w:t>
      </w:r>
      <w:proofErr w:type="gramEnd"/>
    </w:p>
    <w:p w:rsidR="006B6CE9" w:rsidRPr="0066263B" w:rsidRDefault="006B6CE9" w:rsidP="006B6CE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 Брянской области сохраняется высокий уровень заболеваемости вирусном гепатитом</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 xml:space="preserve"> (далее – ВГА). Зарегистрировано 352 случая или 29,4 на 100 тысяч населения, что на 19% меньше уровня заболеваемости 2020 года (415 сл. или 34,9 на 100 тыс. нас.) и выше среднего по РФ в 20,6 раза (1,43 на 100 тыс. нас).</w:t>
      </w:r>
    </w:p>
    <w:p w:rsidR="006B6CE9" w:rsidRPr="0066263B" w:rsidRDefault="006B6CE9" w:rsidP="006B6CE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Из них 57,4% от всех случаев заболеваний ВГА зарегистрировано среди жителей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Брянска, 20,7% – Брянский район, 9,7% – Дятьковский район.</w:t>
      </w:r>
    </w:p>
    <w:p w:rsidR="006B6CE9" w:rsidRPr="0066263B" w:rsidRDefault="006B6CE9" w:rsidP="006B6CE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Также случаи заболевания ВГА регистрировались ещё в 11 районах и муниципальных образованиях Брянской области, превышение среднеобластных показателей отмечается в Брянском районе – в 4,3 раза, в г. Брянске – в 1,6 раза, в г. Сельцо – </w:t>
      </w:r>
      <w:proofErr w:type="gramStart"/>
      <w:r w:rsidRPr="0066263B">
        <w:rPr>
          <w:rFonts w:ascii="Times New Roman" w:eastAsia="Times New Roman" w:hAnsi="Times New Roman" w:cs="Times New Roman"/>
          <w:sz w:val="24"/>
          <w:szCs w:val="24"/>
          <w:lang w:eastAsia="ru-RU"/>
        </w:rPr>
        <w:t>на</w:t>
      </w:r>
      <w:proofErr w:type="gramEnd"/>
      <w:r w:rsidRPr="0066263B">
        <w:rPr>
          <w:rFonts w:ascii="Times New Roman" w:eastAsia="Times New Roman" w:hAnsi="Times New Roman" w:cs="Times New Roman"/>
          <w:sz w:val="24"/>
          <w:szCs w:val="24"/>
          <w:lang w:eastAsia="ru-RU"/>
        </w:rPr>
        <w:t xml:space="preserve"> 14%.</w:t>
      </w:r>
    </w:p>
    <w:p w:rsidR="006B6CE9" w:rsidRPr="0066263B" w:rsidRDefault="006B6CE9" w:rsidP="006B6CE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структуре заболевших на долю городских жителей приходится 251 случай или 30,3 на 100 тысяч населения, на сельское население – 101 случай или 27,4 на 100 тысяч населения. Доля ВГА в структуре вирусных гепатитов составила 95,6% (2020 – 97,4%).</w:t>
      </w:r>
    </w:p>
    <w:p w:rsidR="001C01FD" w:rsidRPr="0066263B" w:rsidRDefault="001C01FD"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83</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вирусным гепатитом</w:t>
      </w:r>
      <w:proofErr w:type="gramStart"/>
      <w:r w:rsidRPr="0066263B">
        <w:rPr>
          <w:rFonts w:ascii="Times New Roman" w:eastAsia="Times New Roman" w:hAnsi="Times New Roman" w:cs="Times New Roman"/>
          <w:b/>
          <w:lang w:eastAsia="ru-RU"/>
        </w:rPr>
        <w:t xml:space="preserve"> А</w:t>
      </w:r>
      <w:proofErr w:type="gramEnd"/>
    </w:p>
    <w:p w:rsidR="006B6CE9" w:rsidRPr="0066263B" w:rsidRDefault="006B6CE9" w:rsidP="00324483">
      <w:pPr>
        <w:spacing w:before="0" w:after="0"/>
        <w:jc w:val="center"/>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1046"/>
        <w:gridCol w:w="797"/>
        <w:gridCol w:w="1047"/>
        <w:gridCol w:w="802"/>
        <w:gridCol w:w="1046"/>
        <w:gridCol w:w="823"/>
        <w:gridCol w:w="1046"/>
        <w:gridCol w:w="823"/>
        <w:gridCol w:w="1046"/>
      </w:tblGrid>
      <w:tr w:rsidR="006B6CE9" w:rsidRPr="0066263B" w:rsidTr="001C01FD">
        <w:tc>
          <w:tcPr>
            <w:tcW w:w="999" w:type="pct"/>
            <w:gridSpan w:val="2"/>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993" w:type="pct"/>
            <w:gridSpan w:val="2"/>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995" w:type="pct"/>
            <w:gridSpan w:val="2"/>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006" w:type="pct"/>
            <w:gridSpan w:val="2"/>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006" w:type="pct"/>
            <w:gridSpan w:val="2"/>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6B6CE9" w:rsidRPr="0066263B" w:rsidTr="001C01FD">
        <w:tc>
          <w:tcPr>
            <w:tcW w:w="436"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6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29"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64"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32"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6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4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6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c>
          <w:tcPr>
            <w:tcW w:w="44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абс.</w:t>
            </w:r>
          </w:p>
        </w:tc>
        <w:tc>
          <w:tcPr>
            <w:tcW w:w="563" w:type="pct"/>
            <w:tcBorders>
              <w:top w:val="nil"/>
              <w:left w:val="single" w:sz="4" w:space="0" w:color="auto"/>
              <w:bottom w:val="single" w:sz="4" w:space="0" w:color="auto"/>
              <w:right w:val="single" w:sz="4" w:space="0" w:color="auto"/>
            </w:tcBorders>
            <w:vAlign w:val="center"/>
          </w:tcPr>
          <w:p w:rsidR="006B6CE9" w:rsidRPr="0066263B" w:rsidRDefault="006B6CE9" w:rsidP="001C01FD">
            <w:pPr>
              <w:tabs>
                <w:tab w:val="left" w:pos="0"/>
                <w:tab w:val="left" w:pos="8931"/>
                <w:tab w:val="left" w:pos="9639"/>
              </w:tabs>
              <w:spacing w:before="20" w:after="20"/>
              <w:jc w:val="center"/>
              <w:rPr>
                <w:rFonts w:ascii="Times New Roman" w:eastAsia="Times New Roman" w:hAnsi="Times New Roman" w:cs="Times New Roman"/>
                <w:b/>
                <w:i/>
                <w:sz w:val="20"/>
                <w:szCs w:val="20"/>
                <w:lang w:eastAsia="ru-RU"/>
              </w:rPr>
            </w:pPr>
            <w:r w:rsidRPr="0066263B">
              <w:rPr>
                <w:rFonts w:ascii="Times New Roman" w:eastAsia="Times New Roman" w:hAnsi="Times New Roman" w:cs="Times New Roman"/>
                <w:b/>
                <w:i/>
                <w:sz w:val="20"/>
                <w:szCs w:val="20"/>
                <w:lang w:eastAsia="ru-RU"/>
              </w:rPr>
              <w:t>на 100</w:t>
            </w:r>
            <w:r w:rsidRPr="0066263B">
              <w:rPr>
                <w:rFonts w:ascii="Times New Roman" w:eastAsia="Times New Roman" w:hAnsi="Times New Roman" w:cs="Times New Roman"/>
                <w:b/>
                <w:i/>
                <w:sz w:val="20"/>
                <w:szCs w:val="20"/>
                <w:lang w:eastAsia="ru-RU"/>
              </w:rPr>
              <w:br/>
              <w:t>тыс</w:t>
            </w:r>
            <w:proofErr w:type="gramStart"/>
            <w:r w:rsidRPr="0066263B">
              <w:rPr>
                <w:rFonts w:ascii="Times New Roman" w:eastAsia="Times New Roman" w:hAnsi="Times New Roman" w:cs="Times New Roman"/>
                <w:b/>
                <w:i/>
                <w:sz w:val="20"/>
                <w:szCs w:val="20"/>
                <w:lang w:eastAsia="ru-RU"/>
              </w:rPr>
              <w:t>.н</w:t>
            </w:r>
            <w:proofErr w:type="gramEnd"/>
            <w:r w:rsidRPr="0066263B">
              <w:rPr>
                <w:rFonts w:ascii="Times New Roman" w:eastAsia="Times New Roman" w:hAnsi="Times New Roman" w:cs="Times New Roman"/>
                <w:b/>
                <w:i/>
                <w:sz w:val="20"/>
                <w:szCs w:val="20"/>
                <w:lang w:eastAsia="ru-RU"/>
              </w:rPr>
              <w:t>ас.</w:t>
            </w:r>
          </w:p>
        </w:tc>
      </w:tr>
      <w:tr w:rsidR="006B6CE9" w:rsidRPr="0066263B" w:rsidTr="006B6CE9">
        <w:tc>
          <w:tcPr>
            <w:tcW w:w="436"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w:t>
            </w:r>
          </w:p>
        </w:tc>
        <w:tc>
          <w:tcPr>
            <w:tcW w:w="56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1,97</w:t>
            </w:r>
          </w:p>
        </w:tc>
        <w:tc>
          <w:tcPr>
            <w:tcW w:w="429"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29</w:t>
            </w:r>
          </w:p>
        </w:tc>
        <w:tc>
          <w:tcPr>
            <w:tcW w:w="564"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2,40</w:t>
            </w:r>
          </w:p>
        </w:tc>
        <w:tc>
          <w:tcPr>
            <w:tcW w:w="432"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w:t>
            </w:r>
          </w:p>
        </w:tc>
        <w:tc>
          <w:tcPr>
            <w:tcW w:w="56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2,58</w:t>
            </w:r>
          </w:p>
        </w:tc>
        <w:tc>
          <w:tcPr>
            <w:tcW w:w="44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415</w:t>
            </w:r>
          </w:p>
        </w:tc>
        <w:tc>
          <w:tcPr>
            <w:tcW w:w="56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34,93</w:t>
            </w:r>
          </w:p>
        </w:tc>
        <w:tc>
          <w:tcPr>
            <w:tcW w:w="44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352</w:t>
            </w:r>
          </w:p>
        </w:tc>
        <w:tc>
          <w:tcPr>
            <w:tcW w:w="563" w:type="pct"/>
            <w:tcBorders>
              <w:top w:val="single" w:sz="4" w:space="0" w:color="auto"/>
              <w:left w:val="single" w:sz="4" w:space="0" w:color="auto"/>
              <w:bottom w:val="single" w:sz="4" w:space="0" w:color="auto"/>
              <w:right w:val="single" w:sz="4" w:space="0" w:color="auto"/>
            </w:tcBorders>
            <w:vAlign w:val="center"/>
          </w:tcPr>
          <w:p w:rsidR="006B6CE9" w:rsidRPr="0066263B" w:rsidRDefault="006B6CE9" w:rsidP="006B6CE9">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29,4</w:t>
            </w:r>
          </w:p>
        </w:tc>
      </w:tr>
    </w:tbl>
    <w:p w:rsidR="006B6CE9" w:rsidRPr="0066263B" w:rsidRDefault="006B6CE9" w:rsidP="006B6CE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Рост заболеваемости ВГА начался в 2020 году в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Брянске с конца августа, начала сентября среди жителей Володарского района.</w:t>
      </w:r>
    </w:p>
    <w:p w:rsidR="006B6CE9" w:rsidRPr="0066263B" w:rsidRDefault="006B6CE9" w:rsidP="00324483">
      <w:pPr>
        <w:spacing w:before="0" w:after="0"/>
        <w:ind w:firstLine="709"/>
        <w:rPr>
          <w:rFonts w:ascii="Times New Roman" w:eastAsia="Times New Roman" w:hAnsi="Times New Roman" w:cs="Times New Roman"/>
          <w:sz w:val="24"/>
          <w:szCs w:val="24"/>
          <w:lang w:eastAsia="ru-RU"/>
        </w:rPr>
      </w:pPr>
    </w:p>
    <w:p w:rsidR="001C01FD" w:rsidRPr="0066263B" w:rsidRDefault="000573FF" w:rsidP="000573FF">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512435" cy="3252470"/>
            <wp:effectExtent l="0" t="0" r="0" b="0"/>
            <wp:docPr id="4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B4872" w:rsidRPr="0066263B" w:rsidRDefault="00DB4872"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70</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вирусным гепатитом</w:t>
      </w:r>
      <w:proofErr w:type="gramStart"/>
      <w:r w:rsidRPr="0066263B">
        <w:rPr>
          <w:rFonts w:ascii="Times New Roman" w:eastAsia="Times New Roman" w:hAnsi="Times New Roman" w:cs="Times New Roman"/>
          <w:lang w:eastAsia="ru-RU"/>
        </w:rPr>
        <w:t xml:space="preserve"> А</w:t>
      </w:r>
      <w:proofErr w:type="gramEnd"/>
      <w:r w:rsidRPr="0066263B">
        <w:rPr>
          <w:rFonts w:ascii="Times New Roman" w:eastAsia="Times New Roman" w:hAnsi="Times New Roman" w:cs="Times New Roman"/>
          <w:lang w:eastAsia="ru-RU"/>
        </w:rPr>
        <w:t>, на 100 тыс.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0573FF" w:rsidRPr="0066263B" w:rsidRDefault="000573FF" w:rsidP="000573F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возрастной структуре заболеваемости ВГА доля детского населения в возрасте до 17 лет составила 61,1%, зарегистрировано 215 случаев. Причём, наиболее поражённой группой среди детского населения являются школьники в возрасте 7-14 лет – 39,2% от всей заболеваемости ВГА (138 сл. или 131,4 на 100 тыс. нас.).</w:t>
      </w:r>
    </w:p>
    <w:p w:rsidR="000573FF" w:rsidRDefault="000573FF" w:rsidP="000573F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Реализация водного пути передачи вследствие употребления воды из централизованных систем водоснабжения не подтверждается результатами лабораторных испытаний проб воды, отобранных в очагах инфекции в ходе проведения эпидемиологических обследований. Вместе с тем следует отметить недостаточный объём и несвоевременное проведение противоэпидемических мероприятий. </w:t>
      </w:r>
      <w:proofErr w:type="gramStart"/>
      <w:r w:rsidRPr="0066263B">
        <w:rPr>
          <w:rFonts w:ascii="Times New Roman" w:eastAsia="Times New Roman" w:hAnsi="Times New Roman" w:cs="Times New Roman"/>
          <w:sz w:val="24"/>
          <w:szCs w:val="24"/>
          <w:lang w:eastAsia="ru-RU"/>
        </w:rPr>
        <w:t>Так в 2021 году</w:t>
      </w:r>
      <w:r w:rsidR="00837D8E">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в целом по Брянской области привито против ВГА 304 человека (контактные в очагах), в том числе 228 детей.</w:t>
      </w:r>
      <w:proofErr w:type="gramEnd"/>
      <w:r w:rsidRPr="0066263B">
        <w:rPr>
          <w:rFonts w:ascii="Times New Roman" w:eastAsia="Times New Roman" w:hAnsi="Times New Roman" w:cs="Times New Roman"/>
          <w:sz w:val="24"/>
          <w:szCs w:val="24"/>
          <w:lang w:eastAsia="ru-RU"/>
        </w:rPr>
        <w:t xml:space="preserve"> Проведённый объём профилактических прививок в очагах ВГА не мог радикально повлиять на эпидемиологическую ситуацию, о чём свидетельствует уровень заболеваемости. Одной из причин низкого охвата населения профилактическими прививками против ВГА является отказ от вакцинации.</w:t>
      </w:r>
    </w:p>
    <w:p w:rsidR="001E7FBE" w:rsidRDefault="001E7FBE" w:rsidP="000573FF">
      <w:pPr>
        <w:spacing w:before="0" w:after="0"/>
        <w:ind w:firstLine="709"/>
        <w:rPr>
          <w:rFonts w:ascii="Times New Roman" w:eastAsia="Times New Roman" w:hAnsi="Times New Roman" w:cs="Times New Roman"/>
          <w:sz w:val="24"/>
          <w:szCs w:val="24"/>
          <w:lang w:eastAsia="ru-RU"/>
        </w:rPr>
      </w:pPr>
    </w:p>
    <w:p w:rsidR="00837D8E" w:rsidRPr="0066263B" w:rsidRDefault="00837D8E" w:rsidP="000573FF">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Парентеральные гепатиты</w:t>
      </w:r>
    </w:p>
    <w:p w:rsidR="000573FF" w:rsidRPr="0066263B" w:rsidRDefault="000573FF" w:rsidP="000573F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Заболеваемость острым вирусным гепатитом</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xml:space="preserve"> (далее – ОВГВ) увеличилась на 5 случаев, в 2021 году зарегистрировано 8 случаев острого вирусного гепатита В или 0,67 на 100 тысяч населения (2020 – 3 сл. или 0,25 на 100 тыс. нас.). Заболеваемость острым вирусным гепатитом</w:t>
      </w:r>
      <w:proofErr w:type="gramStart"/>
      <w:r w:rsidRPr="0066263B">
        <w:rPr>
          <w:rFonts w:ascii="Times New Roman" w:eastAsia="Times New Roman" w:hAnsi="Times New Roman" w:cs="Times New Roman"/>
          <w:sz w:val="24"/>
          <w:szCs w:val="24"/>
          <w:lang w:eastAsia="ru-RU"/>
        </w:rPr>
        <w:t xml:space="preserve"> С</w:t>
      </w:r>
      <w:proofErr w:type="gramEnd"/>
      <w:r w:rsidRPr="0066263B">
        <w:rPr>
          <w:rFonts w:ascii="Times New Roman" w:eastAsia="Times New Roman" w:hAnsi="Times New Roman" w:cs="Times New Roman"/>
          <w:sz w:val="24"/>
          <w:szCs w:val="24"/>
          <w:lang w:eastAsia="ru-RU"/>
        </w:rPr>
        <w:t xml:space="preserve"> (далее – ОВГС) регистрировалась на уровне 2020 года – 4 случая.</w:t>
      </w:r>
    </w:p>
    <w:p w:rsidR="000573FF" w:rsidRPr="0066263B" w:rsidRDefault="000573FF" w:rsidP="000573F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заболевших – все взрослые старше 18 лет.</w:t>
      </w:r>
    </w:p>
    <w:p w:rsidR="000573FF" w:rsidRPr="0066263B" w:rsidRDefault="000573FF" w:rsidP="000573F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Случаи острого вирусного гепатита</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xml:space="preserve"> регистрировались на 5 административных территориях: г. Брянск – 4 случая, Брянский, Карачевский, Выгоничский</w:t>
      </w:r>
      <w:r w:rsidR="0030081A" w:rsidRPr="0066263B">
        <w:rPr>
          <w:rFonts w:ascii="Times New Roman" w:eastAsia="Times New Roman" w:hAnsi="Times New Roman" w:cs="Times New Roman"/>
          <w:sz w:val="24"/>
          <w:szCs w:val="24"/>
          <w:lang w:eastAsia="ru-RU"/>
        </w:rPr>
        <w:t xml:space="preserve"> и</w:t>
      </w:r>
      <w:r w:rsidRPr="0066263B">
        <w:rPr>
          <w:rFonts w:ascii="Times New Roman" w:eastAsia="Times New Roman" w:hAnsi="Times New Roman" w:cs="Times New Roman"/>
          <w:sz w:val="24"/>
          <w:szCs w:val="24"/>
          <w:lang w:eastAsia="ru-RU"/>
        </w:rPr>
        <w:t xml:space="preserve"> Навлинский районы – по 1 случаю заболевания.</w:t>
      </w:r>
    </w:p>
    <w:p w:rsidR="00324483" w:rsidRPr="0066263B" w:rsidRDefault="0030081A"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noProof/>
          <w:sz w:val="24"/>
          <w:szCs w:val="24"/>
          <w:lang w:eastAsia="ru-RU"/>
        </w:rPr>
        <w:lastRenderedPageBreak/>
        <w:drawing>
          <wp:inline distT="0" distB="0" distL="0" distR="0">
            <wp:extent cx="5759450" cy="4510413"/>
            <wp:effectExtent l="19050" t="0" r="0" b="0"/>
            <wp:docPr id="47"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324483"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00324483"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71</w:t>
      </w:r>
      <w:r w:rsidR="006C34E2" w:rsidRPr="0066263B">
        <w:rPr>
          <w:rFonts w:ascii="Times New Roman" w:eastAsia="Times New Roman" w:hAnsi="Times New Roman" w:cs="Times New Roman"/>
          <w:b/>
          <w:lang w:eastAsia="ru-RU"/>
        </w:rPr>
        <w:fldChar w:fldCharType="end"/>
      </w:r>
      <w:r w:rsidR="00324483" w:rsidRPr="0066263B">
        <w:rPr>
          <w:rFonts w:ascii="Times New Roman" w:eastAsia="Times New Roman" w:hAnsi="Times New Roman" w:cs="Times New Roman"/>
          <w:b/>
          <w:lang w:eastAsia="ru-RU"/>
        </w:rPr>
        <w:t>.</w:t>
      </w:r>
      <w:r w:rsidR="00324483" w:rsidRPr="0066263B">
        <w:rPr>
          <w:rFonts w:ascii="Times New Roman" w:eastAsia="Times New Roman" w:hAnsi="Times New Roman" w:cs="Times New Roman"/>
          <w:lang w:eastAsia="ru-RU"/>
        </w:rPr>
        <w:t xml:space="preserve"> Динамика заболеваемости острым и хроническим вирусным гепатитом</w:t>
      </w:r>
      <w:proofErr w:type="gramStart"/>
      <w:r w:rsidR="00324483" w:rsidRPr="0066263B">
        <w:rPr>
          <w:rFonts w:ascii="Times New Roman" w:eastAsia="Times New Roman" w:hAnsi="Times New Roman" w:cs="Times New Roman"/>
          <w:lang w:eastAsia="ru-RU"/>
        </w:rPr>
        <w:t xml:space="preserve"> В</w:t>
      </w:r>
      <w:proofErr w:type="gramEnd"/>
      <w:r w:rsidR="00324483" w:rsidRPr="0066263B">
        <w:rPr>
          <w:rFonts w:ascii="Times New Roman" w:eastAsia="Times New Roman" w:hAnsi="Times New Roman" w:cs="Times New Roman"/>
          <w:lang w:eastAsia="ru-RU"/>
        </w:rPr>
        <w:t>,</w:t>
      </w:r>
      <w:r w:rsidR="00324483" w:rsidRPr="0066263B">
        <w:rPr>
          <w:rFonts w:ascii="Times New Roman" w:eastAsia="Times New Roman" w:hAnsi="Times New Roman" w:cs="Times New Roman"/>
          <w:lang w:eastAsia="ru-RU"/>
        </w:rPr>
        <w:br/>
        <w:t>на 100 тыс. населения</w:t>
      </w:r>
    </w:p>
    <w:p w:rsidR="0039433E" w:rsidRPr="0066263B" w:rsidRDefault="0039433E" w:rsidP="0039433E">
      <w:pPr>
        <w:spacing w:before="0" w:after="0"/>
        <w:ind w:firstLine="709"/>
        <w:rPr>
          <w:rFonts w:ascii="Times New Roman" w:eastAsia="Times New Roman" w:hAnsi="Times New Roman" w:cs="Times New Roman"/>
          <w:sz w:val="24"/>
          <w:szCs w:val="24"/>
          <w:lang w:eastAsia="ru-RU"/>
        </w:rPr>
      </w:pPr>
    </w:p>
    <w:p w:rsidR="0039433E" w:rsidRPr="0066263B" w:rsidRDefault="0039433E" w:rsidP="0039433E">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течение последних 5 лет наблюдается снижение заболеваемости острым вирусным гепатитом</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максимальная заболеваемость была зарегистрирована в 2016 году (1,15 на 100 тыс. нас.).</w:t>
      </w:r>
    </w:p>
    <w:p w:rsidR="0039433E" w:rsidRPr="0066263B" w:rsidRDefault="0039433E" w:rsidP="0039433E">
      <w:pPr>
        <w:spacing w:before="0" w:after="0"/>
        <w:ind w:firstLine="709"/>
        <w:rPr>
          <w:rFonts w:ascii="Times New Roman" w:eastAsia="Times New Roman" w:hAnsi="Times New Roman" w:cs="Times New Roman"/>
          <w:sz w:val="24"/>
          <w:szCs w:val="24"/>
          <w:lang w:eastAsia="ru-RU"/>
        </w:rPr>
      </w:pPr>
    </w:p>
    <w:p w:rsidR="0039433E" w:rsidRPr="0066263B" w:rsidRDefault="0039433E" w:rsidP="0039433E">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84</w:t>
      </w:r>
      <w:r w:rsidR="006C34E2" w:rsidRPr="0066263B">
        <w:rPr>
          <w:rFonts w:ascii="Times New Roman" w:eastAsia="Calibri" w:hAnsi="Times New Roman" w:cs="Times New Roman"/>
        </w:rPr>
        <w:fldChar w:fldCharType="end"/>
      </w:r>
    </w:p>
    <w:p w:rsidR="0039433E" w:rsidRPr="0066263B" w:rsidRDefault="0039433E" w:rsidP="0039433E">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парентеральными вирусными гепатитами</w:t>
      </w:r>
    </w:p>
    <w:p w:rsidR="0039433E" w:rsidRPr="0066263B" w:rsidRDefault="0039433E" w:rsidP="0039433E">
      <w:pPr>
        <w:spacing w:before="0" w:after="0"/>
        <w:jc w:val="center"/>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9"/>
        <w:gridCol w:w="575"/>
        <w:gridCol w:w="967"/>
        <w:gridCol w:w="575"/>
        <w:gridCol w:w="968"/>
        <w:gridCol w:w="576"/>
        <w:gridCol w:w="968"/>
        <w:gridCol w:w="578"/>
        <w:gridCol w:w="968"/>
        <w:gridCol w:w="578"/>
        <w:gridCol w:w="964"/>
      </w:tblGrid>
      <w:tr w:rsidR="0039433E" w:rsidRPr="0066263B" w:rsidTr="008E3293">
        <w:trPr>
          <w:cantSplit/>
          <w:trHeight w:val="225"/>
        </w:trPr>
        <w:tc>
          <w:tcPr>
            <w:tcW w:w="845" w:type="pct"/>
            <w:vMerge w:val="restart"/>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rPr>
                <w:rFonts w:ascii="Times New Roman" w:eastAsia="Times New Roman" w:hAnsi="Times New Roman" w:cs="Times New Roman"/>
                <w:lang w:eastAsia="ru-RU"/>
              </w:rPr>
            </w:pPr>
          </w:p>
        </w:tc>
        <w:tc>
          <w:tcPr>
            <w:tcW w:w="830" w:type="pct"/>
            <w:gridSpan w:val="2"/>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831" w:type="pct"/>
            <w:gridSpan w:val="2"/>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831" w:type="pct"/>
            <w:gridSpan w:val="2"/>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832" w:type="pct"/>
            <w:gridSpan w:val="2"/>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830" w:type="pct"/>
            <w:gridSpan w:val="2"/>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39433E" w:rsidRPr="0066263B" w:rsidTr="008E3293">
        <w:trPr>
          <w:cantSplit/>
        </w:trPr>
        <w:tc>
          <w:tcPr>
            <w:tcW w:w="845" w:type="pct"/>
            <w:vMerge/>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rPr>
                <w:rFonts w:ascii="Times New Roman" w:eastAsia="Times New Roman" w:hAnsi="Times New Roman" w:cs="Times New Roman"/>
                <w:lang w:eastAsia="ru-RU"/>
              </w:rPr>
            </w:pP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абс.</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на 100 тыс</w:t>
            </w:r>
            <w:proofErr w:type="gramStart"/>
            <w:r w:rsidRPr="0066263B">
              <w:rPr>
                <w:rFonts w:ascii="Times New Roman" w:eastAsia="Times New Roman" w:hAnsi="Times New Roman" w:cs="Times New Roman"/>
                <w:b/>
                <w:i/>
                <w:sz w:val="19"/>
                <w:szCs w:val="19"/>
                <w:lang w:eastAsia="ru-RU"/>
              </w:rPr>
              <w:t>.н</w:t>
            </w:r>
            <w:proofErr w:type="gramEnd"/>
            <w:r w:rsidRPr="0066263B">
              <w:rPr>
                <w:rFonts w:ascii="Times New Roman" w:eastAsia="Times New Roman" w:hAnsi="Times New Roman" w:cs="Times New Roman"/>
                <w:b/>
                <w:i/>
                <w:sz w:val="19"/>
                <w:szCs w:val="19"/>
                <w:lang w:eastAsia="ru-RU"/>
              </w:rPr>
              <w:t>ас.</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абс.</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на 100 тыс</w:t>
            </w:r>
            <w:proofErr w:type="gramStart"/>
            <w:r w:rsidRPr="0066263B">
              <w:rPr>
                <w:rFonts w:ascii="Times New Roman" w:eastAsia="Times New Roman" w:hAnsi="Times New Roman" w:cs="Times New Roman"/>
                <w:b/>
                <w:i/>
                <w:sz w:val="19"/>
                <w:szCs w:val="19"/>
                <w:lang w:eastAsia="ru-RU"/>
              </w:rPr>
              <w:t>.н</w:t>
            </w:r>
            <w:proofErr w:type="gramEnd"/>
            <w:r w:rsidRPr="0066263B">
              <w:rPr>
                <w:rFonts w:ascii="Times New Roman" w:eastAsia="Times New Roman" w:hAnsi="Times New Roman" w:cs="Times New Roman"/>
                <w:b/>
                <w:i/>
                <w:sz w:val="19"/>
                <w:szCs w:val="19"/>
                <w:lang w:eastAsia="ru-RU"/>
              </w:rPr>
              <w:t>ас.</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абс.</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на 100 тыс</w:t>
            </w:r>
            <w:proofErr w:type="gramStart"/>
            <w:r w:rsidRPr="0066263B">
              <w:rPr>
                <w:rFonts w:ascii="Times New Roman" w:eastAsia="Times New Roman" w:hAnsi="Times New Roman" w:cs="Times New Roman"/>
                <w:b/>
                <w:i/>
                <w:sz w:val="19"/>
                <w:szCs w:val="19"/>
                <w:lang w:eastAsia="ru-RU"/>
              </w:rPr>
              <w:t>.н</w:t>
            </w:r>
            <w:proofErr w:type="gramEnd"/>
            <w:r w:rsidRPr="0066263B">
              <w:rPr>
                <w:rFonts w:ascii="Times New Roman" w:eastAsia="Times New Roman" w:hAnsi="Times New Roman" w:cs="Times New Roman"/>
                <w:b/>
                <w:i/>
                <w:sz w:val="19"/>
                <w:szCs w:val="19"/>
                <w:lang w:eastAsia="ru-RU"/>
              </w:rPr>
              <w:t>ас.</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абс.</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на 100 тыс</w:t>
            </w:r>
            <w:proofErr w:type="gramStart"/>
            <w:r w:rsidRPr="0066263B">
              <w:rPr>
                <w:rFonts w:ascii="Times New Roman" w:eastAsia="Times New Roman" w:hAnsi="Times New Roman" w:cs="Times New Roman"/>
                <w:b/>
                <w:i/>
                <w:sz w:val="19"/>
                <w:szCs w:val="19"/>
                <w:lang w:eastAsia="ru-RU"/>
              </w:rPr>
              <w:t>.н</w:t>
            </w:r>
            <w:proofErr w:type="gramEnd"/>
            <w:r w:rsidRPr="0066263B">
              <w:rPr>
                <w:rFonts w:ascii="Times New Roman" w:eastAsia="Times New Roman" w:hAnsi="Times New Roman" w:cs="Times New Roman"/>
                <w:b/>
                <w:i/>
                <w:sz w:val="19"/>
                <w:szCs w:val="19"/>
                <w:lang w:eastAsia="ru-RU"/>
              </w:rPr>
              <w:t>ас.</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абс.</w:t>
            </w:r>
          </w:p>
        </w:tc>
        <w:tc>
          <w:tcPr>
            <w:tcW w:w="519"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b/>
                <w:i/>
                <w:sz w:val="19"/>
                <w:szCs w:val="19"/>
                <w:lang w:eastAsia="ru-RU"/>
              </w:rPr>
            </w:pPr>
            <w:r w:rsidRPr="0066263B">
              <w:rPr>
                <w:rFonts w:ascii="Times New Roman" w:eastAsia="Times New Roman" w:hAnsi="Times New Roman" w:cs="Times New Roman"/>
                <w:b/>
                <w:i/>
                <w:sz w:val="19"/>
                <w:szCs w:val="19"/>
                <w:lang w:eastAsia="ru-RU"/>
              </w:rPr>
              <w:t>на 100 тыс</w:t>
            </w:r>
            <w:proofErr w:type="gramStart"/>
            <w:r w:rsidRPr="0066263B">
              <w:rPr>
                <w:rFonts w:ascii="Times New Roman" w:eastAsia="Times New Roman" w:hAnsi="Times New Roman" w:cs="Times New Roman"/>
                <w:b/>
                <w:i/>
                <w:sz w:val="19"/>
                <w:szCs w:val="19"/>
                <w:lang w:eastAsia="ru-RU"/>
              </w:rPr>
              <w:t>.н</w:t>
            </w:r>
            <w:proofErr w:type="gramEnd"/>
            <w:r w:rsidRPr="0066263B">
              <w:rPr>
                <w:rFonts w:ascii="Times New Roman" w:eastAsia="Times New Roman" w:hAnsi="Times New Roman" w:cs="Times New Roman"/>
                <w:b/>
                <w:i/>
                <w:sz w:val="19"/>
                <w:szCs w:val="19"/>
                <w:lang w:eastAsia="ru-RU"/>
              </w:rPr>
              <w:t>ас.</w:t>
            </w:r>
          </w:p>
        </w:tc>
      </w:tr>
      <w:tr w:rsidR="0039433E" w:rsidRPr="0066263B" w:rsidTr="008E3293">
        <w:trPr>
          <w:cantSplit/>
        </w:trPr>
        <w:tc>
          <w:tcPr>
            <w:tcW w:w="845" w:type="pct"/>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Острый</w:t>
            </w:r>
            <w:r w:rsidRPr="0066263B">
              <w:rPr>
                <w:rFonts w:ascii="Times New Roman" w:eastAsia="Times New Roman" w:hAnsi="Times New Roman" w:cs="Times New Roman"/>
                <w:lang w:eastAsia="ru-RU"/>
              </w:rPr>
              <w:br/>
              <w:t>ВГВ</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0,82</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0,58</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0,33</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0,25</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w:t>
            </w:r>
          </w:p>
        </w:tc>
        <w:tc>
          <w:tcPr>
            <w:tcW w:w="519"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0,67</w:t>
            </w:r>
          </w:p>
        </w:tc>
      </w:tr>
      <w:tr w:rsidR="0039433E" w:rsidRPr="0066263B" w:rsidTr="008E3293">
        <w:trPr>
          <w:cantSplit/>
          <w:trHeight w:val="299"/>
        </w:trPr>
        <w:tc>
          <w:tcPr>
            <w:tcW w:w="845" w:type="pct"/>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Острый</w:t>
            </w:r>
            <w:r w:rsidRPr="0066263B">
              <w:rPr>
                <w:rFonts w:ascii="Times New Roman" w:eastAsia="Times New Roman" w:hAnsi="Times New Roman" w:cs="Times New Roman"/>
                <w:lang w:eastAsia="ru-RU"/>
              </w:rPr>
              <w:br/>
              <w:t>ВГС</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1,89</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1,16</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0,58</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0,34</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519"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0,33</w:t>
            </w:r>
          </w:p>
        </w:tc>
      </w:tr>
      <w:tr w:rsidR="0039433E" w:rsidRPr="0066263B" w:rsidTr="008E3293">
        <w:trPr>
          <w:cantSplit/>
        </w:trPr>
        <w:tc>
          <w:tcPr>
            <w:tcW w:w="845" w:type="pct"/>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Хронический ВГВ</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79</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6,49</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4,05</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3,74</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1,09</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c>
          <w:tcPr>
            <w:tcW w:w="519"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1,25</w:t>
            </w:r>
          </w:p>
        </w:tc>
      </w:tr>
      <w:tr w:rsidR="0039433E" w:rsidRPr="0066263B" w:rsidTr="008E3293">
        <w:trPr>
          <w:cantSplit/>
        </w:trPr>
        <w:tc>
          <w:tcPr>
            <w:tcW w:w="845" w:type="pct"/>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720"/>
                <w:tab w:val="left" w:pos="8931"/>
                <w:tab w:val="left" w:pos="9639"/>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Хронический ВГС</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305</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25,06</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267</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22,09</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192</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15,95</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81</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6,82</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76</w:t>
            </w:r>
          </w:p>
        </w:tc>
        <w:tc>
          <w:tcPr>
            <w:tcW w:w="519"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6,35</w:t>
            </w:r>
          </w:p>
        </w:tc>
      </w:tr>
      <w:tr w:rsidR="0039433E" w:rsidRPr="0066263B" w:rsidTr="008E3293">
        <w:trPr>
          <w:cantSplit/>
        </w:trPr>
        <w:tc>
          <w:tcPr>
            <w:tcW w:w="845" w:type="pct"/>
            <w:tcBorders>
              <w:top w:val="single" w:sz="4" w:space="0" w:color="auto"/>
              <w:left w:val="single" w:sz="4" w:space="0" w:color="auto"/>
              <w:bottom w:val="single" w:sz="4" w:space="0" w:color="auto"/>
              <w:right w:val="single" w:sz="4" w:space="0" w:color="auto"/>
            </w:tcBorders>
          </w:tcPr>
          <w:p w:rsidR="0039433E" w:rsidRPr="0066263B" w:rsidRDefault="0039433E" w:rsidP="008E3293">
            <w:pPr>
              <w:tabs>
                <w:tab w:val="left" w:pos="8931"/>
                <w:tab w:val="left" w:pos="9639"/>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Носительство вирусного</w:t>
            </w:r>
            <w:r w:rsidRPr="0066263B">
              <w:rPr>
                <w:rFonts w:ascii="Times New Roman" w:eastAsia="Times New Roman" w:hAnsi="Times New Roman" w:cs="Times New Roman"/>
                <w:lang w:eastAsia="ru-RU"/>
              </w:rPr>
              <w:br/>
              <w:t>гепатита</w:t>
            </w:r>
            <w:proofErr w:type="gramStart"/>
            <w:r w:rsidRPr="0066263B">
              <w:rPr>
                <w:rFonts w:ascii="Times New Roman" w:eastAsia="Times New Roman" w:hAnsi="Times New Roman" w:cs="Times New Roman"/>
                <w:lang w:eastAsia="ru-RU"/>
              </w:rPr>
              <w:t xml:space="preserve"> В</w:t>
            </w:r>
            <w:proofErr w:type="gramEnd"/>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148</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12,16</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138</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11,42</w:t>
            </w:r>
          </w:p>
        </w:tc>
        <w:tc>
          <w:tcPr>
            <w:tcW w:w="310"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129</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10,72</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52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1,51</w:t>
            </w:r>
          </w:p>
        </w:tc>
        <w:tc>
          <w:tcPr>
            <w:tcW w:w="311"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19" w:type="pct"/>
            <w:tcBorders>
              <w:top w:val="single" w:sz="4" w:space="0" w:color="auto"/>
              <w:left w:val="single" w:sz="4" w:space="0" w:color="auto"/>
              <w:bottom w:val="single" w:sz="4" w:space="0" w:color="auto"/>
              <w:right w:val="single" w:sz="4" w:space="0" w:color="auto"/>
            </w:tcBorders>
            <w:vAlign w:val="center"/>
          </w:tcPr>
          <w:p w:rsidR="0039433E" w:rsidRPr="0066263B" w:rsidRDefault="0039433E" w:rsidP="008E3293">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39433E" w:rsidRPr="0066263B" w:rsidRDefault="0039433E" w:rsidP="0039433E">
      <w:pPr>
        <w:spacing w:before="0" w:after="0"/>
        <w:ind w:firstLine="709"/>
        <w:rPr>
          <w:rFonts w:ascii="Times New Roman" w:eastAsia="Times New Roman" w:hAnsi="Times New Roman" w:cs="Times New Roman"/>
          <w:sz w:val="24"/>
          <w:szCs w:val="24"/>
          <w:lang w:eastAsia="ru-RU"/>
        </w:rPr>
      </w:pPr>
    </w:p>
    <w:p w:rsidR="0039433E" w:rsidRPr="0066263B" w:rsidRDefault="0039433E" w:rsidP="0039433E">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Уровень заболеваемости хроническим вирусным гепатитом</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xml:space="preserve"> (далее – ХВГВ) за последние 5 лет снизился, максимальная заболеваемость была зарегистрирована в 2017 году и составила 6,49 на 100 тысяч населения.</w:t>
      </w:r>
    </w:p>
    <w:p w:rsidR="0039433E" w:rsidRPr="0066263B" w:rsidRDefault="0039433E" w:rsidP="0030081A">
      <w:pPr>
        <w:spacing w:before="0" w:after="0"/>
        <w:ind w:firstLine="709"/>
        <w:rPr>
          <w:rFonts w:ascii="Times New Roman" w:eastAsia="Times New Roman" w:hAnsi="Times New Roman" w:cs="Times New Roman"/>
          <w:sz w:val="24"/>
          <w:szCs w:val="24"/>
          <w:lang w:eastAsia="ru-RU"/>
        </w:rPr>
      </w:pPr>
    </w:p>
    <w:p w:rsidR="0030081A" w:rsidRPr="0066263B" w:rsidRDefault="0030081A" w:rsidP="0030081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Против вирусного гепатита</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в</w:t>
      </w:r>
      <w:proofErr w:type="spellEnd"/>
      <w:r w:rsidRPr="0066263B">
        <w:rPr>
          <w:rFonts w:ascii="Times New Roman" w:eastAsia="Times New Roman" w:hAnsi="Times New Roman" w:cs="Times New Roman"/>
          <w:sz w:val="24"/>
          <w:szCs w:val="24"/>
          <w:lang w:eastAsia="ru-RU"/>
        </w:rPr>
        <w:t xml:space="preserve"> 2021 году своевременно (к 12 месяцам) трёхкратную вакцинацию получили 98,0% детей (2020 – 96,4%). Дети и подростки 1-17 лет охвачены вакцинацией против вирусного гепатита</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xml:space="preserve"> на 99</w:t>
      </w:r>
      <w:r w:rsidR="005D765B">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w:t>
      </w:r>
    </w:p>
    <w:p w:rsidR="0030081A" w:rsidRPr="0066263B" w:rsidRDefault="0030081A" w:rsidP="0030081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итогам 2021 года показатель охвата по возрастной группе 18-35 лет составил 97,4%, 36-59 лет – 97,1%, 18-59 лет – 97,2%.</w:t>
      </w:r>
    </w:p>
    <w:p w:rsidR="0030081A" w:rsidRPr="0066263B" w:rsidRDefault="0030081A" w:rsidP="001C01FD">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85</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Показатели охвата профилактическими прививками против гепатита</w:t>
      </w:r>
      <w:proofErr w:type="gramStart"/>
      <w:r w:rsidRPr="0066263B">
        <w:rPr>
          <w:rFonts w:ascii="Times New Roman" w:eastAsia="Times New Roman" w:hAnsi="Times New Roman" w:cs="Times New Roman"/>
          <w:b/>
          <w:lang w:eastAsia="ru-RU"/>
        </w:rPr>
        <w:t xml:space="preserve"> В</w:t>
      </w:r>
      <w:proofErr w:type="gramEnd"/>
      <w:r w:rsidRPr="0066263B">
        <w:rPr>
          <w:rFonts w:ascii="Times New Roman" w:eastAsia="Times New Roman" w:hAnsi="Times New Roman" w:cs="Times New Roman"/>
          <w:b/>
          <w:lang w:eastAsia="ru-RU"/>
        </w:rPr>
        <w:t>, %</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183"/>
        <w:gridCol w:w="1183"/>
        <w:gridCol w:w="1183"/>
        <w:gridCol w:w="1183"/>
        <w:gridCol w:w="1183"/>
      </w:tblGrid>
      <w:tr w:rsidR="0030081A" w:rsidRPr="0066263B" w:rsidTr="0030081A">
        <w:trPr>
          <w:jc w:val="center"/>
        </w:trPr>
        <w:tc>
          <w:tcPr>
            <w:tcW w:w="3369" w:type="dxa"/>
            <w:vAlign w:val="center"/>
          </w:tcPr>
          <w:p w:rsidR="0030081A" w:rsidRPr="0066263B" w:rsidRDefault="0030081A" w:rsidP="001C01FD">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Возрастная группа</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183" w:type="dxa"/>
            <w:vAlign w:val="center"/>
          </w:tcPr>
          <w:p w:rsidR="0030081A" w:rsidRPr="0066263B" w:rsidRDefault="0030081A" w:rsidP="001C01FD">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30081A" w:rsidRPr="0066263B" w:rsidTr="0030081A">
        <w:trPr>
          <w:jc w:val="center"/>
        </w:trPr>
        <w:tc>
          <w:tcPr>
            <w:tcW w:w="3369" w:type="dxa"/>
          </w:tcPr>
          <w:p w:rsidR="0030081A" w:rsidRPr="0066263B" w:rsidRDefault="0030081A" w:rsidP="001C01FD">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год</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97,9</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97,8</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98,3</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96,5</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98,0</w:t>
            </w:r>
          </w:p>
        </w:tc>
      </w:tr>
      <w:tr w:rsidR="0030081A" w:rsidRPr="0066263B" w:rsidTr="0030081A">
        <w:trPr>
          <w:jc w:val="center"/>
        </w:trPr>
        <w:tc>
          <w:tcPr>
            <w:tcW w:w="3369" w:type="dxa"/>
          </w:tcPr>
          <w:p w:rsidR="0030081A" w:rsidRPr="0066263B" w:rsidRDefault="0030081A" w:rsidP="001C01FD">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 месяцев, своевременно</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96,7</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97,1</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98,2</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96,4</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96,2</w:t>
            </w:r>
          </w:p>
        </w:tc>
      </w:tr>
      <w:tr w:rsidR="0030081A" w:rsidRPr="0066263B" w:rsidTr="0030081A">
        <w:trPr>
          <w:jc w:val="center"/>
        </w:trPr>
        <w:tc>
          <w:tcPr>
            <w:tcW w:w="3369" w:type="dxa"/>
          </w:tcPr>
          <w:p w:rsidR="0030081A" w:rsidRPr="0066263B" w:rsidRDefault="0030081A" w:rsidP="001C01FD">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1-17 лет</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99,5</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99,0</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99,1</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96,6</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99,0</w:t>
            </w:r>
          </w:p>
        </w:tc>
      </w:tr>
      <w:tr w:rsidR="0030081A" w:rsidRPr="0066263B" w:rsidTr="0030081A">
        <w:trPr>
          <w:jc w:val="center"/>
        </w:trPr>
        <w:tc>
          <w:tcPr>
            <w:tcW w:w="3369" w:type="dxa"/>
          </w:tcPr>
          <w:p w:rsidR="0030081A" w:rsidRPr="0066263B" w:rsidRDefault="0030081A" w:rsidP="001C01FD">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18-35 лет</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98,1</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98,4</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98,5</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96,9</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97,4</w:t>
            </w:r>
          </w:p>
        </w:tc>
      </w:tr>
      <w:tr w:rsidR="0030081A" w:rsidRPr="0066263B" w:rsidTr="0030081A">
        <w:trPr>
          <w:jc w:val="center"/>
        </w:trPr>
        <w:tc>
          <w:tcPr>
            <w:tcW w:w="3369" w:type="dxa"/>
          </w:tcPr>
          <w:p w:rsidR="0030081A" w:rsidRPr="0066263B" w:rsidRDefault="0030081A" w:rsidP="001C01FD">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36-59 лет</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82,1</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82,9</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83,5</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97,0</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97,1</w:t>
            </w:r>
          </w:p>
        </w:tc>
      </w:tr>
      <w:tr w:rsidR="0030081A" w:rsidRPr="0066263B" w:rsidTr="0030081A">
        <w:trPr>
          <w:jc w:val="center"/>
        </w:trPr>
        <w:tc>
          <w:tcPr>
            <w:tcW w:w="3369" w:type="dxa"/>
          </w:tcPr>
          <w:p w:rsidR="0030081A" w:rsidRPr="0066263B" w:rsidRDefault="0030081A" w:rsidP="001C01FD">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18-59 лет</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90,1</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lang w:eastAsia="ru-RU"/>
              </w:rPr>
              <w:t>90,7</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91,0</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97,0</w:t>
            </w:r>
          </w:p>
        </w:tc>
        <w:tc>
          <w:tcPr>
            <w:tcW w:w="1183" w:type="dxa"/>
            <w:vAlign w:val="center"/>
          </w:tcPr>
          <w:p w:rsidR="0030081A" w:rsidRPr="0066263B" w:rsidRDefault="0030081A" w:rsidP="0030081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97,2</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0081A" w:rsidRPr="0066263B" w:rsidRDefault="0030081A" w:rsidP="0030081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 Брянской области зарегистрировано 4 случая острого вирусного гепатита</w:t>
      </w:r>
      <w:proofErr w:type="gramStart"/>
      <w:r w:rsidRPr="0066263B">
        <w:rPr>
          <w:rFonts w:ascii="Times New Roman" w:eastAsia="Times New Roman" w:hAnsi="Times New Roman" w:cs="Times New Roman"/>
          <w:sz w:val="24"/>
          <w:szCs w:val="24"/>
          <w:lang w:eastAsia="ru-RU"/>
        </w:rPr>
        <w:t xml:space="preserve"> С</w:t>
      </w:r>
      <w:proofErr w:type="gramEnd"/>
      <w:r w:rsidRPr="0066263B">
        <w:rPr>
          <w:rFonts w:ascii="Times New Roman" w:eastAsia="Times New Roman" w:hAnsi="Times New Roman" w:cs="Times New Roman"/>
          <w:sz w:val="24"/>
          <w:szCs w:val="24"/>
          <w:lang w:eastAsia="ru-RU"/>
        </w:rPr>
        <w:t xml:space="preserve">, показатель заболеваемости 0,33 на 100 тысяч населения, что на уровне заболеваемости 2020 года. Все заболевшие – взрослые старше 18 лет. Спорадическая заболеваемость регистрировалась на 3 административных территориях: в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xml:space="preserve">. Брянске – 2 случая, Брянском </w:t>
      </w:r>
      <w:r w:rsidR="008A1FF6" w:rsidRPr="0066263B">
        <w:rPr>
          <w:rFonts w:ascii="Times New Roman" w:eastAsia="Times New Roman" w:hAnsi="Times New Roman" w:cs="Times New Roman"/>
          <w:sz w:val="24"/>
          <w:szCs w:val="24"/>
          <w:lang w:eastAsia="ru-RU"/>
        </w:rPr>
        <w:t xml:space="preserve">и Выгоничском </w:t>
      </w:r>
      <w:r w:rsidRPr="0066263B">
        <w:rPr>
          <w:rFonts w:ascii="Times New Roman" w:eastAsia="Times New Roman" w:hAnsi="Times New Roman" w:cs="Times New Roman"/>
          <w:sz w:val="24"/>
          <w:szCs w:val="24"/>
          <w:lang w:eastAsia="ru-RU"/>
        </w:rPr>
        <w:t>район</w:t>
      </w:r>
      <w:r w:rsidR="008A1FF6" w:rsidRPr="0066263B">
        <w:rPr>
          <w:rFonts w:ascii="Times New Roman" w:eastAsia="Times New Roman" w:hAnsi="Times New Roman" w:cs="Times New Roman"/>
          <w:sz w:val="24"/>
          <w:szCs w:val="24"/>
          <w:lang w:eastAsia="ru-RU"/>
        </w:rPr>
        <w:t>ах</w:t>
      </w:r>
      <w:r w:rsidRPr="0066263B">
        <w:rPr>
          <w:rFonts w:ascii="Times New Roman" w:eastAsia="Times New Roman" w:hAnsi="Times New Roman" w:cs="Times New Roman"/>
          <w:sz w:val="24"/>
          <w:szCs w:val="24"/>
          <w:lang w:eastAsia="ru-RU"/>
        </w:rPr>
        <w:t xml:space="preserve"> – </w:t>
      </w:r>
      <w:r w:rsidR="008A1FF6" w:rsidRPr="0066263B">
        <w:rPr>
          <w:rFonts w:ascii="Times New Roman" w:eastAsia="Times New Roman" w:hAnsi="Times New Roman" w:cs="Times New Roman"/>
          <w:sz w:val="24"/>
          <w:szCs w:val="24"/>
          <w:lang w:eastAsia="ru-RU"/>
        </w:rPr>
        <w:t xml:space="preserve">по </w:t>
      </w:r>
      <w:r w:rsidRPr="0066263B">
        <w:rPr>
          <w:rFonts w:ascii="Times New Roman" w:eastAsia="Times New Roman" w:hAnsi="Times New Roman" w:cs="Times New Roman"/>
          <w:sz w:val="24"/>
          <w:szCs w:val="24"/>
          <w:lang w:eastAsia="ru-RU"/>
        </w:rPr>
        <w:t>1 сл</w:t>
      </w:r>
      <w:r w:rsidR="008A1FF6" w:rsidRPr="0066263B">
        <w:rPr>
          <w:rFonts w:ascii="Times New Roman" w:eastAsia="Times New Roman" w:hAnsi="Times New Roman" w:cs="Times New Roman"/>
          <w:sz w:val="24"/>
          <w:szCs w:val="24"/>
          <w:lang w:eastAsia="ru-RU"/>
        </w:rPr>
        <w:t>учаю</w:t>
      </w:r>
      <w:r w:rsidRPr="0066263B">
        <w:rPr>
          <w:rFonts w:ascii="Times New Roman" w:eastAsia="Times New Roman" w:hAnsi="Times New Roman" w:cs="Times New Roman"/>
          <w:sz w:val="24"/>
          <w:szCs w:val="24"/>
          <w:lang w:eastAsia="ru-RU"/>
        </w:rPr>
        <w:t>.</w:t>
      </w:r>
    </w:p>
    <w:p w:rsidR="001C01FD" w:rsidRPr="0066263B" w:rsidRDefault="001C01FD" w:rsidP="00324483">
      <w:pPr>
        <w:spacing w:before="0" w:after="0"/>
        <w:ind w:firstLine="709"/>
        <w:rPr>
          <w:rFonts w:ascii="Times New Roman" w:eastAsia="Times New Roman" w:hAnsi="Times New Roman" w:cs="Times New Roman"/>
          <w:sz w:val="24"/>
          <w:szCs w:val="24"/>
          <w:lang w:eastAsia="ru-RU"/>
        </w:rPr>
      </w:pPr>
    </w:p>
    <w:p w:rsidR="008A1FF6" w:rsidRPr="0066263B" w:rsidRDefault="008A1FF6" w:rsidP="008A1FF6">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6745" cy="3387255"/>
            <wp:effectExtent l="0" t="0" r="0" b="0"/>
            <wp:docPr id="59"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A1FF6" w:rsidRPr="0066263B" w:rsidRDefault="008A1FF6"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72</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острым и хроническим вирусным гепатитом</w:t>
      </w:r>
      <w:proofErr w:type="gramStart"/>
      <w:r w:rsidRPr="0066263B">
        <w:rPr>
          <w:rFonts w:ascii="Times New Roman" w:eastAsia="Times New Roman" w:hAnsi="Times New Roman" w:cs="Times New Roman"/>
          <w:lang w:eastAsia="ru-RU"/>
        </w:rPr>
        <w:t xml:space="preserve"> С</w:t>
      </w:r>
      <w:proofErr w:type="gramEnd"/>
      <w:r w:rsidRPr="0066263B">
        <w:rPr>
          <w:rFonts w:ascii="Times New Roman" w:eastAsia="Times New Roman" w:hAnsi="Times New Roman" w:cs="Times New Roman"/>
          <w:lang w:eastAsia="ru-RU"/>
        </w:rPr>
        <w:t>,</w:t>
      </w:r>
      <w:r w:rsidRPr="0066263B">
        <w:rPr>
          <w:rFonts w:ascii="Times New Roman" w:eastAsia="Times New Roman" w:hAnsi="Times New Roman" w:cs="Times New Roman"/>
          <w:lang w:eastAsia="ru-RU"/>
        </w:rPr>
        <w:br/>
        <w:t>на 100 тыс.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8A1FF6" w:rsidRPr="0066263B" w:rsidRDefault="008A1FF6" w:rsidP="008A1FF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2021 году заболеваемость хроническим вирусным гепатитом</w:t>
      </w:r>
      <w:proofErr w:type="gramStart"/>
      <w:r w:rsidRPr="0066263B">
        <w:rPr>
          <w:rFonts w:ascii="Times New Roman" w:eastAsia="Times New Roman" w:hAnsi="Times New Roman" w:cs="Times New Roman"/>
          <w:sz w:val="24"/>
          <w:szCs w:val="24"/>
          <w:lang w:eastAsia="ru-RU"/>
        </w:rPr>
        <w:t xml:space="preserve"> С</w:t>
      </w:r>
      <w:proofErr w:type="gramEnd"/>
      <w:r w:rsidRPr="0066263B">
        <w:rPr>
          <w:rFonts w:ascii="Times New Roman" w:eastAsia="Times New Roman" w:hAnsi="Times New Roman" w:cs="Times New Roman"/>
          <w:sz w:val="24"/>
          <w:szCs w:val="24"/>
          <w:lang w:eastAsia="ru-RU"/>
        </w:rPr>
        <w:t xml:space="preserve"> по сравнению с 2020 годом снизилась на 7% и составила 6,35 на 100 тысяч населения.</w:t>
      </w:r>
    </w:p>
    <w:p w:rsidR="001C01FD" w:rsidRPr="0066263B" w:rsidRDefault="008A1FF6" w:rsidP="008A1FF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75 заболевших (98,7%) – лица старше 18 лет, 1 – подросток в группе 15-17</w:t>
      </w:r>
      <w:r w:rsidR="005D765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лет (1,3%). Случаи хронического вирусного гепатита</w:t>
      </w:r>
      <w:proofErr w:type="gramStart"/>
      <w:r w:rsidRPr="0066263B">
        <w:rPr>
          <w:rFonts w:ascii="Times New Roman" w:eastAsia="Times New Roman" w:hAnsi="Times New Roman" w:cs="Times New Roman"/>
          <w:sz w:val="24"/>
          <w:szCs w:val="24"/>
          <w:lang w:eastAsia="ru-RU"/>
        </w:rPr>
        <w:t xml:space="preserve"> С</w:t>
      </w:r>
      <w:proofErr w:type="gramEnd"/>
      <w:r w:rsidRPr="0066263B">
        <w:rPr>
          <w:rFonts w:ascii="Times New Roman" w:eastAsia="Times New Roman" w:hAnsi="Times New Roman" w:cs="Times New Roman"/>
          <w:sz w:val="24"/>
          <w:szCs w:val="24"/>
          <w:lang w:eastAsia="ru-RU"/>
        </w:rPr>
        <w:t xml:space="preserve"> регистрировались на 14 административных территориях.</w:t>
      </w:r>
    </w:p>
    <w:p w:rsidR="008A1FF6" w:rsidRPr="0066263B" w:rsidRDefault="008A1FF6" w:rsidP="008A1FF6">
      <w:pPr>
        <w:spacing w:before="0" w:after="0"/>
        <w:ind w:firstLine="709"/>
        <w:rPr>
          <w:rFonts w:ascii="Times New Roman" w:eastAsia="Times New Roman" w:hAnsi="Times New Roman" w:cs="Times New Roman"/>
          <w:sz w:val="24"/>
          <w:szCs w:val="24"/>
          <w:lang w:eastAsia="ru-RU"/>
        </w:rPr>
      </w:pPr>
    </w:p>
    <w:p w:rsidR="0039433E" w:rsidRPr="0066263B" w:rsidRDefault="0039433E" w:rsidP="008A1FF6">
      <w:pPr>
        <w:spacing w:before="0" w:after="0"/>
        <w:ind w:firstLine="709"/>
        <w:rPr>
          <w:rFonts w:ascii="Times New Roman" w:eastAsia="Times New Roman" w:hAnsi="Times New Roman" w:cs="Times New Roman"/>
          <w:sz w:val="24"/>
          <w:szCs w:val="24"/>
          <w:lang w:eastAsia="ru-RU"/>
        </w:rPr>
      </w:pPr>
    </w:p>
    <w:p w:rsidR="008A1FF6" w:rsidRPr="0066263B" w:rsidRDefault="008A1FF6" w:rsidP="008A1FF6">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549900" cy="2615565"/>
            <wp:effectExtent l="0" t="0" r="0" b="0"/>
            <wp:docPr id="60"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A1FF6" w:rsidRPr="0066263B" w:rsidRDefault="008A1FF6" w:rsidP="008A1FF6">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73</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Носительство маркеров парентерального вирусного гепатита</w:t>
      </w:r>
      <w:proofErr w:type="gramStart"/>
      <w:r w:rsidRPr="0066263B">
        <w:rPr>
          <w:rFonts w:ascii="Times New Roman" w:eastAsia="Times New Roman" w:hAnsi="Times New Roman" w:cs="Times New Roman"/>
          <w:lang w:eastAsia="ru-RU"/>
        </w:rPr>
        <w:t xml:space="preserve"> В</w:t>
      </w:r>
      <w:proofErr w:type="gramEnd"/>
      <w:r w:rsidRPr="0066263B">
        <w:rPr>
          <w:rFonts w:ascii="Times New Roman" w:eastAsia="Times New Roman" w:hAnsi="Times New Roman" w:cs="Times New Roman"/>
          <w:lang w:eastAsia="ru-RU"/>
        </w:rPr>
        <w:t>,</w:t>
      </w:r>
      <w:r w:rsidRPr="0066263B">
        <w:rPr>
          <w:rFonts w:ascii="Times New Roman" w:eastAsia="Times New Roman" w:hAnsi="Times New Roman" w:cs="Times New Roman"/>
          <w:lang w:eastAsia="ru-RU"/>
        </w:rPr>
        <w:br/>
        <w:t>на 100 тыс. населения</w:t>
      </w:r>
    </w:p>
    <w:p w:rsidR="0039433E" w:rsidRPr="0066263B" w:rsidRDefault="0039433E" w:rsidP="0039433E">
      <w:pPr>
        <w:spacing w:before="0" w:after="0"/>
        <w:ind w:firstLine="709"/>
        <w:rPr>
          <w:rFonts w:ascii="Times New Roman" w:eastAsia="Times New Roman" w:hAnsi="Times New Roman" w:cs="Times New Roman"/>
          <w:sz w:val="24"/>
          <w:szCs w:val="24"/>
          <w:lang w:eastAsia="ru-RU"/>
        </w:rPr>
      </w:pPr>
    </w:p>
    <w:p w:rsidR="0039433E" w:rsidRPr="0066263B" w:rsidRDefault="0039433E" w:rsidP="0039433E">
      <w:pPr>
        <w:spacing w:before="0" w:after="0"/>
        <w:ind w:firstLine="709"/>
        <w:rPr>
          <w:rFonts w:ascii="Times New Roman" w:eastAsia="Times New Roman" w:hAnsi="Times New Roman" w:cs="Times New Roman"/>
          <w:sz w:val="24"/>
          <w:szCs w:val="24"/>
          <w:lang w:eastAsia="ru-RU"/>
        </w:rPr>
      </w:pPr>
    </w:p>
    <w:p w:rsidR="0039433E" w:rsidRPr="0066263B" w:rsidRDefault="0039433E" w:rsidP="0039433E">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
          <w:bCs/>
          <w:i/>
          <w:sz w:val="24"/>
          <w:szCs w:val="24"/>
        </w:rPr>
      </w:pPr>
      <w:r w:rsidRPr="0066263B">
        <w:rPr>
          <w:rFonts w:ascii="Times New Roman" w:eastAsia="TimesNewRomanPS-BoldMT" w:hAnsi="Times New Roman" w:cs="Times New Roman"/>
          <w:b/>
          <w:bCs/>
          <w:i/>
          <w:sz w:val="24"/>
          <w:szCs w:val="24"/>
        </w:rPr>
        <w:t>Инфекции, связанные с оказанием медицинской помощи</w:t>
      </w:r>
    </w:p>
    <w:p w:rsidR="008A1FF6" w:rsidRPr="0066263B" w:rsidRDefault="008A1FF6" w:rsidP="008A1FF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2021 год на территории Брянской области зарегистрировано 5 случаев инфекций, связанных с оказанием медицинской помощи (2020 – 17; 2019 – 30; 2018 – 26), а также внутриутробные инфекции – 270 случаев (2020 – 238; 2019 – 169; 2018 – 165).</w:t>
      </w:r>
    </w:p>
    <w:p w:rsidR="008A1FF6" w:rsidRPr="0066263B" w:rsidRDefault="008A1FF6" w:rsidP="008A1FF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Структура зарегистрированных инфекций, связанных с оказанием медицинской помощи (далее – ИСОМП):</w:t>
      </w:r>
    </w:p>
    <w:p w:rsidR="008A1FF6" w:rsidRPr="0066263B" w:rsidRDefault="008A1FF6" w:rsidP="008A1FF6">
      <w:pPr>
        <w:numPr>
          <w:ilvl w:val="0"/>
          <w:numId w:val="3"/>
        </w:numPr>
        <w:tabs>
          <w:tab w:val="num" w:pos="993"/>
          <w:tab w:val="num" w:pos="1211"/>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гнойно-септические инфекции новорождённых – 1 случай или 0,4% (2020 – 3 сл. или 1,2%; 2019 – 8 сл. или 4,0%; 2018 – 6 сл. или 3,1%);</w:t>
      </w:r>
    </w:p>
    <w:p w:rsidR="008A1FF6" w:rsidRPr="0066263B" w:rsidRDefault="008A1FF6" w:rsidP="008A1FF6">
      <w:pPr>
        <w:numPr>
          <w:ilvl w:val="0"/>
          <w:numId w:val="3"/>
        </w:numPr>
        <w:tabs>
          <w:tab w:val="num" w:pos="993"/>
          <w:tab w:val="num" w:pos="1211"/>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послеоперационные инфекции – 1 случай или 0,4% (2020 – 11 сл. или 4,3%; 2019 – 6 сл. или 3,0%; 2018 – 1 сл. или 0,5%);</w:t>
      </w:r>
    </w:p>
    <w:p w:rsidR="008A1FF6" w:rsidRPr="0066263B" w:rsidRDefault="008A1FF6" w:rsidP="008A1FF6">
      <w:pPr>
        <w:numPr>
          <w:ilvl w:val="0"/>
          <w:numId w:val="3"/>
        </w:numPr>
        <w:tabs>
          <w:tab w:val="num" w:pos="993"/>
          <w:tab w:val="num" w:pos="1211"/>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постинъекционные инфекции – 3 случая или 1,1% (2020 – 3 сл. или 1,2%; 2019 – 4 сл. или 2,0%; 2018 – 14 сл. или 7,3%);</w:t>
      </w:r>
    </w:p>
    <w:p w:rsidR="004B29B5" w:rsidRPr="0066263B" w:rsidRDefault="008A1FF6" w:rsidP="008A1FF6">
      <w:pPr>
        <w:numPr>
          <w:ilvl w:val="0"/>
          <w:numId w:val="3"/>
        </w:numPr>
        <w:tabs>
          <w:tab w:val="num" w:pos="993"/>
          <w:tab w:val="num" w:pos="1211"/>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внутриутробные инфекции – 270 случаев или 9</w:t>
      </w:r>
      <w:r w:rsidR="0048512C" w:rsidRPr="0066263B">
        <w:rPr>
          <w:rFonts w:ascii="Times New Roman" w:eastAsia="Times New Roman" w:hAnsi="Times New Roman" w:cs="Times New Roman"/>
          <w:sz w:val="24"/>
          <w:szCs w:val="24"/>
          <w:lang w:eastAsia="ru-RU"/>
        </w:rPr>
        <w:t>8,2</w:t>
      </w:r>
      <w:r w:rsidRPr="0066263B">
        <w:rPr>
          <w:rFonts w:ascii="Times New Roman" w:eastAsia="Times New Roman" w:hAnsi="Times New Roman" w:cs="Times New Roman"/>
          <w:sz w:val="24"/>
          <w:szCs w:val="24"/>
          <w:lang w:eastAsia="ru-RU"/>
        </w:rPr>
        <w:t xml:space="preserve">% (2020 – 238 сл. или 93,3%; 2019 – 169 сл. или 85,0%; 2018 – 165 сл. или 86,4%) (рис. </w:t>
      </w:r>
      <w:r w:rsidR="00921A39" w:rsidRPr="0066263B">
        <w:rPr>
          <w:rFonts w:ascii="Times New Roman" w:eastAsia="Times New Roman" w:hAnsi="Times New Roman" w:cs="Times New Roman"/>
          <w:sz w:val="24"/>
          <w:szCs w:val="24"/>
          <w:lang w:eastAsia="ru-RU"/>
        </w:rPr>
        <w:t>74</w:t>
      </w:r>
      <w:r w:rsidRPr="0066263B">
        <w:rPr>
          <w:rFonts w:ascii="Times New Roman" w:eastAsia="Times New Roman" w:hAnsi="Times New Roman" w:cs="Times New Roman"/>
          <w:sz w:val="24"/>
          <w:szCs w:val="24"/>
          <w:lang w:eastAsia="ru-RU"/>
        </w:rPr>
        <w:t>).</w:t>
      </w:r>
    </w:p>
    <w:p w:rsidR="008A1FF6" w:rsidRPr="0066263B" w:rsidRDefault="008A1FF6" w:rsidP="006916F7">
      <w:pPr>
        <w:spacing w:before="0" w:after="0"/>
        <w:ind w:firstLine="709"/>
        <w:rPr>
          <w:rFonts w:ascii="Times New Roman" w:eastAsia="Times New Roman" w:hAnsi="Times New Roman" w:cs="Times New Roman"/>
          <w:sz w:val="24"/>
          <w:szCs w:val="24"/>
          <w:lang w:eastAsia="ru-RU"/>
        </w:rPr>
      </w:pPr>
    </w:p>
    <w:p w:rsidR="0039433E" w:rsidRPr="0066263B" w:rsidRDefault="0039433E">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3"/>
        <w:gridCol w:w="4643"/>
      </w:tblGrid>
      <w:tr w:rsidR="00685FE4" w:rsidRPr="0066263B" w:rsidTr="00685FE4">
        <w:tc>
          <w:tcPr>
            <w:tcW w:w="4643" w:type="dxa"/>
            <w:vAlign w:val="center"/>
          </w:tcPr>
          <w:p w:rsidR="00685FE4" w:rsidRPr="0066263B" w:rsidRDefault="00685FE4" w:rsidP="00685FE4">
            <w:pPr>
              <w:jc w:val="center"/>
              <w:rPr>
                <w:sz w:val="24"/>
                <w:szCs w:val="24"/>
              </w:rPr>
            </w:pPr>
            <w:r w:rsidRPr="0066263B">
              <w:rPr>
                <w:noProof/>
                <w:sz w:val="24"/>
                <w:szCs w:val="24"/>
              </w:rPr>
              <w:lastRenderedPageBreak/>
              <w:drawing>
                <wp:inline distT="0" distB="0" distL="0" distR="0">
                  <wp:extent cx="2860431" cy="2362200"/>
                  <wp:effectExtent l="0" t="0" r="0" b="0"/>
                  <wp:docPr id="3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643" w:type="dxa"/>
            <w:vAlign w:val="center"/>
          </w:tcPr>
          <w:p w:rsidR="00685FE4" w:rsidRPr="0066263B" w:rsidRDefault="00D0722E" w:rsidP="00D0722E">
            <w:pPr>
              <w:rPr>
                <w:sz w:val="24"/>
                <w:szCs w:val="24"/>
              </w:rPr>
            </w:pPr>
            <w:r w:rsidRPr="0066263B">
              <w:rPr>
                <w:noProof/>
                <w:sz w:val="24"/>
                <w:szCs w:val="24"/>
              </w:rPr>
              <w:drawing>
                <wp:inline distT="0" distB="0" distL="0" distR="0">
                  <wp:extent cx="2928194" cy="2457780"/>
                  <wp:effectExtent l="0" t="0" r="0" b="0"/>
                  <wp:docPr id="2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685FE4" w:rsidRPr="0066263B" w:rsidTr="00685FE4">
        <w:tc>
          <w:tcPr>
            <w:tcW w:w="4643" w:type="dxa"/>
            <w:vAlign w:val="center"/>
          </w:tcPr>
          <w:p w:rsidR="00685FE4" w:rsidRPr="0066263B" w:rsidRDefault="00685FE4" w:rsidP="00D0722E">
            <w:pPr>
              <w:spacing w:line="120" w:lineRule="exact"/>
              <w:jc w:val="center"/>
              <w:rPr>
                <w:sz w:val="24"/>
                <w:szCs w:val="24"/>
              </w:rPr>
            </w:pPr>
          </w:p>
        </w:tc>
        <w:tc>
          <w:tcPr>
            <w:tcW w:w="4643" w:type="dxa"/>
            <w:vAlign w:val="center"/>
          </w:tcPr>
          <w:p w:rsidR="00685FE4" w:rsidRPr="0066263B" w:rsidRDefault="00685FE4" w:rsidP="00D0722E">
            <w:pPr>
              <w:spacing w:line="120" w:lineRule="exact"/>
              <w:jc w:val="center"/>
              <w:rPr>
                <w:sz w:val="24"/>
                <w:szCs w:val="24"/>
              </w:rPr>
            </w:pPr>
          </w:p>
        </w:tc>
      </w:tr>
      <w:tr w:rsidR="00D0722E" w:rsidRPr="0066263B" w:rsidTr="00685FE4">
        <w:tc>
          <w:tcPr>
            <w:tcW w:w="4643" w:type="dxa"/>
            <w:vAlign w:val="center"/>
          </w:tcPr>
          <w:p w:rsidR="00D0722E" w:rsidRPr="0066263B" w:rsidRDefault="00D0722E" w:rsidP="0048512C">
            <w:pPr>
              <w:jc w:val="center"/>
              <w:rPr>
                <w:rFonts w:ascii="Arial" w:hAnsi="Arial" w:cs="Arial"/>
                <w:b/>
                <w:sz w:val="18"/>
                <w:szCs w:val="18"/>
              </w:rPr>
            </w:pPr>
            <w:r w:rsidRPr="0066263B">
              <w:rPr>
                <w:rFonts w:ascii="Arial" w:hAnsi="Arial" w:cs="Arial"/>
                <w:b/>
                <w:sz w:val="18"/>
                <w:szCs w:val="18"/>
              </w:rPr>
              <w:t>20</w:t>
            </w:r>
            <w:r w:rsidR="0048512C" w:rsidRPr="0066263B">
              <w:rPr>
                <w:rFonts w:ascii="Arial" w:hAnsi="Arial" w:cs="Arial"/>
                <w:b/>
                <w:sz w:val="18"/>
                <w:szCs w:val="18"/>
              </w:rPr>
              <w:t>20</w:t>
            </w:r>
          </w:p>
        </w:tc>
        <w:tc>
          <w:tcPr>
            <w:tcW w:w="4643" w:type="dxa"/>
            <w:vAlign w:val="center"/>
          </w:tcPr>
          <w:p w:rsidR="00D0722E" w:rsidRPr="0066263B" w:rsidRDefault="00D0722E" w:rsidP="0048512C">
            <w:pPr>
              <w:jc w:val="center"/>
              <w:rPr>
                <w:rFonts w:ascii="Arial" w:hAnsi="Arial" w:cs="Arial"/>
                <w:b/>
                <w:sz w:val="18"/>
                <w:szCs w:val="18"/>
              </w:rPr>
            </w:pPr>
            <w:r w:rsidRPr="0066263B">
              <w:rPr>
                <w:rFonts w:ascii="Arial" w:hAnsi="Arial" w:cs="Arial"/>
                <w:b/>
                <w:sz w:val="18"/>
                <w:szCs w:val="18"/>
              </w:rPr>
              <w:t>20</w:t>
            </w:r>
            <w:r w:rsidR="0048512C" w:rsidRPr="0066263B">
              <w:rPr>
                <w:rFonts w:ascii="Arial" w:hAnsi="Arial" w:cs="Arial"/>
                <w:b/>
                <w:sz w:val="18"/>
                <w:szCs w:val="18"/>
              </w:rPr>
              <w:t>21</w:t>
            </w:r>
          </w:p>
        </w:tc>
      </w:tr>
    </w:tbl>
    <w:p w:rsidR="00685FE4" w:rsidRPr="0066263B" w:rsidRDefault="00685FE4" w:rsidP="00324483">
      <w:pPr>
        <w:spacing w:before="0" w:after="0"/>
        <w:jc w:val="center"/>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74</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Структура заболеваемости ИСОМП, %</w:t>
      </w:r>
    </w:p>
    <w:p w:rsidR="00324483" w:rsidRDefault="00324483" w:rsidP="00324483">
      <w:pPr>
        <w:spacing w:before="0" w:after="0"/>
        <w:ind w:firstLine="709"/>
        <w:rPr>
          <w:rFonts w:ascii="Times New Roman" w:eastAsia="Times New Roman" w:hAnsi="Times New Roman" w:cs="Times New Roman"/>
          <w:sz w:val="24"/>
          <w:szCs w:val="24"/>
          <w:lang w:eastAsia="ru-RU"/>
        </w:rPr>
      </w:pPr>
    </w:p>
    <w:p w:rsidR="001E7FBE" w:rsidRDefault="001E7FBE" w:rsidP="00324483">
      <w:pPr>
        <w:spacing w:before="0" w:after="0"/>
        <w:ind w:firstLine="709"/>
        <w:rPr>
          <w:rFonts w:ascii="Times New Roman" w:eastAsia="Times New Roman" w:hAnsi="Times New Roman" w:cs="Times New Roman"/>
          <w:sz w:val="24"/>
          <w:szCs w:val="24"/>
          <w:lang w:eastAsia="ru-RU"/>
        </w:rPr>
      </w:pPr>
    </w:p>
    <w:p w:rsidR="001E7FBE" w:rsidRPr="0066263B" w:rsidRDefault="001E7FBE" w:rsidP="00324483">
      <w:pPr>
        <w:spacing w:before="0" w:after="0"/>
        <w:ind w:firstLine="709"/>
        <w:rPr>
          <w:rFonts w:ascii="Times New Roman" w:eastAsia="Times New Roman" w:hAnsi="Times New Roman" w:cs="Times New Roman"/>
          <w:sz w:val="24"/>
          <w:szCs w:val="24"/>
          <w:lang w:eastAsia="ru-RU"/>
        </w:rPr>
      </w:pPr>
    </w:p>
    <w:p w:rsidR="00C67500" w:rsidRPr="0066263B" w:rsidRDefault="00C67500" w:rsidP="00C6750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долю родильных домов приходится 95,0% от общего числа зарегистрированных ИСОМП (2020 – 94,5%), на хирургические стационары – 1</w:t>
      </w:r>
      <w:r w:rsidR="005D765B">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 (2020 – 3,9%), на амбулаторно-поликлинические учреждения – 4</w:t>
      </w:r>
      <w:r w:rsidR="005D765B">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 (2020 – 1,6%)</w:t>
      </w:r>
      <w:r w:rsidR="006906FB" w:rsidRPr="0066263B">
        <w:rPr>
          <w:rFonts w:ascii="Times New Roman" w:eastAsia="Times New Roman" w:hAnsi="Times New Roman" w:cs="Times New Roman"/>
          <w:sz w:val="24"/>
          <w:szCs w:val="24"/>
          <w:lang w:eastAsia="ru-RU"/>
        </w:rPr>
        <w:t xml:space="preserve"> (рис.</w:t>
      </w:r>
      <w:r w:rsidR="00921A39" w:rsidRPr="0066263B">
        <w:rPr>
          <w:rFonts w:ascii="Times New Roman" w:eastAsia="Times New Roman" w:hAnsi="Times New Roman" w:cs="Times New Roman"/>
          <w:sz w:val="24"/>
          <w:szCs w:val="24"/>
          <w:lang w:eastAsia="ru-RU"/>
        </w:rPr>
        <w:t xml:space="preserve"> 75</w:t>
      </w:r>
      <w:r w:rsidR="006906FB"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w:t>
      </w:r>
    </w:p>
    <w:p w:rsidR="00C67500" w:rsidRPr="0066263B" w:rsidRDefault="00C67500" w:rsidP="00324483">
      <w:pPr>
        <w:spacing w:before="0" w:after="0"/>
        <w:ind w:firstLine="709"/>
        <w:rPr>
          <w:rFonts w:ascii="Times New Roman" w:eastAsia="Times New Roman" w:hAnsi="Times New Roman" w:cs="Times New Roman"/>
          <w:sz w:val="24"/>
          <w:szCs w:val="24"/>
          <w:lang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3"/>
        <w:gridCol w:w="4643"/>
      </w:tblGrid>
      <w:tr w:rsidR="00C67500" w:rsidRPr="0066263B" w:rsidTr="00C67500">
        <w:trPr>
          <w:trHeight w:val="3194"/>
        </w:trPr>
        <w:tc>
          <w:tcPr>
            <w:tcW w:w="4643" w:type="dxa"/>
            <w:vAlign w:val="center"/>
          </w:tcPr>
          <w:p w:rsidR="00C67500" w:rsidRPr="0066263B" w:rsidRDefault="00C67500" w:rsidP="00AA5954">
            <w:pPr>
              <w:jc w:val="center"/>
              <w:rPr>
                <w:sz w:val="24"/>
                <w:szCs w:val="24"/>
              </w:rPr>
            </w:pPr>
            <w:r w:rsidRPr="0066263B">
              <w:rPr>
                <w:noProof/>
                <w:sz w:val="24"/>
                <w:szCs w:val="24"/>
              </w:rPr>
              <w:drawing>
                <wp:inline distT="0" distB="0" distL="0" distR="0">
                  <wp:extent cx="3293501" cy="1822939"/>
                  <wp:effectExtent l="19050" t="0" r="2149" b="0"/>
                  <wp:docPr id="68" name="Объект 3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4643" w:type="dxa"/>
            <w:vAlign w:val="center"/>
          </w:tcPr>
          <w:p w:rsidR="00C67500" w:rsidRPr="0066263B" w:rsidRDefault="00C67500" w:rsidP="00AA5954">
            <w:pPr>
              <w:rPr>
                <w:sz w:val="24"/>
                <w:szCs w:val="24"/>
              </w:rPr>
            </w:pPr>
            <w:r w:rsidRPr="0066263B">
              <w:rPr>
                <w:noProof/>
                <w:sz w:val="24"/>
                <w:szCs w:val="24"/>
              </w:rPr>
              <w:drawing>
                <wp:inline distT="0" distB="0" distL="0" distR="0">
                  <wp:extent cx="3293501" cy="1840524"/>
                  <wp:effectExtent l="19050" t="0" r="2149" b="0"/>
                  <wp:docPr id="69" name="Объект 3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C67500" w:rsidRPr="0066263B" w:rsidTr="00AA5954">
        <w:tc>
          <w:tcPr>
            <w:tcW w:w="4643" w:type="dxa"/>
            <w:vAlign w:val="center"/>
          </w:tcPr>
          <w:p w:rsidR="00C67500" w:rsidRPr="0066263B" w:rsidRDefault="00C67500" w:rsidP="00AA5954">
            <w:pPr>
              <w:spacing w:line="120" w:lineRule="exact"/>
              <w:jc w:val="center"/>
              <w:rPr>
                <w:sz w:val="24"/>
                <w:szCs w:val="24"/>
              </w:rPr>
            </w:pPr>
          </w:p>
        </w:tc>
        <w:tc>
          <w:tcPr>
            <w:tcW w:w="4643" w:type="dxa"/>
            <w:vAlign w:val="center"/>
          </w:tcPr>
          <w:p w:rsidR="00C67500" w:rsidRPr="0066263B" w:rsidRDefault="00C67500" w:rsidP="00AA5954">
            <w:pPr>
              <w:spacing w:line="120" w:lineRule="exact"/>
              <w:jc w:val="center"/>
              <w:rPr>
                <w:sz w:val="24"/>
                <w:szCs w:val="24"/>
              </w:rPr>
            </w:pPr>
          </w:p>
        </w:tc>
      </w:tr>
      <w:tr w:rsidR="00C67500" w:rsidRPr="0066263B" w:rsidTr="00AA5954">
        <w:tc>
          <w:tcPr>
            <w:tcW w:w="4643" w:type="dxa"/>
            <w:vAlign w:val="center"/>
          </w:tcPr>
          <w:p w:rsidR="00C67500" w:rsidRPr="0066263B" w:rsidRDefault="00C67500" w:rsidP="00AA5954">
            <w:pPr>
              <w:jc w:val="center"/>
              <w:rPr>
                <w:rFonts w:ascii="Arial" w:hAnsi="Arial" w:cs="Arial"/>
                <w:b/>
                <w:sz w:val="18"/>
                <w:szCs w:val="18"/>
              </w:rPr>
            </w:pPr>
            <w:r w:rsidRPr="0066263B">
              <w:rPr>
                <w:rFonts w:ascii="Arial" w:hAnsi="Arial" w:cs="Arial"/>
                <w:b/>
                <w:sz w:val="18"/>
                <w:szCs w:val="18"/>
              </w:rPr>
              <w:t>2020</w:t>
            </w:r>
          </w:p>
        </w:tc>
        <w:tc>
          <w:tcPr>
            <w:tcW w:w="4643" w:type="dxa"/>
            <w:vAlign w:val="center"/>
          </w:tcPr>
          <w:p w:rsidR="00C67500" w:rsidRPr="0066263B" w:rsidRDefault="00C67500" w:rsidP="00AA5954">
            <w:pPr>
              <w:jc w:val="center"/>
              <w:rPr>
                <w:rFonts w:ascii="Arial" w:hAnsi="Arial" w:cs="Arial"/>
                <w:b/>
                <w:sz w:val="18"/>
                <w:szCs w:val="18"/>
              </w:rPr>
            </w:pPr>
            <w:r w:rsidRPr="0066263B">
              <w:rPr>
                <w:rFonts w:ascii="Arial" w:hAnsi="Arial" w:cs="Arial"/>
                <w:b/>
                <w:sz w:val="18"/>
                <w:szCs w:val="18"/>
              </w:rPr>
              <w:t>2021</w:t>
            </w:r>
          </w:p>
        </w:tc>
      </w:tr>
    </w:tbl>
    <w:p w:rsidR="00324483" w:rsidRPr="0066263B" w:rsidRDefault="00324483" w:rsidP="00324483">
      <w:pPr>
        <w:spacing w:before="0" w:after="0"/>
        <w:jc w:val="center"/>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75</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Распределение ИСОМП в медицинских организациях, </w:t>
      </w:r>
      <w:r w:rsidR="00C67500" w:rsidRPr="0066263B">
        <w:rPr>
          <w:rFonts w:ascii="Times New Roman" w:eastAsia="Times New Roman" w:hAnsi="Times New Roman" w:cs="Times New Roman"/>
          <w:lang w:eastAsia="ru-RU"/>
        </w:rPr>
        <w:t>%</w:t>
      </w:r>
    </w:p>
    <w:p w:rsidR="006906FB" w:rsidRPr="0066263B" w:rsidRDefault="006906FB" w:rsidP="006906FB">
      <w:pPr>
        <w:spacing w:before="0" w:after="0"/>
        <w:ind w:firstLine="709"/>
        <w:rPr>
          <w:rFonts w:ascii="Times New Roman" w:eastAsia="Times New Roman" w:hAnsi="Times New Roman" w:cs="Times New Roman"/>
          <w:sz w:val="24"/>
          <w:szCs w:val="24"/>
          <w:lang w:eastAsia="ru-RU"/>
        </w:rPr>
      </w:pPr>
    </w:p>
    <w:p w:rsidR="0039433E" w:rsidRPr="0066263B" w:rsidRDefault="0039433E" w:rsidP="006906FB">
      <w:pPr>
        <w:spacing w:before="0" w:after="0"/>
        <w:ind w:firstLine="709"/>
        <w:rPr>
          <w:rFonts w:ascii="Times New Roman" w:eastAsia="Times New Roman" w:hAnsi="Times New Roman" w:cs="Times New Roman"/>
          <w:sz w:val="24"/>
          <w:szCs w:val="24"/>
          <w:lang w:eastAsia="ru-RU"/>
        </w:rPr>
      </w:pPr>
    </w:p>
    <w:p w:rsidR="0039433E" w:rsidRPr="0066263B" w:rsidRDefault="0039433E" w:rsidP="006906FB">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
          <w:bCs/>
          <w:i/>
          <w:sz w:val="24"/>
          <w:szCs w:val="24"/>
        </w:rPr>
      </w:pPr>
      <w:r w:rsidRPr="0066263B">
        <w:rPr>
          <w:rFonts w:ascii="Times New Roman" w:eastAsia="TimesNewRomanPS-BoldMT" w:hAnsi="Times New Roman" w:cs="Times New Roman"/>
          <w:b/>
          <w:bCs/>
          <w:i/>
          <w:sz w:val="24"/>
          <w:szCs w:val="24"/>
        </w:rPr>
        <w:t>Острые кишечные инфекции</w:t>
      </w:r>
    </w:p>
    <w:p w:rsidR="006906FB" w:rsidRPr="0066263B" w:rsidRDefault="006906FB" w:rsidP="006906FB">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Эпидемиологическая ситуация по острым кишечным инфекциям (далее – ОКИ) в области характеризуется подъёмом заболеваемости на 36%, регистрацией групповой заболеваемости в 3-х образовательных учреждениях области</w:t>
      </w:r>
      <w:r w:rsidR="005D765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обусловленной норовирусом 2 генотипа.</w:t>
      </w:r>
    </w:p>
    <w:p w:rsidR="006906FB" w:rsidRPr="0066263B" w:rsidRDefault="006906FB" w:rsidP="006906FB">
      <w:pPr>
        <w:spacing w:before="0" w:after="0"/>
        <w:ind w:firstLine="709"/>
        <w:rPr>
          <w:rFonts w:ascii="Times New Roman" w:eastAsia="Times New Roman" w:hAnsi="Times New Roman" w:cs="Times New Roman"/>
          <w:sz w:val="24"/>
          <w:szCs w:val="24"/>
          <w:lang w:eastAsia="ru-RU"/>
        </w:rPr>
      </w:pPr>
    </w:p>
    <w:p w:rsidR="00A83A85" w:rsidRPr="0066263B" w:rsidRDefault="00A83A85">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A83A85" w:rsidRPr="0066263B" w:rsidRDefault="00A83A85" w:rsidP="006906FB">
      <w:pPr>
        <w:spacing w:before="0" w:after="0"/>
        <w:ind w:firstLine="709"/>
        <w:rPr>
          <w:rFonts w:ascii="Times New Roman" w:eastAsia="Times New Roman" w:hAnsi="Times New Roman" w:cs="Times New Roman"/>
          <w:sz w:val="24"/>
          <w:szCs w:val="24"/>
          <w:lang w:eastAsia="ru-RU"/>
        </w:rPr>
      </w:pPr>
    </w:p>
    <w:p w:rsidR="00AA5954" w:rsidRPr="0066263B" w:rsidRDefault="0040173A"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noProof/>
          <w:sz w:val="24"/>
          <w:szCs w:val="24"/>
          <w:lang w:eastAsia="ru-RU"/>
        </w:rPr>
        <w:drawing>
          <wp:inline distT="0" distB="0" distL="0" distR="0">
            <wp:extent cx="5316415" cy="7051431"/>
            <wp:effectExtent l="0" t="0" r="0" b="0"/>
            <wp:docPr id="226"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76</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Ранжирование территорий Брянской области по заболеваемости ОКИ,</w:t>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на 100 тыс. населения</w:t>
      </w:r>
    </w:p>
    <w:p w:rsidR="0039433E" w:rsidRPr="0066263B" w:rsidRDefault="0039433E" w:rsidP="00AA5954">
      <w:pPr>
        <w:spacing w:before="0" w:after="0"/>
        <w:ind w:firstLine="709"/>
        <w:rPr>
          <w:rFonts w:ascii="Times New Roman" w:eastAsia="Times New Roman" w:hAnsi="Times New Roman" w:cs="Times New Roman"/>
          <w:sz w:val="24"/>
          <w:szCs w:val="24"/>
          <w:lang w:eastAsia="ru-RU"/>
        </w:rPr>
      </w:pPr>
    </w:p>
    <w:p w:rsidR="0039433E" w:rsidRPr="0066263B" w:rsidRDefault="0039433E" w:rsidP="00AA5954">
      <w:pPr>
        <w:spacing w:before="0" w:after="0"/>
        <w:ind w:firstLine="709"/>
        <w:rPr>
          <w:rFonts w:ascii="Times New Roman" w:eastAsia="Times New Roman" w:hAnsi="Times New Roman" w:cs="Times New Roman"/>
          <w:sz w:val="24"/>
          <w:szCs w:val="24"/>
          <w:lang w:eastAsia="ru-RU"/>
        </w:rPr>
      </w:pPr>
    </w:p>
    <w:p w:rsidR="00AA5954" w:rsidRPr="0066263B" w:rsidRDefault="00AA5954" w:rsidP="00AA595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 Брянской области зарегистрировано 3 002 случая острых кишечных инфекций или 250,8 на 100 тысяч населения, что на 36% выше заболеваемости 2020 года (2020 – 2 197 сл. или 184,9 на 100 тыс. нас.).</w:t>
      </w:r>
    </w:p>
    <w:p w:rsidR="00AA5954" w:rsidRPr="0066263B" w:rsidRDefault="00AA5954" w:rsidP="00AA595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Результаты ранжирования заболеваемости острыми кишечными инфекциями показали, что заболеваемость ОКИ регистрировалась на территории области неравномерно.</w:t>
      </w:r>
    </w:p>
    <w:p w:rsidR="00AA5954" w:rsidRPr="0066263B" w:rsidRDefault="00AA5954" w:rsidP="00AA595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Высокий уровень заболеваемости отмечен в Навлинском, Жуковском, Брянском, Климовском, Гордеевском, Карачевском и Стародубском районах, а также в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Брянске и г. Сельцо</w:t>
      </w:r>
      <w:r w:rsidR="005D765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где показатели от 7% (г. Сельцо) до 2,7 раз (Навлинский район) превышают среднеобластной показатель.</w:t>
      </w:r>
    </w:p>
    <w:p w:rsidR="00AA5954" w:rsidRPr="0066263B" w:rsidRDefault="00AA5954" w:rsidP="00AA595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Низкие уровни заболеваемости зарегистрированы в Комаричском, Суземском, Клетнянском, Суражском, Дубровском районах. </w:t>
      </w:r>
      <w:proofErr w:type="gramStart"/>
      <w:r w:rsidRPr="0066263B">
        <w:rPr>
          <w:rFonts w:ascii="Times New Roman" w:eastAsia="Times New Roman" w:hAnsi="Times New Roman" w:cs="Times New Roman"/>
          <w:sz w:val="24"/>
          <w:szCs w:val="24"/>
          <w:lang w:eastAsia="ru-RU"/>
        </w:rPr>
        <w:t>В</w:t>
      </w:r>
      <w:proofErr w:type="gramEnd"/>
      <w:r w:rsidRPr="0066263B">
        <w:rPr>
          <w:rFonts w:ascii="Times New Roman" w:eastAsia="Times New Roman" w:hAnsi="Times New Roman" w:cs="Times New Roman"/>
          <w:sz w:val="24"/>
          <w:szCs w:val="24"/>
          <w:lang w:eastAsia="ru-RU"/>
        </w:rPr>
        <w:t xml:space="preserve"> </w:t>
      </w:r>
      <w:proofErr w:type="gramStart"/>
      <w:r w:rsidRPr="0066263B">
        <w:rPr>
          <w:rFonts w:ascii="Times New Roman" w:eastAsia="Times New Roman" w:hAnsi="Times New Roman" w:cs="Times New Roman"/>
          <w:sz w:val="24"/>
          <w:szCs w:val="24"/>
          <w:lang w:eastAsia="ru-RU"/>
        </w:rPr>
        <w:t>Севском</w:t>
      </w:r>
      <w:proofErr w:type="gramEnd"/>
      <w:r w:rsidRPr="0066263B">
        <w:rPr>
          <w:rFonts w:ascii="Times New Roman" w:eastAsia="Times New Roman" w:hAnsi="Times New Roman" w:cs="Times New Roman"/>
          <w:sz w:val="24"/>
          <w:szCs w:val="24"/>
          <w:lang w:eastAsia="ru-RU"/>
        </w:rPr>
        <w:t xml:space="preserve"> районе не зарегистрировано ни одного случая ОКИ.</w:t>
      </w:r>
    </w:p>
    <w:p w:rsidR="00AA5954" w:rsidRPr="0066263B" w:rsidRDefault="00AA5954" w:rsidP="00AA595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городского населения зарегистрировано 2 374 случая ОКИ или 286,6 на 100 тысяч населения (83,3%), среди сельского населения – 628 случаев или 170,3 на 100 тысяч населения (16,7%).</w:t>
      </w:r>
    </w:p>
    <w:p w:rsidR="0039433E" w:rsidRPr="0066263B" w:rsidRDefault="0039433E" w:rsidP="0040173A">
      <w:pPr>
        <w:spacing w:before="0" w:after="0"/>
        <w:ind w:firstLine="709"/>
        <w:rPr>
          <w:rFonts w:ascii="Times New Roman" w:eastAsia="Times New Roman" w:hAnsi="Times New Roman" w:cs="Times New Roman"/>
          <w:sz w:val="24"/>
          <w:szCs w:val="24"/>
          <w:lang w:eastAsia="ru-RU"/>
        </w:rPr>
      </w:pPr>
    </w:p>
    <w:p w:rsidR="0040173A" w:rsidRPr="0066263B" w:rsidRDefault="0040173A" w:rsidP="004017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Анализ возрастной структуры </w:t>
      </w:r>
      <w:proofErr w:type="gramStart"/>
      <w:r w:rsidRPr="0066263B">
        <w:rPr>
          <w:rFonts w:ascii="Times New Roman" w:eastAsia="Times New Roman" w:hAnsi="Times New Roman" w:cs="Times New Roman"/>
          <w:sz w:val="24"/>
          <w:szCs w:val="24"/>
          <w:lang w:eastAsia="ru-RU"/>
        </w:rPr>
        <w:t>заболевших</w:t>
      </w:r>
      <w:proofErr w:type="gramEnd"/>
      <w:r w:rsidRPr="0066263B">
        <w:rPr>
          <w:rFonts w:ascii="Times New Roman" w:eastAsia="Times New Roman" w:hAnsi="Times New Roman" w:cs="Times New Roman"/>
          <w:sz w:val="24"/>
          <w:szCs w:val="24"/>
          <w:lang w:eastAsia="ru-RU"/>
        </w:rPr>
        <w:t xml:space="preserve"> острыми кишечными инфекциями:</w:t>
      </w:r>
    </w:p>
    <w:p w:rsidR="00AA5954" w:rsidRPr="0066263B" w:rsidRDefault="00AA5954" w:rsidP="00AA5954">
      <w:pPr>
        <w:numPr>
          <w:ilvl w:val="0"/>
          <w:numId w:val="21"/>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Дети до 14 лет – 1 303 случая или 682,1 на 100 тысяч населения, что составляет 59,3% от всей заболеваемости ОКИ, в том числе:</w:t>
      </w:r>
    </w:p>
    <w:p w:rsidR="00AA5954" w:rsidRPr="0066263B" w:rsidRDefault="00AA5954" w:rsidP="00AA5954">
      <w:pPr>
        <w:numPr>
          <w:ilvl w:val="0"/>
          <w:numId w:val="22"/>
        </w:numPr>
        <w:spacing w:before="0" w:after="0"/>
        <w:ind w:left="1560"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Дети до 1 года – 230 случаев или 2 510,1 на 100 тысяч населения, что составляет 10,4% от детской заболеваемости.</w:t>
      </w:r>
    </w:p>
    <w:p w:rsidR="00AA5954" w:rsidRPr="0066263B" w:rsidRDefault="00AA5954" w:rsidP="00AA5954">
      <w:pPr>
        <w:numPr>
          <w:ilvl w:val="0"/>
          <w:numId w:val="22"/>
        </w:numPr>
        <w:spacing w:before="0" w:after="0"/>
        <w:ind w:left="1560"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Дети 1-2 года – 664 случая или 3 208,3 на 100 тысяч населения, что составляет 30,0% от детской заболеваемости.</w:t>
      </w:r>
    </w:p>
    <w:p w:rsidR="00AA5954" w:rsidRPr="0066263B" w:rsidRDefault="00AA5954" w:rsidP="00AA5954">
      <w:pPr>
        <w:numPr>
          <w:ilvl w:val="0"/>
          <w:numId w:val="22"/>
        </w:numPr>
        <w:spacing w:before="0" w:after="0"/>
        <w:ind w:left="1560"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Дети от 3 до 6 лет – 716 случаев или 1 409,5 на 100 тысяч населения (32,3%), из них дети, посещающие детские дошкольные учреждения – 513 случаев или 2 172,4 на 100 тысяч населения.</w:t>
      </w:r>
    </w:p>
    <w:p w:rsidR="00AA5954" w:rsidRPr="0066263B" w:rsidRDefault="00AA5954" w:rsidP="00AA5954">
      <w:pPr>
        <w:numPr>
          <w:ilvl w:val="0"/>
          <w:numId w:val="22"/>
        </w:numPr>
        <w:spacing w:before="0" w:after="0"/>
        <w:ind w:left="1560"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Дети 7-14 лет – 606 случаев или 577,2 на 100 тысяч населения, что составляет 27,3% от детской заболеваемости.</w:t>
      </w:r>
    </w:p>
    <w:p w:rsidR="00AA5954" w:rsidRPr="0066263B" w:rsidRDefault="00AA5954" w:rsidP="00AA5954">
      <w:pPr>
        <w:spacing w:before="0" w:after="0"/>
        <w:ind w:left="1560"/>
        <w:rPr>
          <w:rFonts w:ascii="Times New Roman" w:eastAsia="Times New Roman" w:hAnsi="Times New Roman" w:cs="Times New Roman"/>
          <w:sz w:val="24"/>
          <w:szCs w:val="24"/>
          <w:lang w:eastAsia="ru-RU"/>
        </w:rPr>
      </w:pPr>
    </w:p>
    <w:p w:rsidR="00AA5954" w:rsidRPr="0066263B" w:rsidRDefault="00AA5954" w:rsidP="001E7FBE">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Анализ заболеваемости показывает, что наиболее высокий уровень заболеваемости по острым кишечным инфекциям среди детского населения регистрировалась в Гордеевском. Климовском. </w:t>
      </w:r>
      <w:proofErr w:type="gramStart"/>
      <w:r w:rsidRPr="0066263B">
        <w:rPr>
          <w:rFonts w:ascii="Times New Roman" w:eastAsia="Times New Roman" w:hAnsi="Times New Roman" w:cs="Times New Roman"/>
          <w:sz w:val="24"/>
          <w:szCs w:val="24"/>
          <w:lang w:eastAsia="ru-RU"/>
        </w:rPr>
        <w:t>Брянском, Жирятинском, Жуковском, Навлинском, Карачевском, Стародубском районах, г.г. Брянске, Фокино.</w:t>
      </w:r>
      <w:proofErr w:type="gramEnd"/>
    </w:p>
    <w:p w:rsidR="00AA5954" w:rsidRPr="0066263B" w:rsidRDefault="00AA5954" w:rsidP="001D5B58">
      <w:pPr>
        <w:spacing w:before="0" w:after="0"/>
        <w:ind w:firstLine="709"/>
        <w:rPr>
          <w:rFonts w:ascii="Times New Roman" w:eastAsia="Times New Roman" w:hAnsi="Times New Roman" w:cs="Times New Roman"/>
          <w:sz w:val="24"/>
          <w:szCs w:val="24"/>
          <w:lang w:eastAsia="ru-RU"/>
        </w:rPr>
      </w:pPr>
    </w:p>
    <w:p w:rsidR="0039433E" w:rsidRPr="0066263B" w:rsidRDefault="0039433E" w:rsidP="001D5B58">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Сальмонеллёз</w:t>
      </w:r>
    </w:p>
    <w:p w:rsidR="001D5B58" w:rsidRPr="0066263B" w:rsidRDefault="001D5B58" w:rsidP="001D5B5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территории Брянской области в 2021 году зарегистрировано 133 случая или 11,1 на 100 тысяч населения, что выше заболеваемости 2020 года на 6% (2020 – 124 сл. или 10,4 на 100 тыс. нас.). В 2021 году заболеваемость сальмонеллёзами на территории Брянской области составила 4,4% от суммы ОКИ. Выше среднеобластного показателя зарегистрирована заболеваемость в Жуковском, Брянском, Выгоничском, Новозыбковском районах, в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.г. Фокино, Сельцо, Брянске.</w:t>
      </w:r>
    </w:p>
    <w:p w:rsidR="001D5B58" w:rsidRPr="0066263B" w:rsidRDefault="001D5B58" w:rsidP="001D5B5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городских жителей зарегистрировано 105 случаев или 12,7 на 100 тысяч населения (78,9%), среди сельских жителей – 28 случаев или 7,6 на 100 тысяч населения (21,1%).</w:t>
      </w:r>
    </w:p>
    <w:p w:rsidR="001D5B58" w:rsidRPr="0066263B" w:rsidRDefault="001D5B58" w:rsidP="001D5B58">
      <w:pPr>
        <w:spacing w:before="0" w:after="0"/>
        <w:ind w:firstLine="709"/>
        <w:rPr>
          <w:rFonts w:ascii="Times New Roman" w:eastAsia="Times New Roman" w:hAnsi="Times New Roman" w:cs="Times New Roman"/>
          <w:sz w:val="24"/>
          <w:szCs w:val="24"/>
          <w:lang w:eastAsia="ru-RU"/>
        </w:rPr>
      </w:pPr>
    </w:p>
    <w:p w:rsidR="001D5B58" w:rsidRPr="0066263B" w:rsidRDefault="001D5B58" w:rsidP="001D5B5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Анализ возрастной группы показал, что на взрослое население приходится 39,8% от всех заболевших (53 сл.), на детей до 17 лет – 60,2% (80 сл.)</w:t>
      </w:r>
      <w:r w:rsidR="005D765B">
        <w:rPr>
          <w:rFonts w:ascii="Times New Roman" w:eastAsia="Times New Roman" w:hAnsi="Times New Roman" w:cs="Times New Roman"/>
          <w:sz w:val="24"/>
          <w:szCs w:val="24"/>
          <w:lang w:eastAsia="ru-RU"/>
        </w:rPr>
        <w:t>.</w:t>
      </w:r>
    </w:p>
    <w:p w:rsidR="001D5B58" w:rsidRPr="0066263B" w:rsidRDefault="001D5B58" w:rsidP="0040173A">
      <w:pPr>
        <w:spacing w:before="0" w:after="0"/>
        <w:ind w:firstLine="709"/>
        <w:rPr>
          <w:rFonts w:ascii="Times New Roman" w:eastAsia="Times New Roman" w:hAnsi="Times New Roman" w:cs="Times New Roman"/>
          <w:sz w:val="24"/>
          <w:szCs w:val="24"/>
          <w:lang w:eastAsia="ru-RU"/>
        </w:rPr>
      </w:pPr>
    </w:p>
    <w:p w:rsidR="0039433E" w:rsidRPr="0066263B" w:rsidRDefault="0039433E">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39433E" w:rsidRPr="0066263B" w:rsidRDefault="0039433E" w:rsidP="0040173A">
      <w:pPr>
        <w:spacing w:before="0" w:after="0"/>
        <w:ind w:firstLine="709"/>
        <w:rPr>
          <w:rFonts w:ascii="Times New Roman" w:eastAsia="Times New Roman" w:hAnsi="Times New Roman" w:cs="Times New Roman"/>
          <w:sz w:val="24"/>
          <w:szCs w:val="24"/>
          <w:lang w:eastAsia="ru-RU"/>
        </w:rPr>
      </w:pPr>
    </w:p>
    <w:p w:rsidR="001D5B58" w:rsidRPr="0066263B" w:rsidRDefault="001D5B58" w:rsidP="001D5B58">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2330200"/>
            <wp:effectExtent l="0" t="0" r="0" b="0"/>
            <wp:docPr id="71"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77</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сальмонеллёзами в разных возрастных группах</w:t>
      </w:r>
      <w:r w:rsidRPr="0066263B">
        <w:rPr>
          <w:rFonts w:ascii="Times New Roman" w:eastAsia="Times New Roman" w:hAnsi="Times New Roman" w:cs="Times New Roman"/>
          <w:lang w:eastAsia="ru-RU"/>
        </w:rPr>
        <w:br/>
        <w:t>населения, на 100 тыс. населения</w:t>
      </w:r>
    </w:p>
    <w:p w:rsidR="00CD3440" w:rsidRPr="0066263B" w:rsidRDefault="00CD3440" w:rsidP="0040173A">
      <w:pPr>
        <w:spacing w:before="0" w:after="0"/>
        <w:ind w:firstLine="709"/>
        <w:rPr>
          <w:rFonts w:ascii="Times New Roman" w:eastAsia="Times New Roman" w:hAnsi="Times New Roman" w:cs="Times New Roman"/>
          <w:sz w:val="24"/>
          <w:szCs w:val="24"/>
          <w:lang w:eastAsia="ru-RU"/>
        </w:rPr>
      </w:pPr>
    </w:p>
    <w:p w:rsidR="001D5B58" w:rsidRPr="0066263B" w:rsidRDefault="001D5B58" w:rsidP="001D5B5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заболеваемость детей в возрасте до 17 лет составила 36,25 на 100 тысяч населения, что в 1,5 раза выше уровня 2020 года (2020 – 23,43 на 100 тыс. нас.).</w:t>
      </w:r>
    </w:p>
    <w:p w:rsidR="001D5B58" w:rsidRPr="0066263B" w:rsidRDefault="001D5B58" w:rsidP="001D5B5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среди детского населения наибольшая заболеваемость сальмонеллёзом отмечается в возрасте 1-2 года (159,5 на 100 тыс. нас.).</w:t>
      </w:r>
    </w:p>
    <w:p w:rsidR="001D5B58" w:rsidRPr="0066263B" w:rsidRDefault="001D5B58" w:rsidP="001D5B58">
      <w:pPr>
        <w:spacing w:before="0" w:after="0"/>
        <w:ind w:firstLine="709"/>
        <w:rPr>
          <w:rFonts w:ascii="Times New Roman" w:eastAsia="Times New Roman" w:hAnsi="Times New Roman" w:cs="Times New Roman"/>
          <w:sz w:val="24"/>
          <w:szCs w:val="24"/>
          <w:lang w:eastAsia="ru-RU"/>
        </w:rPr>
      </w:pPr>
    </w:p>
    <w:p w:rsidR="001D5B58" w:rsidRPr="0066263B" w:rsidRDefault="001D5B58" w:rsidP="001D5B5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этиологической структуре сальмонеллёзов в 2021 году изменилось соотношение различных групп. Доминирующую позицию по-прежнему занимали сальмонеллы группы</w:t>
      </w:r>
      <w:proofErr w:type="gramStart"/>
      <w:r w:rsidRPr="0066263B">
        <w:rPr>
          <w:rFonts w:ascii="Times New Roman" w:eastAsia="Times New Roman" w:hAnsi="Times New Roman" w:cs="Times New Roman"/>
          <w:sz w:val="24"/>
          <w:szCs w:val="24"/>
          <w:lang w:eastAsia="ru-RU"/>
        </w:rPr>
        <w:t xml:space="preserve"> Д</w:t>
      </w:r>
      <w:proofErr w:type="gramEnd"/>
      <w:r w:rsidRPr="0066263B">
        <w:rPr>
          <w:rFonts w:ascii="Times New Roman" w:eastAsia="Times New Roman" w:hAnsi="Times New Roman" w:cs="Times New Roman"/>
          <w:sz w:val="24"/>
          <w:szCs w:val="24"/>
          <w:lang w:eastAsia="ru-RU"/>
        </w:rPr>
        <w:t xml:space="preserve"> (в основном энтеритидис) – 103 случая или 77,4%, что свидетельствует о пищевом пути передачи инфекции. Удельный вес данной группы снизился и колеблется от 72% до 77% </w:t>
      </w:r>
      <w:proofErr w:type="gramStart"/>
      <w:r w:rsidRPr="0066263B">
        <w:rPr>
          <w:rFonts w:ascii="Times New Roman" w:eastAsia="Times New Roman" w:hAnsi="Times New Roman" w:cs="Times New Roman"/>
          <w:sz w:val="24"/>
          <w:szCs w:val="24"/>
          <w:lang w:eastAsia="ru-RU"/>
        </w:rPr>
        <w:t>за</w:t>
      </w:r>
      <w:proofErr w:type="gramEnd"/>
      <w:r w:rsidRPr="0066263B">
        <w:rPr>
          <w:rFonts w:ascii="Times New Roman" w:eastAsia="Times New Roman" w:hAnsi="Times New Roman" w:cs="Times New Roman"/>
          <w:sz w:val="24"/>
          <w:szCs w:val="24"/>
          <w:lang w:eastAsia="ru-RU"/>
        </w:rPr>
        <w:t xml:space="preserve"> последние 3 года. В 2021 году в сравнении с 2020 годом снизился удельный вес сальмонелл группы</w:t>
      </w:r>
      <w:proofErr w:type="gramStart"/>
      <w:r w:rsidRPr="0066263B">
        <w:rPr>
          <w:rFonts w:ascii="Times New Roman" w:eastAsia="Times New Roman" w:hAnsi="Times New Roman" w:cs="Times New Roman"/>
          <w:sz w:val="24"/>
          <w:szCs w:val="24"/>
          <w:lang w:eastAsia="ru-RU"/>
        </w:rPr>
        <w:t xml:space="preserve"> С</w:t>
      </w:r>
      <w:proofErr w:type="gram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с</w:t>
      </w:r>
      <w:proofErr w:type="spellEnd"/>
      <w:r w:rsidRPr="0066263B">
        <w:rPr>
          <w:rFonts w:ascii="Times New Roman" w:eastAsia="Times New Roman" w:hAnsi="Times New Roman" w:cs="Times New Roman"/>
          <w:sz w:val="24"/>
          <w:szCs w:val="24"/>
          <w:lang w:eastAsia="ru-RU"/>
        </w:rPr>
        <w:t xml:space="preserve"> 8,95% до 3,0%, удельный вес сальмонелл группы В – с 17,8% до 12,8% (рис. 7</w:t>
      </w:r>
      <w:r w:rsidR="00921A39"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w:t>
      </w:r>
    </w:p>
    <w:p w:rsidR="001D5B58" w:rsidRPr="0066263B" w:rsidRDefault="001D5B58" w:rsidP="0040173A">
      <w:pPr>
        <w:spacing w:before="0" w:after="0"/>
        <w:ind w:firstLine="709"/>
        <w:rPr>
          <w:rFonts w:ascii="Times New Roman" w:eastAsia="Times New Roman" w:hAnsi="Times New Roman" w:cs="Times New Roman"/>
          <w:sz w:val="24"/>
          <w:szCs w:val="24"/>
          <w:lang w:eastAsia="ru-RU"/>
        </w:rPr>
      </w:pPr>
    </w:p>
    <w:p w:rsidR="0040173A" w:rsidRPr="0066263B" w:rsidRDefault="0040173A" w:rsidP="0040173A">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6006611" cy="3141784"/>
            <wp:effectExtent l="19050" t="0" r="0" b="0"/>
            <wp:docPr id="1312"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D3440" w:rsidRPr="0066263B" w:rsidRDefault="00CD3440" w:rsidP="00324483">
      <w:pPr>
        <w:spacing w:before="0" w:after="0"/>
        <w:jc w:val="center"/>
        <w:rPr>
          <w:rFonts w:ascii="Times New Roman" w:eastAsia="Times New Roman" w:hAnsi="Times New Roman" w:cs="Times New Roman"/>
          <w:b/>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78</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Этиологическая структура сальмонеллёзов, %</w:t>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lastRenderedPageBreak/>
        <w:t>Дизентерия</w:t>
      </w:r>
    </w:p>
    <w:p w:rsidR="003F2975" w:rsidRPr="0066263B" w:rsidRDefault="003F2975" w:rsidP="003F297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заболеваемость дизентерией на 28% выше заболеваемости 2020 года – 18 случаев или 1,5 на 100 тысяч населения (2020 – 14 сл. или 1,18 на 100 тыс. нас.).</w:t>
      </w:r>
    </w:p>
    <w:p w:rsidR="003F2975" w:rsidRPr="0066263B" w:rsidRDefault="003F2975" w:rsidP="003F297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Заболеваемость регистрировалась на 3-х административных территориях: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 Брянский и Навлинский районы.</w:t>
      </w:r>
    </w:p>
    <w:p w:rsidR="003F2975" w:rsidRPr="0066263B" w:rsidRDefault="003F2975" w:rsidP="003F297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Удельный вес дизентерии в сумме кишечных инфекций составил 0,6% (2020 – 0,6%).</w:t>
      </w:r>
    </w:p>
    <w:p w:rsidR="003F2975" w:rsidRPr="0066263B" w:rsidRDefault="003F2975" w:rsidP="0040173A">
      <w:pPr>
        <w:spacing w:before="0" w:after="0"/>
        <w:ind w:firstLine="709"/>
        <w:rPr>
          <w:rFonts w:ascii="Times New Roman" w:eastAsia="Times New Roman" w:hAnsi="Times New Roman" w:cs="Times New Roman"/>
          <w:sz w:val="24"/>
          <w:szCs w:val="24"/>
          <w:lang w:eastAsia="ru-RU"/>
        </w:rPr>
      </w:pPr>
    </w:p>
    <w:p w:rsidR="003F2975" w:rsidRPr="0066263B" w:rsidRDefault="003F2975" w:rsidP="003F2975">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685183" cy="3101009"/>
            <wp:effectExtent l="0" t="0" r="0" b="0"/>
            <wp:docPr id="73"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79</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дизентерией, на 100 тыс.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9433E" w:rsidRPr="0066263B" w:rsidRDefault="0039433E" w:rsidP="00324483">
      <w:pPr>
        <w:spacing w:before="0" w:after="0"/>
        <w:ind w:firstLine="709"/>
        <w:rPr>
          <w:rFonts w:ascii="Times New Roman" w:eastAsia="Times New Roman" w:hAnsi="Times New Roman" w:cs="Times New Roman"/>
          <w:sz w:val="24"/>
          <w:szCs w:val="24"/>
          <w:lang w:eastAsia="ru-RU"/>
        </w:rPr>
      </w:pPr>
    </w:p>
    <w:p w:rsidR="003F2975" w:rsidRPr="0066263B" w:rsidRDefault="003F2975" w:rsidP="003F297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последнее 10-летие отмечается устойчивая тенденция к снижению уровня заболеваемости дизентерией.</w:t>
      </w:r>
    </w:p>
    <w:p w:rsidR="003F2975" w:rsidRPr="0066263B" w:rsidRDefault="003F2975" w:rsidP="003F297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Подтверждено бактериологическим методом 16 случаев дизентерии или 88,9% (2020 – 12 сл. или 85,7%).</w:t>
      </w:r>
    </w:p>
    <w:p w:rsidR="0039433E" w:rsidRPr="0066263B" w:rsidRDefault="0039433E" w:rsidP="003F2975">
      <w:pPr>
        <w:spacing w:before="0" w:after="0"/>
        <w:ind w:firstLine="709"/>
        <w:rPr>
          <w:rFonts w:ascii="Times New Roman" w:eastAsia="Times New Roman" w:hAnsi="Times New Roman" w:cs="Times New Roman"/>
          <w:sz w:val="24"/>
          <w:szCs w:val="24"/>
          <w:lang w:eastAsia="ru-RU"/>
        </w:rPr>
      </w:pPr>
    </w:p>
    <w:p w:rsidR="003F2975" w:rsidRPr="0066263B" w:rsidRDefault="003F2975" w:rsidP="003F297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структуре бактериологически подтверждённой дизентерии на долю дизентерии Зонне приходится – 14 случаев (87,5%) или 1,17 на 100 тысяч населения, на дизентерию Флекснера – 2 случая (12,5%) или 0,17 на 100 тысяч населения.</w:t>
      </w:r>
    </w:p>
    <w:p w:rsidR="0039433E" w:rsidRPr="0066263B" w:rsidRDefault="0039433E" w:rsidP="003F2975">
      <w:pPr>
        <w:spacing w:before="0" w:after="0"/>
        <w:ind w:firstLine="709"/>
        <w:rPr>
          <w:rFonts w:ascii="Times New Roman" w:eastAsia="Times New Roman" w:hAnsi="Times New Roman" w:cs="Times New Roman"/>
          <w:sz w:val="24"/>
          <w:szCs w:val="24"/>
          <w:lang w:eastAsia="ru-RU"/>
        </w:rPr>
      </w:pPr>
    </w:p>
    <w:p w:rsidR="003F2975" w:rsidRPr="0066263B" w:rsidRDefault="003F2975" w:rsidP="003F297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городского населения зарегистрировано 16 случаев дизентерии или 1,93 на 100 тысяч населения (88,9%), среди сельского – 2 случая (11,1%).</w:t>
      </w:r>
    </w:p>
    <w:p w:rsidR="003F2975" w:rsidRPr="0066263B" w:rsidRDefault="003F2975" w:rsidP="0040173A">
      <w:pPr>
        <w:spacing w:before="0" w:after="0"/>
        <w:ind w:firstLine="709"/>
        <w:rPr>
          <w:rFonts w:ascii="Times New Roman" w:eastAsia="Times New Roman" w:hAnsi="Times New Roman" w:cs="Times New Roman"/>
          <w:sz w:val="24"/>
          <w:szCs w:val="24"/>
          <w:lang w:eastAsia="ru-RU"/>
        </w:rPr>
      </w:pPr>
    </w:p>
    <w:p w:rsidR="0039433E" w:rsidRPr="0066263B" w:rsidRDefault="0039433E">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39433E" w:rsidRPr="0066263B" w:rsidRDefault="0039433E" w:rsidP="0040173A">
      <w:pPr>
        <w:spacing w:before="0" w:after="0"/>
        <w:ind w:firstLine="709"/>
        <w:rPr>
          <w:rFonts w:ascii="Times New Roman" w:eastAsia="Times New Roman" w:hAnsi="Times New Roman" w:cs="Times New Roman"/>
          <w:sz w:val="24"/>
          <w:szCs w:val="24"/>
          <w:lang w:eastAsia="ru-RU"/>
        </w:rPr>
      </w:pPr>
    </w:p>
    <w:p w:rsidR="0040173A" w:rsidRPr="0066263B" w:rsidRDefault="003F2975" w:rsidP="003F2975">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3282808"/>
            <wp:effectExtent l="19050" t="0" r="0" b="0"/>
            <wp:docPr id="74"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80</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ОКИ, на 100 тыс. населения</w:t>
      </w:r>
    </w:p>
    <w:p w:rsidR="00324483" w:rsidRDefault="00324483" w:rsidP="00324483">
      <w:pPr>
        <w:spacing w:before="0" w:after="0"/>
        <w:ind w:firstLine="709"/>
        <w:rPr>
          <w:rFonts w:ascii="Times New Roman" w:eastAsia="Times New Roman" w:hAnsi="Times New Roman" w:cs="Times New Roman"/>
          <w:sz w:val="24"/>
          <w:szCs w:val="24"/>
          <w:lang w:eastAsia="ru-RU"/>
        </w:rPr>
      </w:pPr>
    </w:p>
    <w:p w:rsidR="005D765B" w:rsidRPr="0066263B" w:rsidRDefault="005D765B" w:rsidP="00324483">
      <w:pPr>
        <w:spacing w:before="0" w:after="0"/>
        <w:ind w:firstLine="709"/>
        <w:rPr>
          <w:rFonts w:ascii="Times New Roman" w:eastAsia="Times New Roman" w:hAnsi="Times New Roman" w:cs="Times New Roman"/>
          <w:sz w:val="24"/>
          <w:szCs w:val="24"/>
          <w:lang w:eastAsia="ru-RU"/>
        </w:rPr>
      </w:pPr>
    </w:p>
    <w:p w:rsidR="003F2975" w:rsidRPr="0066263B" w:rsidRDefault="003F2975" w:rsidP="003F297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Удельный вес ОКИ установленной этиологии в сумме ОКИ составил 19,4% (2020 – 10,5%). Зарегистрировано 579 случаев или 48,37 на 100 тысяч населения, рост по сравнению с 2020 годом в 2,6 раза (2020 – 217 сл. или 18,26 на 100 тыс. нас.).</w:t>
      </w:r>
    </w:p>
    <w:p w:rsidR="003F2975" w:rsidRPr="0066263B" w:rsidRDefault="003F2975" w:rsidP="003F297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Удельный вес ОКИ неустановленной этиологии в сумме ОКИ составил 75,7% (2020 – 89,5%). Зарегистрировано острых кишечных инфекций, не установленной этиологии – 2 272 случая или 189,8 на 100 тысяч населения, рост по сравнению с 2020 годом на 22% (2020 – 1 842 сл. или 155 на 100 тыс. нас.).</w:t>
      </w:r>
    </w:p>
    <w:p w:rsidR="003F2975" w:rsidRPr="0066263B" w:rsidRDefault="003F2975" w:rsidP="0040173A">
      <w:pPr>
        <w:spacing w:before="0" w:after="0"/>
        <w:ind w:firstLine="709"/>
        <w:rPr>
          <w:rFonts w:ascii="Times New Roman" w:eastAsia="Times New Roman" w:hAnsi="Times New Roman" w:cs="Times New Roman"/>
          <w:sz w:val="24"/>
          <w:szCs w:val="24"/>
          <w:lang w:eastAsia="ru-RU"/>
        </w:rPr>
      </w:pPr>
    </w:p>
    <w:p w:rsidR="0039433E" w:rsidRPr="0066263B" w:rsidRDefault="0039433E" w:rsidP="0040173A">
      <w:pPr>
        <w:spacing w:before="0" w:after="0"/>
        <w:ind w:firstLine="709"/>
        <w:rPr>
          <w:rFonts w:ascii="Times New Roman" w:eastAsia="Times New Roman" w:hAnsi="Times New Roman" w:cs="Times New Roman"/>
          <w:sz w:val="24"/>
          <w:szCs w:val="24"/>
          <w:lang w:eastAsia="ru-RU"/>
        </w:rPr>
      </w:pPr>
    </w:p>
    <w:p w:rsidR="003F2975" w:rsidRPr="0066263B" w:rsidRDefault="003F2975" w:rsidP="003F2975">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127171" cy="2476500"/>
            <wp:effectExtent l="0" t="0" r="0" b="0"/>
            <wp:docPr id="75"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F2975" w:rsidRPr="0066263B" w:rsidRDefault="003F2975" w:rsidP="0040173A">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81</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Сезонность заболеваемости прочими ОКИ, на 100 тыс. населения</w:t>
      </w:r>
    </w:p>
    <w:p w:rsidR="00480567" w:rsidRPr="0066263B" w:rsidRDefault="00480567" w:rsidP="0040173A">
      <w:pPr>
        <w:spacing w:before="0" w:after="0"/>
        <w:ind w:firstLine="709"/>
        <w:rPr>
          <w:rFonts w:ascii="Times New Roman" w:eastAsia="Times New Roman" w:hAnsi="Times New Roman" w:cs="Times New Roman"/>
          <w:sz w:val="24"/>
          <w:szCs w:val="24"/>
          <w:lang w:eastAsia="ru-RU"/>
        </w:rPr>
      </w:pPr>
    </w:p>
    <w:p w:rsidR="0039433E" w:rsidRPr="0066263B" w:rsidRDefault="0039433E">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480567" w:rsidRPr="0066263B" w:rsidRDefault="00480567" w:rsidP="0048056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2021 году заболеваемость с марта по декабрь распределялась относительно равномерно, с понижением уровня заболеваемости в январе-феврале.</w:t>
      </w:r>
    </w:p>
    <w:p w:rsidR="00480567" w:rsidRPr="0066263B" w:rsidRDefault="00480567" w:rsidP="0048056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Анализ этиологической структуры ОКИ с установленным возбудителем в 2021 году показывает, что </w:t>
      </w:r>
      <w:proofErr w:type="gramStart"/>
      <w:r w:rsidRPr="0066263B">
        <w:rPr>
          <w:rFonts w:ascii="Times New Roman" w:eastAsia="Times New Roman" w:hAnsi="Times New Roman" w:cs="Times New Roman"/>
          <w:sz w:val="24"/>
          <w:szCs w:val="24"/>
          <w:lang w:eastAsia="ru-RU"/>
        </w:rPr>
        <w:t>на</w:t>
      </w:r>
      <w:proofErr w:type="gramEnd"/>
      <w:r w:rsidRPr="0066263B">
        <w:rPr>
          <w:rFonts w:ascii="Times New Roman" w:eastAsia="Times New Roman" w:hAnsi="Times New Roman" w:cs="Times New Roman"/>
          <w:sz w:val="24"/>
          <w:szCs w:val="24"/>
          <w:lang w:eastAsia="ru-RU"/>
        </w:rPr>
        <w:t xml:space="preserve"> </w:t>
      </w:r>
      <w:proofErr w:type="gramStart"/>
      <w:r w:rsidRPr="0066263B">
        <w:rPr>
          <w:rFonts w:ascii="Times New Roman" w:eastAsia="Times New Roman" w:hAnsi="Times New Roman" w:cs="Times New Roman"/>
          <w:sz w:val="24"/>
          <w:szCs w:val="24"/>
          <w:lang w:eastAsia="ru-RU"/>
        </w:rPr>
        <w:t>ОКИ</w:t>
      </w:r>
      <w:proofErr w:type="gramEnd"/>
      <w:r w:rsidRPr="0066263B">
        <w:rPr>
          <w:rFonts w:ascii="Times New Roman" w:eastAsia="Times New Roman" w:hAnsi="Times New Roman" w:cs="Times New Roman"/>
          <w:sz w:val="24"/>
          <w:szCs w:val="24"/>
          <w:lang w:eastAsia="ru-RU"/>
        </w:rPr>
        <w:t xml:space="preserve"> вирусной этиологии приходится 73,9%, ОКИ бактериальной этиологии – 23,7%, ОКИ, вызванные эшерихиозами, – 2,4% (рис. </w:t>
      </w:r>
      <w:r w:rsidR="00921A39" w:rsidRPr="0066263B">
        <w:rPr>
          <w:rFonts w:ascii="Times New Roman" w:eastAsia="Times New Roman" w:hAnsi="Times New Roman" w:cs="Times New Roman"/>
          <w:sz w:val="24"/>
          <w:szCs w:val="24"/>
          <w:lang w:eastAsia="ru-RU"/>
        </w:rPr>
        <w:t>82</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CD3440" w:rsidRPr="0066263B" w:rsidRDefault="00CD3440" w:rsidP="00CD3440">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221461" cy="2013217"/>
            <wp:effectExtent l="19050" t="0" r="0" b="0"/>
            <wp:docPr id="2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82</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Этиологическая структура ОКИ с установленным возбудителем</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2A5871" w:rsidRPr="0066263B" w:rsidRDefault="002A5871" w:rsidP="00324483">
      <w:pPr>
        <w:spacing w:before="0" w:after="0"/>
        <w:ind w:firstLine="709"/>
        <w:rPr>
          <w:rFonts w:ascii="Times New Roman" w:eastAsia="Times New Roman" w:hAnsi="Times New Roman" w:cs="Times New Roman"/>
          <w:sz w:val="24"/>
          <w:szCs w:val="24"/>
          <w:lang w:eastAsia="ru-RU"/>
        </w:rPr>
      </w:pPr>
    </w:p>
    <w:p w:rsidR="003A0957" w:rsidRPr="0066263B" w:rsidRDefault="003A0957" w:rsidP="003A095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зарегистрировано 436 случаев ОКИ вирусной этиологии или 36,42 на 100 тысяч населения, что в 3,2 раза выше, чем в 2020 году (2020 – 134 сл. или 11,28 на 100 тыс. нас.). Этиологической детерминантой, определяющей заболеваемость ОКИ вирусной этиологии в 2021 году на территории Брянской области являются ротавирусы (62,1%), а также норовирусы (37,8%)</w:t>
      </w:r>
      <w:r w:rsidR="002A5871" w:rsidRPr="0066263B">
        <w:rPr>
          <w:rFonts w:ascii="Times New Roman" w:eastAsia="Times New Roman" w:hAnsi="Times New Roman" w:cs="Times New Roman"/>
          <w:sz w:val="24"/>
          <w:szCs w:val="24"/>
          <w:lang w:eastAsia="ru-RU"/>
        </w:rPr>
        <w:t>.</w:t>
      </w:r>
    </w:p>
    <w:p w:rsidR="003A0957" w:rsidRPr="0066263B" w:rsidRDefault="003A0957" w:rsidP="00324483">
      <w:pPr>
        <w:spacing w:before="0" w:after="0"/>
        <w:ind w:firstLine="709"/>
        <w:rPr>
          <w:rFonts w:ascii="Times New Roman" w:eastAsia="Times New Roman" w:hAnsi="Times New Roman" w:cs="Times New Roman"/>
          <w:sz w:val="24"/>
          <w:szCs w:val="24"/>
          <w:lang w:eastAsia="ru-RU"/>
        </w:rPr>
      </w:pPr>
    </w:p>
    <w:p w:rsidR="00480567" w:rsidRPr="0066263B" w:rsidRDefault="002A5871" w:rsidP="002A5871">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676900" cy="2501900"/>
            <wp:effectExtent l="0" t="0" r="0" b="0"/>
            <wp:docPr id="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A5871" w:rsidRPr="0066263B" w:rsidRDefault="002A5871" w:rsidP="00CD3440">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83</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ОКИ вирусной этиологии различных возрастных групп,</w:t>
      </w:r>
      <w:r w:rsidRPr="0066263B">
        <w:rPr>
          <w:rFonts w:ascii="Times New Roman" w:eastAsia="Times New Roman" w:hAnsi="Times New Roman" w:cs="Times New Roman"/>
          <w:lang w:eastAsia="ru-RU"/>
        </w:rPr>
        <w:br/>
        <w:t>на 100 тыс.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2A5871" w:rsidRPr="0066263B" w:rsidRDefault="002A5871" w:rsidP="002A5871">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В возрастной структуре заболевших ОКИ вирусной этиологии изменений по сравнению с предыдущими годами не произошло: самые высокие уровни заболеваемости отмечались среди детей до года, 1-2 года – 392,9 и 526,7 на 100 тысяч детей соответственно, что в 2,1 и 2,8 раза превышает показатель заболеваемости у детей до 17 лет (186,7 на 100 тыс. нас.), что свидетельствует об активном действии </w:t>
      </w:r>
      <w:r w:rsidRPr="0066263B">
        <w:rPr>
          <w:rFonts w:ascii="Times New Roman" w:eastAsia="Times New Roman" w:hAnsi="Times New Roman" w:cs="Times New Roman"/>
          <w:sz w:val="24"/>
          <w:szCs w:val="24"/>
          <w:lang w:eastAsia="ru-RU"/>
        </w:rPr>
        <w:lastRenderedPageBreak/>
        <w:t>контактно-бытового пути</w:t>
      </w:r>
      <w:proofErr w:type="gramEnd"/>
      <w:r w:rsidRPr="0066263B">
        <w:rPr>
          <w:rFonts w:ascii="Times New Roman" w:eastAsia="Times New Roman" w:hAnsi="Times New Roman" w:cs="Times New Roman"/>
          <w:sz w:val="24"/>
          <w:szCs w:val="24"/>
          <w:lang w:eastAsia="ru-RU"/>
        </w:rPr>
        <w:t xml:space="preserve"> передачи в домашних очагах, и в детских коллективах, где в результате заноса инфекции происходит её распространение.</w:t>
      </w:r>
    </w:p>
    <w:p w:rsidR="009357A7" w:rsidRPr="0066263B" w:rsidRDefault="009357A7" w:rsidP="00324483">
      <w:pPr>
        <w:spacing w:before="0" w:after="0"/>
        <w:ind w:firstLine="709"/>
        <w:jc w:val="right"/>
        <w:rPr>
          <w:rFonts w:ascii="Times New Roman" w:eastAsia="Calibri" w:hAnsi="Times New Roman" w:cs="Times New Roman"/>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86</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ОКИ</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4"/>
        <w:gridCol w:w="711"/>
        <w:gridCol w:w="717"/>
        <w:gridCol w:w="713"/>
        <w:gridCol w:w="715"/>
        <w:gridCol w:w="717"/>
        <w:gridCol w:w="717"/>
        <w:gridCol w:w="717"/>
        <w:gridCol w:w="717"/>
        <w:gridCol w:w="717"/>
        <w:gridCol w:w="711"/>
      </w:tblGrid>
      <w:tr w:rsidR="002A5871" w:rsidRPr="0066263B" w:rsidTr="002A5871">
        <w:trPr>
          <w:cantSplit/>
          <w:trHeight w:val="204"/>
        </w:trPr>
        <w:tc>
          <w:tcPr>
            <w:tcW w:w="1149" w:type="pct"/>
            <w:vMerge w:val="restar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jc w:val="center"/>
              <w:rPr>
                <w:rFonts w:ascii="Times New Roman" w:eastAsia="Times New Roman" w:hAnsi="Times New Roman" w:cs="Times New Roman"/>
                <w:lang w:eastAsia="ru-RU"/>
              </w:rPr>
            </w:pPr>
          </w:p>
        </w:tc>
        <w:tc>
          <w:tcPr>
            <w:tcW w:w="769" w:type="pct"/>
            <w:gridSpan w:val="2"/>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769" w:type="pct"/>
            <w:gridSpan w:val="2"/>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772" w:type="pct"/>
            <w:gridSpan w:val="2"/>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72" w:type="pct"/>
            <w:gridSpan w:val="2"/>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69" w:type="pct"/>
            <w:gridSpan w:val="2"/>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2A5871" w:rsidRPr="0066263B" w:rsidTr="002A5871">
        <w:trPr>
          <w:cantSplit/>
          <w:trHeight w:val="914"/>
        </w:trPr>
        <w:tc>
          <w:tcPr>
            <w:tcW w:w="1149" w:type="pct"/>
            <w:vMerge/>
            <w:tcBorders>
              <w:top w:val="single" w:sz="4" w:space="0" w:color="auto"/>
              <w:left w:val="single" w:sz="4" w:space="0" w:color="auto"/>
              <w:bottom w:val="single" w:sz="4" w:space="0" w:color="auto"/>
              <w:right w:val="single" w:sz="4" w:space="0" w:color="auto"/>
            </w:tcBorders>
          </w:tcPr>
          <w:p w:rsidR="002A5871" w:rsidRPr="0066263B" w:rsidRDefault="002A5871" w:rsidP="00CD3440">
            <w:pPr>
              <w:tabs>
                <w:tab w:val="center" w:pos="4677"/>
                <w:tab w:val="right" w:pos="9355"/>
              </w:tabs>
              <w:spacing w:before="20" w:after="20"/>
              <w:rPr>
                <w:rFonts w:ascii="Times New Roman" w:eastAsia="Times New Roman" w:hAnsi="Times New Roman" w:cs="Times New Roman"/>
                <w:lang w:eastAsia="ru-RU"/>
              </w:rPr>
            </w:pP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на 100 тыс. нас.</w:t>
            </w:r>
          </w:p>
        </w:tc>
        <w:tc>
          <w:tcPr>
            <w:tcW w:w="384"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абс.</w:t>
            </w:r>
          </w:p>
        </w:tc>
        <w:tc>
          <w:tcPr>
            <w:tcW w:w="385"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абс.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на 100 тыс. нас.</w:t>
            </w:r>
          </w:p>
        </w:tc>
        <w:tc>
          <w:tcPr>
            <w:tcW w:w="386"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абс.</w:t>
            </w: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2A5871" w:rsidRPr="0066263B" w:rsidRDefault="002A5871" w:rsidP="005D765B">
            <w:pPr>
              <w:spacing w:before="20" w:after="20"/>
              <w:ind w:left="113"/>
              <w:jc w:val="left"/>
              <w:rPr>
                <w:rFonts w:ascii="Times New Roman" w:eastAsia="Times New Roman" w:hAnsi="Times New Roman" w:cs="Times New Roman"/>
                <w:b/>
                <w:i/>
                <w:sz w:val="21"/>
                <w:szCs w:val="21"/>
                <w:lang w:eastAsia="ru-RU"/>
              </w:rPr>
            </w:pPr>
            <w:r w:rsidRPr="0066263B">
              <w:rPr>
                <w:rFonts w:ascii="Times New Roman" w:eastAsia="Times New Roman" w:hAnsi="Times New Roman" w:cs="Times New Roman"/>
                <w:b/>
                <w:i/>
                <w:sz w:val="21"/>
                <w:szCs w:val="21"/>
                <w:lang w:eastAsia="ru-RU"/>
              </w:rPr>
              <w:t>на 100 тыс. нас.</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Паратиф</w:t>
            </w:r>
            <w:proofErr w:type="gramStart"/>
            <w:r w:rsidRPr="0066263B">
              <w:rPr>
                <w:rFonts w:ascii="Times New Roman" w:eastAsia="Times New Roman" w:hAnsi="Times New Roman" w:cs="Times New Roman"/>
                <w:lang w:eastAsia="ru-RU"/>
              </w:rPr>
              <w:t xml:space="preserve"> А</w:t>
            </w:r>
            <w:proofErr w:type="gramEnd"/>
            <w:r w:rsidRPr="0066263B">
              <w:rPr>
                <w:rFonts w:ascii="Times New Roman" w:eastAsia="Times New Roman" w:hAnsi="Times New Roman" w:cs="Times New Roman"/>
                <w:lang w:eastAsia="ru-RU"/>
              </w:rPr>
              <w:t>, В, С</w:t>
            </w:r>
          </w:p>
        </w:tc>
        <w:tc>
          <w:tcPr>
            <w:tcW w:w="383"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6"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4"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5"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6"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6"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6"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6"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Сальмонеллёзы</w:t>
            </w:r>
          </w:p>
        </w:tc>
        <w:tc>
          <w:tcPr>
            <w:tcW w:w="383"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221</w:t>
            </w:r>
          </w:p>
        </w:tc>
        <w:tc>
          <w:tcPr>
            <w:tcW w:w="386" w:type="pct"/>
            <w:tcBorders>
              <w:top w:val="single" w:sz="4" w:space="0" w:color="auto"/>
              <w:left w:val="single" w:sz="4" w:space="0" w:color="auto"/>
              <w:bottom w:val="single" w:sz="4" w:space="0" w:color="auto"/>
              <w:right w:val="single" w:sz="4" w:space="0" w:color="auto"/>
            </w:tcBorders>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18,16</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230</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19,03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279</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23,18</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10,44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133</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11,11</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Сальмонеллёзы</w:t>
            </w:r>
            <w:proofErr w:type="gramStart"/>
            <w:r w:rsidRPr="0066263B">
              <w:rPr>
                <w:rFonts w:ascii="Times New Roman" w:eastAsia="Times New Roman" w:hAnsi="Times New Roman" w:cs="Times New Roman"/>
                <w:lang w:eastAsia="ru-RU"/>
              </w:rPr>
              <w:t xml:space="preserve"> В</w:t>
            </w:r>
            <w:proofErr w:type="gramEnd"/>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29</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2,38</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2,81</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1,85</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1,42</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Сальмонеллёзы</w:t>
            </w:r>
            <w:proofErr w:type="gramStart"/>
            <w:r w:rsidRPr="0066263B">
              <w:rPr>
                <w:rFonts w:ascii="Times New Roman" w:eastAsia="Times New Roman" w:hAnsi="Times New Roman" w:cs="Times New Roman"/>
                <w:lang w:eastAsia="ru-RU"/>
              </w:rPr>
              <w:t xml:space="preserve"> С</w:t>
            </w:r>
            <w:proofErr w:type="gramEnd"/>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1,07</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0,99</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1,16</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0,33</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Сальмонеллёзы D</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162</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13,31</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162</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13,40</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217</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17,78</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7,57</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103</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Дизентерия</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2,14</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3,144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1,25</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1,18</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Дизентерия </w:t>
            </w:r>
            <w:proofErr w:type="spellStart"/>
            <w:r w:rsidRPr="0066263B">
              <w:rPr>
                <w:rFonts w:ascii="Times New Roman" w:eastAsia="Times New Roman" w:hAnsi="Times New Roman" w:cs="Times New Roman"/>
                <w:lang w:eastAsia="ru-RU"/>
              </w:rPr>
              <w:t>бакподтверждённая</w:t>
            </w:r>
            <w:proofErr w:type="spellEnd"/>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1,64</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0,91</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1,01</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1,34</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Дизентерия Зонне</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1,56</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0,66</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0,17</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1,17</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Дизентерия</w:t>
            </w:r>
            <w:r w:rsidRPr="0066263B">
              <w:rPr>
                <w:rFonts w:ascii="Times New Roman" w:eastAsia="Times New Roman" w:hAnsi="Times New Roman" w:cs="Times New Roman"/>
                <w:lang w:eastAsia="ru-RU"/>
              </w:rPr>
              <w:br/>
              <w:t>Флекснера</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0,08</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0,25</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0,17</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Прочие ОКИ</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4918</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404,1</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4486</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371,1</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4384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364,2</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2059</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173,3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2851</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238,2</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ОКИ установленной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1185</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97,38</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1139</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94,22</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764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63,47</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217</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18,26</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579</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48,37</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ОКИ </w:t>
            </w:r>
            <w:proofErr w:type="spellStart"/>
            <w:r w:rsidRPr="0066263B">
              <w:rPr>
                <w:rFonts w:ascii="Times New Roman" w:eastAsia="Times New Roman" w:hAnsi="Times New Roman" w:cs="Times New Roman"/>
                <w:lang w:eastAsia="ru-RU"/>
              </w:rPr>
              <w:t>ротавирусные</w:t>
            </w:r>
            <w:proofErr w:type="spellEnd"/>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733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60,23</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813</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67,26</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490</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40,71</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134</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11,28</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271</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22,64</w:t>
            </w:r>
          </w:p>
        </w:tc>
      </w:tr>
      <w:tr w:rsidR="002A5871" w:rsidRPr="0066263B" w:rsidTr="002A5871">
        <w:trPr>
          <w:cantSplit/>
        </w:trPr>
        <w:tc>
          <w:tcPr>
            <w:tcW w:w="1149" w:type="pct"/>
            <w:tcBorders>
              <w:top w:val="single" w:sz="4" w:space="0" w:color="auto"/>
              <w:left w:val="single" w:sz="4" w:space="0" w:color="auto"/>
              <w:bottom w:val="single" w:sz="4" w:space="0" w:color="auto"/>
              <w:right w:val="single" w:sz="4" w:space="0" w:color="auto"/>
            </w:tcBorders>
          </w:tcPr>
          <w:p w:rsidR="002A5871" w:rsidRPr="0066263B" w:rsidRDefault="002A5871"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ОКИ неустановленной этиологии</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3733</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306,8</w:t>
            </w:r>
          </w:p>
        </w:tc>
        <w:tc>
          <w:tcPr>
            <w:tcW w:w="384"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3347</w:t>
            </w:r>
          </w:p>
        </w:tc>
        <w:tc>
          <w:tcPr>
            <w:tcW w:w="385"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276,9</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3820</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300,7</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1842</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C9082D">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155</w:t>
            </w:r>
          </w:p>
        </w:tc>
        <w:tc>
          <w:tcPr>
            <w:tcW w:w="386"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2272</w:t>
            </w:r>
          </w:p>
        </w:tc>
        <w:tc>
          <w:tcPr>
            <w:tcW w:w="383" w:type="pct"/>
            <w:tcBorders>
              <w:top w:val="single" w:sz="4" w:space="0" w:color="auto"/>
              <w:left w:val="single" w:sz="4" w:space="0" w:color="auto"/>
              <w:bottom w:val="single" w:sz="4" w:space="0" w:color="auto"/>
              <w:right w:val="single" w:sz="4" w:space="0" w:color="auto"/>
            </w:tcBorders>
            <w:vAlign w:val="center"/>
          </w:tcPr>
          <w:p w:rsidR="002A5871" w:rsidRPr="0066263B" w:rsidRDefault="002A5871" w:rsidP="002A587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189,8</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
          <w:bCs/>
          <w:i/>
          <w:sz w:val="24"/>
          <w:szCs w:val="24"/>
        </w:rPr>
      </w:pPr>
      <w:r w:rsidRPr="0066263B">
        <w:rPr>
          <w:rFonts w:ascii="Times New Roman" w:eastAsia="TimesNewRomanPS-BoldMT" w:hAnsi="Times New Roman" w:cs="Times New Roman"/>
          <w:b/>
          <w:bCs/>
          <w:i/>
          <w:sz w:val="24"/>
          <w:szCs w:val="24"/>
        </w:rPr>
        <w:t>Групповые эпидемические очаги инфекционных заболеваний</w:t>
      </w:r>
    </w:p>
    <w:p w:rsidR="00BC7927" w:rsidRPr="0066263B" w:rsidRDefault="00BC7927" w:rsidP="00BC792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территории Брянской области за 2021 всего зарегистрировано 3 очага групповой инфекционной заболеваемости </w:t>
      </w:r>
      <w:r w:rsidRPr="0066263B">
        <w:rPr>
          <w:rFonts w:ascii="Times New Roman" w:hAnsi="Times New Roman" w:cs="Times New Roman"/>
          <w:sz w:val="24"/>
          <w:szCs w:val="24"/>
        </w:rPr>
        <w:t xml:space="preserve">– </w:t>
      </w:r>
      <w:r w:rsidRPr="0066263B">
        <w:rPr>
          <w:rFonts w:ascii="Times New Roman" w:eastAsia="Times New Roman" w:hAnsi="Times New Roman" w:cs="Times New Roman"/>
          <w:sz w:val="24"/>
          <w:szCs w:val="24"/>
          <w:lang w:eastAsia="ru-RU"/>
        </w:rPr>
        <w:t>норовирусной инфекции второго генотипа, с множественными случаями заболеваний в образовательных учреждениях:</w:t>
      </w:r>
    </w:p>
    <w:p w:rsidR="00BC7927" w:rsidRPr="0066263B" w:rsidRDefault="00BC7927" w:rsidP="00BE7104">
      <w:pPr>
        <w:pStyle w:val="aff9"/>
        <w:widowControl w:val="0"/>
        <w:numPr>
          <w:ilvl w:val="0"/>
          <w:numId w:val="71"/>
        </w:numPr>
        <w:autoSpaceDE w:val="0"/>
        <w:autoSpaceDN w:val="0"/>
        <w:adjustRightInd w:val="0"/>
        <w:ind w:left="993" w:hanging="284"/>
        <w:jc w:val="both"/>
      </w:pPr>
      <w:r w:rsidRPr="0066263B">
        <w:t>МБОУ «Гимназия № 3 г. Брянска», количество пострадавших – 108 чел</w:t>
      </w:r>
      <w:r w:rsidR="008E5F92" w:rsidRPr="0066263B">
        <w:t>овек</w:t>
      </w:r>
      <w:r w:rsidRPr="0066263B">
        <w:t>, в том числе детей до 17-ти лет</w:t>
      </w:r>
      <w:r w:rsidR="008E5F92" w:rsidRPr="0066263B">
        <w:t xml:space="preserve"> –</w:t>
      </w:r>
      <w:r w:rsidRPr="0066263B">
        <w:t xml:space="preserve"> 105</w:t>
      </w:r>
      <w:r w:rsidR="008E5F92" w:rsidRPr="0066263B">
        <w:t>.</w:t>
      </w:r>
    </w:p>
    <w:p w:rsidR="00BC7927" w:rsidRPr="0066263B" w:rsidRDefault="00BC7927" w:rsidP="00BE7104">
      <w:pPr>
        <w:pStyle w:val="aff9"/>
        <w:widowControl w:val="0"/>
        <w:numPr>
          <w:ilvl w:val="0"/>
          <w:numId w:val="71"/>
        </w:numPr>
        <w:autoSpaceDE w:val="0"/>
        <w:autoSpaceDN w:val="0"/>
        <w:adjustRightInd w:val="0"/>
        <w:ind w:left="993" w:hanging="284"/>
        <w:jc w:val="both"/>
      </w:pPr>
      <w:r w:rsidRPr="0066263B">
        <w:t xml:space="preserve">МБОУ </w:t>
      </w:r>
      <w:proofErr w:type="spellStart"/>
      <w:r w:rsidRPr="0066263B">
        <w:t>Климовская</w:t>
      </w:r>
      <w:proofErr w:type="spellEnd"/>
      <w:r w:rsidRPr="0066263B">
        <w:t xml:space="preserve"> средняя общеобразовательная школа №</w:t>
      </w:r>
      <w:r w:rsidR="008E5F92" w:rsidRPr="0066263B">
        <w:t> </w:t>
      </w:r>
      <w:r w:rsidRPr="0066263B">
        <w:t xml:space="preserve">1, количество пострадавших </w:t>
      </w:r>
      <w:r w:rsidR="008E5F92" w:rsidRPr="0066263B">
        <w:t xml:space="preserve">– </w:t>
      </w:r>
      <w:r w:rsidRPr="0066263B">
        <w:t>56 чел</w:t>
      </w:r>
      <w:r w:rsidR="008E5F92" w:rsidRPr="0066263B">
        <w:t>овек</w:t>
      </w:r>
      <w:r w:rsidRPr="0066263B">
        <w:t>, в том числе 56 детей до 17 лет</w:t>
      </w:r>
      <w:r w:rsidR="008E5F92" w:rsidRPr="0066263B">
        <w:t>.</w:t>
      </w:r>
    </w:p>
    <w:p w:rsidR="00BC7927" w:rsidRPr="0066263B" w:rsidRDefault="00BC7927" w:rsidP="00BE7104">
      <w:pPr>
        <w:pStyle w:val="aff9"/>
        <w:widowControl w:val="0"/>
        <w:numPr>
          <w:ilvl w:val="0"/>
          <w:numId w:val="71"/>
        </w:numPr>
        <w:autoSpaceDE w:val="0"/>
        <w:autoSpaceDN w:val="0"/>
        <w:adjustRightInd w:val="0"/>
        <w:ind w:left="993" w:hanging="284"/>
        <w:jc w:val="both"/>
      </w:pPr>
      <w:r w:rsidRPr="0066263B">
        <w:t xml:space="preserve">МБОУ </w:t>
      </w:r>
      <w:proofErr w:type="spellStart"/>
      <w:r w:rsidRPr="0066263B">
        <w:t>Гордеевская</w:t>
      </w:r>
      <w:proofErr w:type="spellEnd"/>
      <w:r w:rsidRPr="0066263B">
        <w:t xml:space="preserve"> средняя общеобразовательная школа, количество пострадавших </w:t>
      </w:r>
      <w:r w:rsidR="008E5F92" w:rsidRPr="0066263B">
        <w:t xml:space="preserve">– </w:t>
      </w:r>
      <w:r w:rsidRPr="0066263B">
        <w:t xml:space="preserve">32 человека, в том числе дети до 17-ти лет </w:t>
      </w:r>
      <w:r w:rsidR="008E5F92" w:rsidRPr="0066263B">
        <w:t xml:space="preserve">– </w:t>
      </w:r>
      <w:r w:rsidRPr="0066263B">
        <w:t>31 чел</w:t>
      </w:r>
      <w:r w:rsidR="008E5F92" w:rsidRPr="0066263B">
        <w:t>овек</w:t>
      </w:r>
      <w:r w:rsidRPr="0066263B">
        <w:t>, взрослый – 1 человек.</w:t>
      </w:r>
    </w:p>
    <w:p w:rsidR="00BC7927" w:rsidRPr="0066263B" w:rsidRDefault="00BC7927" w:rsidP="00BC7927">
      <w:pPr>
        <w:spacing w:before="0" w:after="0"/>
        <w:ind w:firstLine="709"/>
        <w:rPr>
          <w:rFonts w:ascii="Times New Roman" w:eastAsia="Times New Roman" w:hAnsi="Times New Roman" w:cs="Times New Roman"/>
          <w:sz w:val="24"/>
          <w:szCs w:val="24"/>
          <w:lang w:eastAsia="ru-RU"/>
        </w:rPr>
      </w:pPr>
    </w:p>
    <w:p w:rsidR="00BC7927" w:rsidRPr="0066263B" w:rsidRDefault="00BC7927" w:rsidP="00BC792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Общее количество заболевших в очагах – 196 человек, из них</w:t>
      </w:r>
      <w:r w:rsidR="008E5F92"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192 – дети до 17 лет.</w:t>
      </w:r>
    </w:p>
    <w:p w:rsidR="00BC7927" w:rsidRPr="0066263B" w:rsidRDefault="00BC7927" w:rsidP="00CD3440">
      <w:pPr>
        <w:spacing w:before="0" w:after="0"/>
        <w:ind w:firstLine="709"/>
        <w:rPr>
          <w:rFonts w:ascii="Times New Roman" w:eastAsia="Times New Roman" w:hAnsi="Times New Roman" w:cs="Times New Roman"/>
          <w:sz w:val="24"/>
          <w:szCs w:val="24"/>
          <w:lang w:eastAsia="ru-RU"/>
        </w:rPr>
      </w:pPr>
    </w:p>
    <w:p w:rsidR="00CD3440"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Брянской области за 2020 год групповая заболеваемость инфекционными и паразитарными заболеваниями не регистрировалась, за исключением новой коронавирусной инфекции (COVID-19).</w:t>
      </w:r>
    </w:p>
    <w:p w:rsidR="00CD3440" w:rsidRPr="0066263B" w:rsidRDefault="005D765B" w:rsidP="00CD3440">
      <w:pPr>
        <w:spacing w:before="0"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Pr="0066263B">
        <w:rPr>
          <w:rFonts w:ascii="Times New Roman" w:eastAsia="Times New Roman" w:hAnsi="Times New Roman" w:cs="Times New Roman"/>
          <w:sz w:val="24"/>
          <w:szCs w:val="24"/>
          <w:lang w:eastAsia="ru-RU"/>
        </w:rPr>
        <w:t xml:space="preserve"> 2020 году </w:t>
      </w:r>
      <w:r w:rsidR="00CD3440" w:rsidRPr="0066263B">
        <w:rPr>
          <w:rFonts w:ascii="Times New Roman" w:eastAsia="Times New Roman" w:hAnsi="Times New Roman" w:cs="Times New Roman"/>
          <w:sz w:val="24"/>
          <w:szCs w:val="24"/>
          <w:lang w:eastAsia="ru-RU"/>
        </w:rPr>
        <w:t xml:space="preserve">зарегистрировано 17 очагов COVID-19 </w:t>
      </w:r>
      <w:proofErr w:type="spellStart"/>
      <w:r w:rsidR="00CD3440" w:rsidRPr="0066263B">
        <w:rPr>
          <w:rFonts w:ascii="Times New Roman" w:eastAsia="Times New Roman" w:hAnsi="Times New Roman" w:cs="Times New Roman"/>
          <w:sz w:val="24"/>
          <w:szCs w:val="24"/>
          <w:lang w:eastAsia="ru-RU"/>
        </w:rPr>
        <w:t>c</w:t>
      </w:r>
      <w:proofErr w:type="spellEnd"/>
      <w:r w:rsidR="00CD3440" w:rsidRPr="0066263B">
        <w:rPr>
          <w:rFonts w:ascii="Times New Roman" w:eastAsia="Times New Roman" w:hAnsi="Times New Roman" w:cs="Times New Roman"/>
          <w:sz w:val="24"/>
          <w:szCs w:val="24"/>
          <w:lang w:eastAsia="ru-RU"/>
        </w:rPr>
        <w:t xml:space="preserve"> распространением в организованных коллективах, в том числе:</w:t>
      </w:r>
    </w:p>
    <w:p w:rsidR="00CD3440" w:rsidRPr="0066263B" w:rsidRDefault="00CD3440" w:rsidP="00BE7104">
      <w:pPr>
        <w:numPr>
          <w:ilvl w:val="0"/>
          <w:numId w:val="47"/>
        </w:numPr>
        <w:spacing w:before="0" w:after="0"/>
        <w:ind w:left="1276"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6 – в медицинских организациях,</w:t>
      </w:r>
    </w:p>
    <w:p w:rsidR="00CD3440" w:rsidRPr="0066263B" w:rsidRDefault="00CD3440" w:rsidP="00BE7104">
      <w:pPr>
        <w:numPr>
          <w:ilvl w:val="0"/>
          <w:numId w:val="47"/>
        </w:numPr>
        <w:spacing w:before="0" w:after="0"/>
        <w:ind w:left="1276"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7 – в социальных стационарных организациях,</w:t>
      </w:r>
    </w:p>
    <w:p w:rsidR="00CD3440" w:rsidRPr="0066263B" w:rsidRDefault="00CD3440" w:rsidP="00BE7104">
      <w:pPr>
        <w:numPr>
          <w:ilvl w:val="0"/>
          <w:numId w:val="47"/>
        </w:numPr>
        <w:spacing w:before="0" w:after="0"/>
        <w:ind w:left="1276"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 – на промышленных предприятиях,</w:t>
      </w:r>
    </w:p>
    <w:p w:rsidR="00CD3440" w:rsidRPr="0066263B" w:rsidRDefault="00CD3440" w:rsidP="00BE7104">
      <w:pPr>
        <w:numPr>
          <w:ilvl w:val="0"/>
          <w:numId w:val="47"/>
        </w:numPr>
        <w:spacing w:before="0" w:after="0"/>
        <w:ind w:left="1276"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 – в организации санаторно-курортного типа,</w:t>
      </w:r>
    </w:p>
    <w:p w:rsidR="00CD3440" w:rsidRPr="0066263B" w:rsidRDefault="00CD3440" w:rsidP="00BE7104">
      <w:pPr>
        <w:numPr>
          <w:ilvl w:val="0"/>
          <w:numId w:val="47"/>
        </w:numPr>
        <w:spacing w:before="0" w:after="0"/>
        <w:ind w:left="1276"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1 – в спортивной организации.</w:t>
      </w:r>
    </w:p>
    <w:p w:rsidR="00CD3440" w:rsidRPr="0066263B" w:rsidRDefault="00CD3440"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
          <w:bCs/>
          <w:i/>
          <w:sz w:val="24"/>
          <w:szCs w:val="24"/>
        </w:rPr>
      </w:pPr>
      <w:r w:rsidRPr="0066263B">
        <w:rPr>
          <w:rFonts w:ascii="Times New Roman" w:eastAsia="TimesNewRomanPS-BoldMT" w:hAnsi="Times New Roman" w:cs="Times New Roman"/>
          <w:b/>
          <w:bCs/>
          <w:i/>
          <w:sz w:val="24"/>
          <w:szCs w:val="24"/>
        </w:rPr>
        <w:t>Природно-очаговые и зооантропонозные болезни</w:t>
      </w:r>
    </w:p>
    <w:p w:rsidR="00CD3440"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Брянской области существуют активные природные очаги бешенства, туляремии, лептоспирозов, ГЛПС, иерсиниозов, клещевого боррелиоза.</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87</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Заболеваемость людей опасными и природно-очаговыми инфекционными болезнями,</w:t>
      </w:r>
      <w:r w:rsidRPr="0066263B">
        <w:rPr>
          <w:rFonts w:ascii="Times New Roman" w:eastAsia="Times New Roman" w:hAnsi="Times New Roman" w:cs="Times New Roman"/>
          <w:b/>
          <w:lang w:eastAsia="ru-RU"/>
        </w:rPr>
        <w:br/>
        <w:t>абс. - на 100 тыс. нас.</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8"/>
        <w:gridCol w:w="656"/>
        <w:gridCol w:w="1273"/>
        <w:gridCol w:w="1704"/>
        <w:gridCol w:w="1417"/>
        <w:gridCol w:w="1417"/>
        <w:gridCol w:w="1256"/>
      </w:tblGrid>
      <w:tr w:rsidR="008E5F92" w:rsidRPr="0066263B" w:rsidTr="00E13A00">
        <w:trPr>
          <w:trHeight w:val="309"/>
          <w:jc w:val="center"/>
        </w:trPr>
        <w:tc>
          <w:tcPr>
            <w:tcW w:w="857" w:type="pct"/>
          </w:tcPr>
          <w:p w:rsidR="008E5F92" w:rsidRPr="0066263B" w:rsidRDefault="008E5F92" w:rsidP="00E13A00">
            <w:pPr>
              <w:spacing w:before="20" w:after="20"/>
              <w:rPr>
                <w:rFonts w:ascii="Times New Roman" w:eastAsia="Times New Roman" w:hAnsi="Times New Roman" w:cs="Times New Roman"/>
                <w:lang w:eastAsia="ru-RU"/>
              </w:rPr>
            </w:pPr>
          </w:p>
        </w:tc>
        <w:tc>
          <w:tcPr>
            <w:tcW w:w="352"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Туляремия</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Лептоспирозы</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ГЛПС</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Гидрофобия</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Болезнь Лайма</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Брянская обл.</w:t>
            </w:r>
          </w:p>
        </w:tc>
        <w:tc>
          <w:tcPr>
            <w:tcW w:w="352" w:type="pct"/>
            <w:vMerge w:val="restar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2014</w:t>
            </w: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3 - 0,24</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4 - 0,32</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94 - 7,53</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13 - 1,04</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ЦФО</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12 - 0,03</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57 - 0,15</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1196 - 3,1</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1671 - 4,33</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РФ</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96 - 0,07</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257 - 0,18</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11395 - 7,96</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6375 - 4,45</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Брянская обл.</w:t>
            </w:r>
          </w:p>
        </w:tc>
        <w:tc>
          <w:tcPr>
            <w:tcW w:w="352" w:type="pct"/>
            <w:vMerge w:val="restar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2015</w:t>
            </w: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2 - 0,16</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46 -3,76</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44 - 3,60</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ЦФО</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0,03</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3,31</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6,46</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РФ</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67 - 0,05</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128 - 0,09</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9201 - 6,31</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7359 - 5,05</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Брянская обл.</w:t>
            </w:r>
          </w:p>
        </w:tc>
        <w:tc>
          <w:tcPr>
            <w:tcW w:w="352" w:type="pct"/>
            <w:vMerge w:val="restar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2016</w:t>
            </w: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58 - 4,77</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37 - 3,05</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ЦФО</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21 - 0,05</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57 - 0,15</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834 - 2,14</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1925 - 4,95 </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РФ</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123 - 0,08</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166 - 0,11</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6021 - 4,12</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6103 - 4,18</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Брянская обл.</w:t>
            </w:r>
          </w:p>
        </w:tc>
        <w:tc>
          <w:tcPr>
            <w:tcW w:w="352" w:type="pct"/>
            <w:vMerge w:val="restar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2017</w:t>
            </w: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1 - 0,08</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1 - 0,08</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68 - 5,59</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54 - 4,44</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ЦФО</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8 - 0,02</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46 - 0,12</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738 - 1,89</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2069 - 5,30</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РФ</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168 - 0,11</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175 - 0,12</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8298 - 5,67</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6717 - 4,59</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Брянская обл.</w:t>
            </w:r>
          </w:p>
        </w:tc>
        <w:tc>
          <w:tcPr>
            <w:tcW w:w="352" w:type="pct"/>
            <w:vMerge w:val="restar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1 - 0,08</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28 - 2,32</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38 - 3,14</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ЦФО</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8 - 0,02</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42 - 0,11</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951 - 2,43</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2471 - 6,31</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РФ</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71 - 0,05</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139 - 0,09</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5855 - 3,99</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6481 - 4,42</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Брянская обл.</w:t>
            </w:r>
          </w:p>
        </w:tc>
        <w:tc>
          <w:tcPr>
            <w:tcW w:w="352" w:type="pct"/>
            <w:vMerge w:val="restar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91 - 7,56</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80 - 6,65</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ЦФО</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11 - 0,03</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75 - 0,19</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2164 - 5,51</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3504 - 8,93</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РФ</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41 - 0,03</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169 - 0,12</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14027 - 9,55</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8023 - 5,46</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Брянская обл.</w:t>
            </w:r>
          </w:p>
        </w:tc>
        <w:tc>
          <w:tcPr>
            <w:tcW w:w="352" w:type="pct"/>
            <w:vMerge w:val="restar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11 - 0,93</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52 - 4,38</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ЦФО</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4 - 0,01</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18 - 0,05</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518 - 1,32</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2218 - 5,64</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РФ</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40 - 0,03</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91 - 0,06</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3850 - 2,62</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4180 - 2,85</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Брянская обл.</w:t>
            </w:r>
          </w:p>
        </w:tc>
        <w:tc>
          <w:tcPr>
            <w:tcW w:w="352" w:type="pct"/>
            <w:vMerge w:val="restar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1 - 0,08</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15 - 1,25</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35 - 2,92</w:t>
            </w:r>
          </w:p>
        </w:tc>
      </w:tr>
      <w:tr w:rsidR="008E5F92" w:rsidRPr="0066263B" w:rsidTr="00E13A00">
        <w:trPr>
          <w:trHeight w:val="308"/>
          <w:jc w:val="center"/>
        </w:trPr>
        <w:tc>
          <w:tcPr>
            <w:tcW w:w="857" w:type="pct"/>
          </w:tcPr>
          <w:p w:rsidR="008E5F92" w:rsidRPr="0066263B" w:rsidRDefault="008E5F92"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РФ</w:t>
            </w:r>
          </w:p>
        </w:tc>
        <w:tc>
          <w:tcPr>
            <w:tcW w:w="352" w:type="pct"/>
            <w:vMerge/>
            <w:vAlign w:val="center"/>
          </w:tcPr>
          <w:p w:rsidR="008E5F92" w:rsidRPr="0066263B" w:rsidRDefault="008E5F92" w:rsidP="00E13A00">
            <w:pPr>
              <w:spacing w:before="20" w:after="20"/>
              <w:jc w:val="center"/>
              <w:rPr>
                <w:rFonts w:ascii="Times New Roman" w:eastAsia="Times New Roman" w:hAnsi="Times New Roman" w:cs="Times New Roman"/>
                <w:lang w:eastAsia="ru-RU"/>
              </w:rPr>
            </w:pPr>
          </w:p>
        </w:tc>
        <w:tc>
          <w:tcPr>
            <w:tcW w:w="683"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17 - 0,01</w:t>
            </w:r>
          </w:p>
        </w:tc>
        <w:tc>
          <w:tcPr>
            <w:tcW w:w="91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96 - 0,07</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2289 -1,56</w:t>
            </w:r>
          </w:p>
        </w:tc>
        <w:tc>
          <w:tcPr>
            <w:tcW w:w="760"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6 - 0</w:t>
            </w:r>
          </w:p>
        </w:tc>
        <w:tc>
          <w:tcPr>
            <w:tcW w:w="67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3850 - 2,62</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Эпидемиологический надзор за холерой</w:t>
      </w:r>
    </w:p>
    <w:p w:rsidR="00CD3440"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Согласно санитарно-эпидемиологическим правилам СП 3.1.1.2521-09 «Профилактика холеры. Общие требования к эпидемиологическому надзору за холерой» Брянская область относится к III типу, А подтипу эпидемических проявлений </w:t>
      </w:r>
      <w:r w:rsidRPr="0066263B">
        <w:rPr>
          <w:rFonts w:ascii="Times New Roman" w:eastAsia="Times New Roman" w:hAnsi="Times New Roman" w:cs="Times New Roman"/>
          <w:sz w:val="24"/>
          <w:szCs w:val="24"/>
          <w:lang w:eastAsia="ru-RU"/>
        </w:rPr>
        <w:lastRenderedPageBreak/>
        <w:t>холеры. Случаев завоза и распространения холеры на территории области за последние годы не зарегистрировано.</w:t>
      </w:r>
    </w:p>
    <w:p w:rsidR="00CD3440"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мониторинга за циркуляцией холерных вибрионов в окружающей среде, осуществляемого в рамках эпидемиологического надзора за холерой, исследования воды поверхностных водоёмов на холеру проводятся 1 раз в 7 дней в июле-августе. Всего на территории Брянской области определено 111 стационарных точек отбора проб воды поверхностных водоёмов. Все точки паспортизированы в соответствии с МУ 3.1.1.2232-07.</w:t>
      </w:r>
    </w:p>
    <w:p w:rsidR="00CD3440" w:rsidRPr="0066263B" w:rsidRDefault="00CD3440"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88</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Исследование проб воды из открытых водоёмов на наличие холерного вибриона, ед.</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0" w:type="auto"/>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1013"/>
        <w:gridCol w:w="1013"/>
        <w:gridCol w:w="1013"/>
        <w:gridCol w:w="1013"/>
        <w:gridCol w:w="1013"/>
      </w:tblGrid>
      <w:tr w:rsidR="008E5F92" w:rsidRPr="0066263B" w:rsidTr="00E13A00">
        <w:trPr>
          <w:jc w:val="center"/>
        </w:trPr>
        <w:tc>
          <w:tcPr>
            <w:tcW w:w="4111" w:type="dxa"/>
          </w:tcPr>
          <w:p w:rsidR="008E5F92" w:rsidRPr="0066263B" w:rsidRDefault="008E5F92" w:rsidP="00CD3440">
            <w:pPr>
              <w:spacing w:before="20" w:after="20"/>
              <w:rPr>
                <w:rFonts w:ascii="Times New Roman" w:eastAsia="Times New Roman" w:hAnsi="Times New Roman" w:cs="Times New Roman"/>
                <w:lang w:eastAsia="ru-RU"/>
              </w:rPr>
            </w:pPr>
          </w:p>
        </w:tc>
        <w:tc>
          <w:tcPr>
            <w:tcW w:w="1013" w:type="dxa"/>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1013" w:type="dxa"/>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1013" w:type="dxa"/>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013" w:type="dxa"/>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0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8E5F92" w:rsidRPr="0066263B" w:rsidTr="00E13A00">
        <w:trPr>
          <w:jc w:val="center"/>
        </w:trPr>
        <w:tc>
          <w:tcPr>
            <w:tcW w:w="4111" w:type="dxa"/>
          </w:tcPr>
          <w:p w:rsidR="008E5F92" w:rsidRPr="0066263B" w:rsidRDefault="008E5F92"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Исследовано проб воды</w:t>
            </w:r>
          </w:p>
        </w:tc>
        <w:tc>
          <w:tcPr>
            <w:tcW w:w="1013" w:type="dxa"/>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2350</w:t>
            </w:r>
          </w:p>
        </w:tc>
        <w:tc>
          <w:tcPr>
            <w:tcW w:w="1013" w:type="dxa"/>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2074</w:t>
            </w:r>
          </w:p>
        </w:tc>
        <w:tc>
          <w:tcPr>
            <w:tcW w:w="1013" w:type="dxa"/>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1040</w:t>
            </w:r>
          </w:p>
        </w:tc>
        <w:tc>
          <w:tcPr>
            <w:tcW w:w="1013" w:type="dxa"/>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1918</w:t>
            </w:r>
          </w:p>
        </w:tc>
        <w:tc>
          <w:tcPr>
            <w:tcW w:w="1013" w:type="dxa"/>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1904</w:t>
            </w:r>
          </w:p>
        </w:tc>
      </w:tr>
    </w:tbl>
    <w:p w:rsidR="008E5F92" w:rsidRPr="0066263B" w:rsidRDefault="008E5F92" w:rsidP="00CD3440">
      <w:pPr>
        <w:spacing w:before="0" w:after="0"/>
        <w:ind w:firstLine="709"/>
        <w:rPr>
          <w:rFonts w:ascii="Times New Roman" w:eastAsia="Times New Roman" w:hAnsi="Times New Roman" w:cs="Times New Roman"/>
          <w:sz w:val="24"/>
          <w:szCs w:val="24"/>
          <w:lang w:eastAsia="ru-RU"/>
        </w:rPr>
      </w:pPr>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пробах воды из поверхностных водоёмов обнаружены 4 случая наличия возбудителя холеры </w:t>
      </w:r>
      <w:proofErr w:type="spellStart"/>
      <w:r w:rsidRPr="0066263B">
        <w:rPr>
          <w:rFonts w:ascii="Times New Roman" w:eastAsia="Times New Roman" w:hAnsi="Times New Roman" w:cs="Times New Roman"/>
          <w:sz w:val="24"/>
          <w:szCs w:val="24"/>
          <w:lang w:eastAsia="ru-RU"/>
        </w:rPr>
        <w:t>V.Cholerae</w:t>
      </w:r>
      <w:proofErr w:type="spellEnd"/>
      <w:r w:rsidRPr="0066263B">
        <w:rPr>
          <w:rFonts w:ascii="Times New Roman" w:eastAsia="Times New Roman" w:hAnsi="Times New Roman" w:cs="Times New Roman"/>
          <w:sz w:val="24"/>
          <w:szCs w:val="24"/>
          <w:lang w:eastAsia="ru-RU"/>
        </w:rPr>
        <w:t xml:space="preserve"> не О</w:t>
      </w:r>
      <w:proofErr w:type="gramStart"/>
      <w:r w:rsidRPr="0066263B">
        <w:rPr>
          <w:rFonts w:ascii="Times New Roman" w:eastAsia="Times New Roman" w:hAnsi="Times New Roman" w:cs="Times New Roman"/>
          <w:sz w:val="24"/>
          <w:szCs w:val="24"/>
          <w:lang w:eastAsia="ru-RU"/>
        </w:rPr>
        <w:t>1</w:t>
      </w:r>
      <w:proofErr w:type="gramEnd"/>
      <w:r w:rsidRPr="0066263B">
        <w:rPr>
          <w:rFonts w:ascii="Times New Roman" w:eastAsia="Times New Roman" w:hAnsi="Times New Roman" w:cs="Times New Roman"/>
          <w:sz w:val="24"/>
          <w:szCs w:val="24"/>
          <w:lang w:eastAsia="ru-RU"/>
        </w:rPr>
        <w:t xml:space="preserve"> и не О139.</w:t>
      </w:r>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Диагностические исследования на холеру материала от людей в регламентированном объёме, в соответствии с </w:t>
      </w:r>
      <w:hyperlink r:id="rId96" w:history="1">
        <w:r w:rsidRPr="0066263B">
          <w:rPr>
            <w:rFonts w:ascii="Times New Roman" w:eastAsia="Times New Roman" w:hAnsi="Times New Roman" w:cs="Times New Roman"/>
            <w:sz w:val="24"/>
            <w:szCs w:val="24"/>
            <w:lang w:eastAsia="ru-RU"/>
          </w:rPr>
          <w:t>СанПиН 3.3686-21</w:t>
        </w:r>
      </w:hyperlink>
      <w:r w:rsidRPr="0066263B">
        <w:rPr>
          <w:rFonts w:ascii="Times New Roman" w:eastAsia="Times New Roman" w:hAnsi="Times New Roman" w:cs="Times New Roman"/>
          <w:sz w:val="24"/>
          <w:szCs w:val="24"/>
          <w:lang w:eastAsia="ru-RU"/>
        </w:rPr>
        <w:t xml:space="preserve"> «Санитарно-эпидемиологические требования по профилактике инфекционных болезней», проводят бактериологические лаборатории лечебно-профилактических учреждений области. За анализируемый период в отделение особо опасных инфекций микробиологической лаборатории ФБУЗ «Центр гигиены и эпидемиологии в Брянской области» культуры от лиц, обследованных в соответствии с требованиями, для идентификации не поступали.</w:t>
      </w:r>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повышения профессионального уровня медицинских работников в медицинских организациях области ежегодно проводятся семинары и учебно-тренировочные занятия с вводом условного больного. За 2016-2021 г.г. проведено 123 тренировочных заняти</w:t>
      </w:r>
      <w:r w:rsidR="00DE783E">
        <w:rPr>
          <w:rFonts w:ascii="Times New Roman" w:eastAsia="Times New Roman" w:hAnsi="Times New Roman" w:cs="Times New Roman"/>
          <w:sz w:val="24"/>
          <w:szCs w:val="24"/>
          <w:lang w:eastAsia="ru-RU"/>
        </w:rPr>
        <w:t>я</w:t>
      </w:r>
      <w:r w:rsidRPr="0066263B">
        <w:rPr>
          <w:rFonts w:ascii="Times New Roman" w:eastAsia="Times New Roman" w:hAnsi="Times New Roman" w:cs="Times New Roman"/>
          <w:sz w:val="24"/>
          <w:szCs w:val="24"/>
          <w:lang w:eastAsia="ru-RU"/>
        </w:rPr>
        <w:t xml:space="preserve"> и 302 семинара.</w:t>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Туляремия</w:t>
      </w:r>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Брянской области существуют природные очаги. В 2021 году, как и в 2020 году, в Брянской области случаев туляремии зарегистрировано не было.</w:t>
      </w:r>
    </w:p>
    <w:p w:rsidR="00CD3440" w:rsidRPr="0066263B" w:rsidRDefault="00CD3440"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89</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Лабораторные исследования объектов окружающей среды на туляремию,</w:t>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абс. / положительный результат</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1183"/>
        <w:gridCol w:w="1183"/>
        <w:gridCol w:w="1184"/>
        <w:gridCol w:w="1183"/>
        <w:gridCol w:w="1190"/>
      </w:tblGrid>
      <w:tr w:rsidR="008E5F92" w:rsidRPr="0066263B" w:rsidTr="00CD3440">
        <w:trPr>
          <w:jc w:val="center"/>
        </w:trPr>
        <w:tc>
          <w:tcPr>
            <w:tcW w:w="1775" w:type="pct"/>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Исследовано на туляремию</w:t>
            </w:r>
          </w:p>
        </w:tc>
        <w:tc>
          <w:tcPr>
            <w:tcW w:w="644"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644"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645"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644"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648" w:type="pct"/>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8E5F92" w:rsidRPr="0066263B" w:rsidTr="00CD3440">
        <w:trPr>
          <w:jc w:val="center"/>
        </w:trPr>
        <w:tc>
          <w:tcPr>
            <w:tcW w:w="5000" w:type="pct"/>
            <w:gridSpan w:val="6"/>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Бактериологические исследования</w:t>
            </w:r>
          </w:p>
        </w:tc>
      </w:tr>
      <w:tr w:rsidR="008E5F92" w:rsidRPr="0066263B" w:rsidTr="00CD3440">
        <w:trPr>
          <w:jc w:val="center"/>
        </w:trPr>
        <w:tc>
          <w:tcPr>
            <w:tcW w:w="1775" w:type="pct"/>
          </w:tcPr>
          <w:p w:rsidR="008E5F92" w:rsidRPr="0066263B" w:rsidRDefault="008E5F92"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Мелких млекопитающих</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81 / -</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52 / -</w:t>
            </w:r>
          </w:p>
        </w:tc>
        <w:tc>
          <w:tcPr>
            <w:tcW w:w="645"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55 / -</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 / -</w:t>
            </w:r>
          </w:p>
        </w:tc>
        <w:tc>
          <w:tcPr>
            <w:tcW w:w="648"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 / -</w:t>
            </w:r>
          </w:p>
        </w:tc>
      </w:tr>
      <w:tr w:rsidR="008E5F92" w:rsidRPr="0066263B" w:rsidTr="00CD3440">
        <w:trPr>
          <w:jc w:val="center"/>
        </w:trPr>
        <w:tc>
          <w:tcPr>
            <w:tcW w:w="1775" w:type="pct"/>
          </w:tcPr>
          <w:p w:rsidR="008E5F92" w:rsidRPr="0066263B" w:rsidRDefault="008E5F92" w:rsidP="00CD3440">
            <w:pPr>
              <w:spacing w:before="20" w:after="20"/>
              <w:ind w:left="57"/>
              <w:jc w:val="left"/>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Биопроба</w:t>
            </w:r>
            <w:proofErr w:type="spellEnd"/>
            <w:r w:rsidRPr="0066263B">
              <w:rPr>
                <w:rFonts w:ascii="Times New Roman" w:eastAsia="Times New Roman" w:hAnsi="Times New Roman" w:cs="Times New Roman"/>
                <w:lang w:eastAsia="ru-RU"/>
              </w:rPr>
              <w:t xml:space="preserve"> клещей (пулы)</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 / -</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72 / -</w:t>
            </w:r>
          </w:p>
        </w:tc>
        <w:tc>
          <w:tcPr>
            <w:tcW w:w="645"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 / -</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29 / -</w:t>
            </w:r>
          </w:p>
        </w:tc>
        <w:tc>
          <w:tcPr>
            <w:tcW w:w="648"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 / -</w:t>
            </w:r>
          </w:p>
        </w:tc>
      </w:tr>
      <w:tr w:rsidR="008E5F92" w:rsidRPr="0066263B" w:rsidTr="00CD3440">
        <w:trPr>
          <w:jc w:val="center"/>
        </w:trPr>
        <w:tc>
          <w:tcPr>
            <w:tcW w:w="1775" w:type="pct"/>
          </w:tcPr>
          <w:p w:rsidR="008E5F92" w:rsidRPr="0066263B" w:rsidRDefault="008E5F92"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Проб воды открытых водоёмов</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 / -</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 / -</w:t>
            </w:r>
          </w:p>
        </w:tc>
        <w:tc>
          <w:tcPr>
            <w:tcW w:w="645"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 / -</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 / -</w:t>
            </w:r>
          </w:p>
        </w:tc>
        <w:tc>
          <w:tcPr>
            <w:tcW w:w="648"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 / -</w:t>
            </w:r>
          </w:p>
        </w:tc>
      </w:tr>
      <w:tr w:rsidR="008E5F92" w:rsidRPr="0066263B" w:rsidTr="00CD3440">
        <w:trPr>
          <w:jc w:val="center"/>
        </w:trPr>
        <w:tc>
          <w:tcPr>
            <w:tcW w:w="5000" w:type="pct"/>
            <w:gridSpan w:val="6"/>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Серологические исследования</w:t>
            </w:r>
          </w:p>
        </w:tc>
      </w:tr>
      <w:tr w:rsidR="008E5F92" w:rsidRPr="0066263B" w:rsidTr="00CD3440">
        <w:trPr>
          <w:jc w:val="center"/>
        </w:trPr>
        <w:tc>
          <w:tcPr>
            <w:tcW w:w="1775" w:type="pct"/>
          </w:tcPr>
          <w:p w:rsidR="008E5F92" w:rsidRPr="0066263B" w:rsidRDefault="008E5F92"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Мелких млекопитающих</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392 / 32</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313 / 32</w:t>
            </w:r>
          </w:p>
        </w:tc>
        <w:tc>
          <w:tcPr>
            <w:tcW w:w="645"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323 / 11</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237 / 17</w:t>
            </w:r>
          </w:p>
        </w:tc>
        <w:tc>
          <w:tcPr>
            <w:tcW w:w="648"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231 / 9</w:t>
            </w:r>
          </w:p>
        </w:tc>
      </w:tr>
      <w:tr w:rsidR="008E5F92" w:rsidRPr="0066263B" w:rsidTr="00CD3440">
        <w:trPr>
          <w:jc w:val="center"/>
        </w:trPr>
        <w:tc>
          <w:tcPr>
            <w:tcW w:w="1775" w:type="pct"/>
          </w:tcPr>
          <w:p w:rsidR="008E5F92" w:rsidRPr="0066263B" w:rsidRDefault="008E5F92"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Клещей</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45"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48"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E5F92" w:rsidRPr="0066263B" w:rsidTr="00CD3440">
        <w:trPr>
          <w:jc w:val="center"/>
        </w:trPr>
        <w:tc>
          <w:tcPr>
            <w:tcW w:w="1775" w:type="pct"/>
          </w:tcPr>
          <w:p w:rsidR="008E5F92" w:rsidRPr="0066263B" w:rsidRDefault="008E5F92"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Содержимого нор</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45"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4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48"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CD3440"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активного выявления обследовано 11</w:t>
      </w:r>
      <w:r w:rsidR="000F49CF" w:rsidRPr="0066263B">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 xml:space="preserve"> подозрительных больных на туляремию.</w:t>
      </w:r>
    </w:p>
    <w:p w:rsidR="00CD3440"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предупреждения групповой и вспышечной заболеваемости на территории области проводились прививки против туляремии.</w:t>
      </w:r>
    </w:p>
    <w:p w:rsidR="0039433E" w:rsidRPr="0066263B" w:rsidRDefault="0039433E" w:rsidP="00CD3440">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90</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 xml:space="preserve">Количество </w:t>
      </w:r>
      <w:proofErr w:type="gramStart"/>
      <w:r w:rsidRPr="0066263B">
        <w:rPr>
          <w:rFonts w:ascii="Times New Roman" w:eastAsia="Times New Roman" w:hAnsi="Times New Roman" w:cs="Times New Roman"/>
          <w:b/>
          <w:lang w:eastAsia="ru-RU"/>
        </w:rPr>
        <w:t>привитых</w:t>
      </w:r>
      <w:proofErr w:type="gramEnd"/>
    </w:p>
    <w:p w:rsidR="00324483" w:rsidRPr="0066263B" w:rsidRDefault="00324483" w:rsidP="00324483">
      <w:pPr>
        <w:spacing w:before="0" w:after="0"/>
        <w:jc w:val="center"/>
        <w:rPr>
          <w:rFonts w:ascii="Times New Roman" w:eastAsia="Times New Roman" w:hAnsi="Times New Roman" w:cs="Times New Roman"/>
          <w:lang w:eastAsia="ru-RU"/>
        </w:rPr>
      </w:pPr>
    </w:p>
    <w:tbl>
      <w:tblPr>
        <w:tblW w:w="0" w:type="auto"/>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813"/>
        <w:gridCol w:w="813"/>
        <w:gridCol w:w="813"/>
        <w:gridCol w:w="813"/>
        <w:gridCol w:w="813"/>
        <w:gridCol w:w="813"/>
        <w:gridCol w:w="813"/>
        <w:gridCol w:w="813"/>
        <w:gridCol w:w="813"/>
        <w:gridCol w:w="814"/>
      </w:tblGrid>
      <w:tr w:rsidR="008E5F92" w:rsidRPr="0066263B" w:rsidTr="00CD3440">
        <w:trPr>
          <w:jc w:val="center"/>
        </w:trPr>
        <w:tc>
          <w:tcPr>
            <w:tcW w:w="1135" w:type="dxa"/>
            <w:vMerge w:val="restart"/>
          </w:tcPr>
          <w:p w:rsidR="008E5F92" w:rsidRPr="0066263B" w:rsidRDefault="008E5F92" w:rsidP="00CD3440">
            <w:pPr>
              <w:spacing w:before="20" w:after="20"/>
              <w:rPr>
                <w:rFonts w:ascii="Times New Roman" w:eastAsia="Times New Roman" w:hAnsi="Times New Roman" w:cs="Times New Roman"/>
                <w:lang w:eastAsia="ru-RU"/>
              </w:rPr>
            </w:pPr>
          </w:p>
        </w:tc>
        <w:tc>
          <w:tcPr>
            <w:tcW w:w="1626" w:type="dxa"/>
            <w:gridSpan w:val="2"/>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1626" w:type="dxa"/>
            <w:gridSpan w:val="2"/>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1626" w:type="dxa"/>
            <w:gridSpan w:val="2"/>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626" w:type="dxa"/>
            <w:gridSpan w:val="2"/>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627" w:type="dxa"/>
            <w:gridSpan w:val="2"/>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8E5F92" w:rsidRPr="0066263B" w:rsidTr="00CD3440">
        <w:trPr>
          <w:jc w:val="center"/>
        </w:trPr>
        <w:tc>
          <w:tcPr>
            <w:tcW w:w="1135" w:type="dxa"/>
            <w:vMerge/>
          </w:tcPr>
          <w:p w:rsidR="008E5F92" w:rsidRPr="0066263B" w:rsidRDefault="008E5F92" w:rsidP="00CD3440">
            <w:pPr>
              <w:spacing w:before="20" w:after="20"/>
              <w:rPr>
                <w:rFonts w:ascii="Times New Roman" w:eastAsia="Times New Roman" w:hAnsi="Times New Roman" w:cs="Times New Roman"/>
                <w:lang w:eastAsia="ru-RU"/>
              </w:rPr>
            </w:pPr>
          </w:p>
        </w:tc>
        <w:tc>
          <w:tcPr>
            <w:tcW w:w="8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8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c>
          <w:tcPr>
            <w:tcW w:w="8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8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c>
          <w:tcPr>
            <w:tcW w:w="8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8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c>
          <w:tcPr>
            <w:tcW w:w="8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8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c>
          <w:tcPr>
            <w:tcW w:w="813"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814" w:type="dxa"/>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w:t>
            </w:r>
          </w:p>
        </w:tc>
      </w:tr>
      <w:tr w:rsidR="008E5F92" w:rsidRPr="0066263B" w:rsidTr="00CD3440">
        <w:trPr>
          <w:jc w:val="center"/>
        </w:trPr>
        <w:tc>
          <w:tcPr>
            <w:tcW w:w="1135" w:type="dxa"/>
          </w:tcPr>
          <w:p w:rsidR="008E5F92" w:rsidRPr="0066263B" w:rsidRDefault="008E5F92" w:rsidP="00CD3440">
            <w:pPr>
              <w:spacing w:before="0" w:after="0"/>
              <w:jc w:val="left"/>
              <w:rPr>
                <w:rFonts w:ascii="Times New Roman" w:eastAsia="Times New Roman" w:hAnsi="Times New Roman" w:cs="Times New Roman"/>
                <w:lang w:eastAsia="ru-RU"/>
              </w:rPr>
            </w:pPr>
            <w:proofErr w:type="spellStart"/>
            <w:proofErr w:type="gramStart"/>
            <w:r w:rsidRPr="0066263B">
              <w:rPr>
                <w:rFonts w:ascii="Times New Roman" w:eastAsia="Times New Roman" w:hAnsi="Times New Roman" w:cs="Times New Roman"/>
                <w:lang w:eastAsia="ru-RU"/>
              </w:rPr>
              <w:t>Вакци-нация</w:t>
            </w:r>
            <w:proofErr w:type="spellEnd"/>
            <w:proofErr w:type="gramEnd"/>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1737</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96,1</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1444</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96,3</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3614</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95,1</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1655</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87,1</w:t>
            </w:r>
          </w:p>
        </w:tc>
        <w:tc>
          <w:tcPr>
            <w:tcW w:w="813" w:type="dxa"/>
            <w:vAlign w:val="center"/>
          </w:tcPr>
          <w:p w:rsidR="008E5F92" w:rsidRPr="0066263B" w:rsidRDefault="008E5F92" w:rsidP="008E5F92">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1544</w:t>
            </w:r>
          </w:p>
        </w:tc>
        <w:tc>
          <w:tcPr>
            <w:tcW w:w="814"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85,8</w:t>
            </w:r>
          </w:p>
        </w:tc>
      </w:tr>
      <w:tr w:rsidR="008E5F92" w:rsidRPr="0066263B" w:rsidTr="00CD3440">
        <w:trPr>
          <w:jc w:val="center"/>
        </w:trPr>
        <w:tc>
          <w:tcPr>
            <w:tcW w:w="1135" w:type="dxa"/>
          </w:tcPr>
          <w:p w:rsidR="008E5F92" w:rsidRPr="0066263B" w:rsidRDefault="008E5F92" w:rsidP="00CD3440">
            <w:pPr>
              <w:spacing w:before="0" w:after="0"/>
              <w:jc w:val="left"/>
              <w:rPr>
                <w:rFonts w:ascii="Times New Roman" w:eastAsia="Times New Roman" w:hAnsi="Times New Roman" w:cs="Times New Roman"/>
                <w:lang w:eastAsia="ru-RU"/>
              </w:rPr>
            </w:pPr>
            <w:proofErr w:type="spellStart"/>
            <w:proofErr w:type="gramStart"/>
            <w:r w:rsidRPr="0066263B">
              <w:rPr>
                <w:rFonts w:ascii="Times New Roman" w:eastAsia="Times New Roman" w:hAnsi="Times New Roman" w:cs="Times New Roman"/>
                <w:lang w:eastAsia="ru-RU"/>
              </w:rPr>
              <w:t>Ревакци-нация</w:t>
            </w:r>
            <w:proofErr w:type="spellEnd"/>
            <w:proofErr w:type="gramEnd"/>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14823</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95,2</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12376</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95,2</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13522</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95,9</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7890</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86,7</w:t>
            </w:r>
          </w:p>
        </w:tc>
        <w:tc>
          <w:tcPr>
            <w:tcW w:w="813"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5602</w:t>
            </w:r>
          </w:p>
        </w:tc>
        <w:tc>
          <w:tcPr>
            <w:tcW w:w="814" w:type="dxa"/>
            <w:vAlign w:val="center"/>
          </w:tcPr>
          <w:p w:rsidR="008E5F92" w:rsidRPr="0066263B" w:rsidRDefault="008E5F92" w:rsidP="00E13A00">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62,9</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план вакцинации против туляремии – 1 800 человек, привито – 1 544 или 85,8%; план ревакцинации против туляремии – 8 900 человек, привито – 5 602 </w:t>
      </w:r>
      <w:r w:rsidR="00DE783E" w:rsidRPr="0066263B">
        <w:rPr>
          <w:rFonts w:ascii="Times New Roman" w:eastAsia="Times New Roman" w:hAnsi="Times New Roman" w:cs="Times New Roman"/>
          <w:sz w:val="24"/>
          <w:szCs w:val="24"/>
          <w:lang w:eastAsia="ru-RU"/>
        </w:rPr>
        <w:t>человек</w:t>
      </w:r>
      <w:r w:rsidR="00DE783E">
        <w:rPr>
          <w:rFonts w:ascii="Times New Roman" w:eastAsia="Times New Roman" w:hAnsi="Times New Roman" w:cs="Times New Roman"/>
          <w:sz w:val="24"/>
          <w:szCs w:val="24"/>
          <w:lang w:eastAsia="ru-RU"/>
        </w:rPr>
        <w:t>а</w:t>
      </w:r>
      <w:r w:rsidR="00DE783E"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или 62,9%.</w:t>
      </w:r>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Два раза в течение года по результатам эпизоотологического мониторинга за состоянием природных очагов готовится прогноз и уточнение к эпизоотологическому прогнозу по туляремии и состоянию численности мелких млекопитающих.</w:t>
      </w:r>
    </w:p>
    <w:p w:rsidR="0039433E" w:rsidRPr="0066263B" w:rsidRDefault="0039433E" w:rsidP="008E5F92">
      <w:pPr>
        <w:spacing w:before="0" w:after="0"/>
        <w:ind w:firstLine="709"/>
        <w:rPr>
          <w:rFonts w:ascii="Times New Roman" w:eastAsia="Times New Roman" w:hAnsi="Times New Roman" w:cs="Times New Roman"/>
          <w:sz w:val="24"/>
          <w:szCs w:val="24"/>
          <w:lang w:eastAsia="ru-RU"/>
        </w:rPr>
      </w:pPr>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изучения коллективного иммунитета к туляремии исследовано 100 сывороток крови у лиц от 18 до 55 лет, у 48 человек (48%) отмечено наличие защитных уровней антител к туляремии.</w:t>
      </w:r>
    </w:p>
    <w:p w:rsidR="008E5F92" w:rsidRPr="0066263B" w:rsidRDefault="008E5F92" w:rsidP="00CD3440">
      <w:pPr>
        <w:spacing w:before="0" w:after="0"/>
        <w:ind w:firstLine="709"/>
        <w:rPr>
          <w:rFonts w:ascii="Times New Roman" w:eastAsia="Times New Roman" w:hAnsi="Times New Roman" w:cs="Times New Roman"/>
          <w:sz w:val="24"/>
          <w:szCs w:val="24"/>
          <w:lang w:eastAsia="ru-RU"/>
        </w:rPr>
      </w:pPr>
    </w:p>
    <w:p w:rsidR="0039433E" w:rsidRPr="0066263B" w:rsidRDefault="0039433E" w:rsidP="00CD3440">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Лептоспирозы</w:t>
      </w:r>
    </w:p>
    <w:p w:rsidR="00CD3440"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2019-202</w:t>
      </w:r>
      <w:r w:rsidR="008E5F92"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г.г. в Брянской области случаев лептоспироза зарегистрировано не было (2018 – 1 сл.).</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91</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Лабораторные исследования объектов окружающей среды на лептоспирозы,</w:t>
      </w:r>
      <w:r w:rsidRPr="0066263B">
        <w:rPr>
          <w:rFonts w:ascii="Times New Roman" w:eastAsia="Times New Roman" w:hAnsi="Times New Roman" w:cs="Times New Roman"/>
          <w:b/>
          <w:lang w:eastAsia="ru-RU"/>
        </w:rPr>
        <w:br/>
        <w:t>абс. / положительный результат</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7"/>
        <w:gridCol w:w="992"/>
        <w:gridCol w:w="1276"/>
        <w:gridCol w:w="1276"/>
        <w:gridCol w:w="1276"/>
        <w:gridCol w:w="1099"/>
      </w:tblGrid>
      <w:tr w:rsidR="008E5F92" w:rsidRPr="0066263B" w:rsidTr="00CD3440">
        <w:trPr>
          <w:jc w:val="center"/>
        </w:trPr>
        <w:tc>
          <w:tcPr>
            <w:tcW w:w="1813" w:type="pct"/>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Исследовано на лептоспирозы</w:t>
            </w:r>
          </w:p>
        </w:tc>
        <w:tc>
          <w:tcPr>
            <w:tcW w:w="534"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687"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687"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687" w:type="pct"/>
            <w:vAlign w:val="center"/>
          </w:tcPr>
          <w:p w:rsidR="008E5F92" w:rsidRPr="0066263B" w:rsidRDefault="008E5F92"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592" w:type="pct"/>
            <w:vAlign w:val="center"/>
          </w:tcPr>
          <w:p w:rsidR="008E5F92" w:rsidRPr="0066263B" w:rsidRDefault="008E5F92"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8E5F92" w:rsidRPr="0066263B" w:rsidTr="00CD3440">
        <w:trPr>
          <w:jc w:val="center"/>
        </w:trPr>
        <w:tc>
          <w:tcPr>
            <w:tcW w:w="5000" w:type="pct"/>
            <w:gridSpan w:val="6"/>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Бактериологические исследования (ПЦР)</w:t>
            </w:r>
          </w:p>
        </w:tc>
      </w:tr>
      <w:tr w:rsidR="008E5F92" w:rsidRPr="0066263B" w:rsidTr="00E13A00">
        <w:trPr>
          <w:jc w:val="center"/>
        </w:trPr>
        <w:tc>
          <w:tcPr>
            <w:tcW w:w="1813" w:type="pct"/>
          </w:tcPr>
          <w:p w:rsidR="008E5F92" w:rsidRPr="0066263B" w:rsidRDefault="008E5F92"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Мелких млекопитающих</w:t>
            </w:r>
          </w:p>
        </w:tc>
        <w:tc>
          <w:tcPr>
            <w:tcW w:w="534"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387 / 1</w:t>
            </w:r>
          </w:p>
        </w:tc>
        <w:tc>
          <w:tcPr>
            <w:tcW w:w="687"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313 / 5</w:t>
            </w:r>
          </w:p>
        </w:tc>
        <w:tc>
          <w:tcPr>
            <w:tcW w:w="687"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7" w:type="pct"/>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237 / 5</w:t>
            </w:r>
          </w:p>
        </w:tc>
        <w:tc>
          <w:tcPr>
            <w:tcW w:w="592"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231 / 7</w:t>
            </w:r>
          </w:p>
        </w:tc>
      </w:tr>
      <w:tr w:rsidR="008E5F92" w:rsidRPr="0066263B" w:rsidTr="00CD3440">
        <w:trPr>
          <w:jc w:val="center"/>
        </w:trPr>
        <w:tc>
          <w:tcPr>
            <w:tcW w:w="1813" w:type="pct"/>
          </w:tcPr>
          <w:p w:rsidR="008E5F92" w:rsidRPr="0066263B" w:rsidRDefault="008E5F92"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Проб воды открытых водоёмов</w:t>
            </w:r>
          </w:p>
        </w:tc>
        <w:tc>
          <w:tcPr>
            <w:tcW w:w="534"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 / -</w:t>
            </w:r>
          </w:p>
        </w:tc>
        <w:tc>
          <w:tcPr>
            <w:tcW w:w="687"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51 / -</w:t>
            </w:r>
          </w:p>
        </w:tc>
        <w:tc>
          <w:tcPr>
            <w:tcW w:w="687"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7"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 / -</w:t>
            </w:r>
          </w:p>
        </w:tc>
        <w:tc>
          <w:tcPr>
            <w:tcW w:w="592" w:type="pct"/>
            <w:vAlign w:val="center"/>
          </w:tcPr>
          <w:p w:rsidR="008E5F92" w:rsidRPr="0066263B" w:rsidRDefault="008E5F92"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50 / -</w:t>
            </w:r>
          </w:p>
        </w:tc>
      </w:tr>
      <w:tr w:rsidR="008E5F92" w:rsidRPr="0066263B" w:rsidTr="00CD3440">
        <w:trPr>
          <w:jc w:val="center"/>
        </w:trPr>
        <w:tc>
          <w:tcPr>
            <w:tcW w:w="5000" w:type="pct"/>
            <w:gridSpan w:val="6"/>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Серологические исследования</w:t>
            </w:r>
          </w:p>
        </w:tc>
      </w:tr>
      <w:tr w:rsidR="008E5F92" w:rsidRPr="0066263B" w:rsidTr="00CD3440">
        <w:trPr>
          <w:jc w:val="center"/>
        </w:trPr>
        <w:tc>
          <w:tcPr>
            <w:tcW w:w="1813" w:type="pct"/>
          </w:tcPr>
          <w:p w:rsidR="008E5F92" w:rsidRPr="0066263B" w:rsidRDefault="008E5F92"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Мелких млекопитающих</w:t>
            </w:r>
          </w:p>
        </w:tc>
        <w:tc>
          <w:tcPr>
            <w:tcW w:w="534" w:type="pct"/>
            <w:vAlign w:val="center"/>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7" w:type="pct"/>
            <w:vAlign w:val="center"/>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7" w:type="pct"/>
            <w:vAlign w:val="center"/>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687" w:type="pct"/>
            <w:vAlign w:val="center"/>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92" w:type="pct"/>
            <w:vAlign w:val="center"/>
          </w:tcPr>
          <w:p w:rsidR="008E5F92" w:rsidRPr="0066263B" w:rsidRDefault="008E5F92"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9433E" w:rsidRPr="0066263B" w:rsidRDefault="0039433E"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Геморрагическая лихорадка с почечным синдромом</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Практически на всей территории Брянской области существуют активные очаги геморрагической лихорадки с почечным синдромом (далее – ГЛПС).</w:t>
      </w:r>
    </w:p>
    <w:p w:rsidR="008E5F92" w:rsidRPr="0066263B" w:rsidRDefault="008E5F92" w:rsidP="00324483">
      <w:pPr>
        <w:spacing w:before="0" w:after="0"/>
        <w:ind w:firstLine="709"/>
        <w:rPr>
          <w:rFonts w:ascii="Times New Roman" w:eastAsia="Times New Roman" w:hAnsi="Times New Roman" w:cs="Times New Roman"/>
          <w:sz w:val="24"/>
          <w:szCs w:val="24"/>
          <w:lang w:eastAsia="ru-RU"/>
        </w:rPr>
      </w:pPr>
    </w:p>
    <w:p w:rsidR="0039433E" w:rsidRPr="0066263B" w:rsidRDefault="0039433E">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39433E" w:rsidRPr="0066263B" w:rsidRDefault="0039433E" w:rsidP="00324483">
      <w:pPr>
        <w:spacing w:before="0" w:after="0"/>
        <w:ind w:firstLine="709"/>
        <w:rPr>
          <w:rFonts w:ascii="Times New Roman" w:eastAsia="Times New Roman" w:hAnsi="Times New Roman" w:cs="Times New Roman"/>
          <w:sz w:val="24"/>
          <w:szCs w:val="24"/>
          <w:lang w:eastAsia="ru-RU"/>
        </w:rPr>
      </w:pPr>
    </w:p>
    <w:p w:rsidR="008E5F92" w:rsidRPr="0066263B" w:rsidRDefault="008E5F92" w:rsidP="008E5F92">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601225" cy="2321781"/>
            <wp:effectExtent l="19050" t="0" r="0" b="0"/>
            <wp:docPr id="7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D3440" w:rsidRPr="0066263B" w:rsidRDefault="00CD3440"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84</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ГЛПС, на 100 тыс.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Самая высокая заболеваемость зарегистрирована в 2019 году. В 2021 году выявлено 15 случаев ГЛПС (1,25 на 100 тыс. нас.), заболеваемость по сравнению с предыдущим годом выросла на 35%</w:t>
      </w:r>
      <w:r w:rsidR="007033A7" w:rsidRPr="0066263B">
        <w:rPr>
          <w:rFonts w:ascii="Times New Roman" w:eastAsia="Times New Roman" w:hAnsi="Times New Roman" w:cs="Times New Roman"/>
          <w:sz w:val="24"/>
          <w:szCs w:val="24"/>
          <w:lang w:eastAsia="ru-RU"/>
        </w:rPr>
        <w:t xml:space="preserve"> (2020 – 11 сл. или 0,93 на 100 тыс. нас.).</w:t>
      </w:r>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Случаи ГЛПС регистрировались на 8 административных территориях: г. Брянск </w:t>
      </w:r>
      <w:r w:rsidR="007033A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5</w:t>
      </w:r>
      <w:r w:rsidR="007033A7"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сл</w:t>
      </w:r>
      <w:r w:rsidR="00A944AF" w:rsidRPr="0066263B">
        <w:rPr>
          <w:rFonts w:ascii="Times New Roman" w:eastAsia="Times New Roman" w:hAnsi="Times New Roman" w:cs="Times New Roman"/>
          <w:sz w:val="24"/>
          <w:szCs w:val="24"/>
          <w:lang w:eastAsia="ru-RU"/>
        </w:rPr>
        <w:t>учаев</w:t>
      </w:r>
      <w:r w:rsidRPr="0066263B">
        <w:rPr>
          <w:rFonts w:ascii="Times New Roman" w:eastAsia="Times New Roman" w:hAnsi="Times New Roman" w:cs="Times New Roman"/>
          <w:sz w:val="24"/>
          <w:szCs w:val="24"/>
          <w:lang w:eastAsia="ru-RU"/>
        </w:rPr>
        <w:t xml:space="preserve">, Жуковский район </w:t>
      </w:r>
      <w:r w:rsidR="007033A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4</w:t>
      </w:r>
      <w:r w:rsidR="007033A7"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сл</w:t>
      </w:r>
      <w:r w:rsidR="00A944AF" w:rsidRPr="0066263B">
        <w:rPr>
          <w:rFonts w:ascii="Times New Roman" w:eastAsia="Times New Roman" w:hAnsi="Times New Roman" w:cs="Times New Roman"/>
          <w:sz w:val="24"/>
          <w:szCs w:val="24"/>
          <w:lang w:eastAsia="ru-RU"/>
        </w:rPr>
        <w:t>учая</w:t>
      </w:r>
      <w:r w:rsidRPr="0066263B">
        <w:rPr>
          <w:rFonts w:ascii="Times New Roman" w:eastAsia="Times New Roman" w:hAnsi="Times New Roman" w:cs="Times New Roman"/>
          <w:sz w:val="24"/>
          <w:szCs w:val="24"/>
          <w:lang w:eastAsia="ru-RU"/>
        </w:rPr>
        <w:t>, г.</w:t>
      </w:r>
      <w:r w:rsidR="00DE783E">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Сельцо, Брянский, Клетнянский, Навлинский, Суражский</w:t>
      </w:r>
      <w:r w:rsidR="007033A7" w:rsidRPr="0066263B">
        <w:rPr>
          <w:rFonts w:ascii="Times New Roman" w:eastAsia="Times New Roman" w:hAnsi="Times New Roman" w:cs="Times New Roman"/>
          <w:sz w:val="24"/>
          <w:szCs w:val="24"/>
          <w:lang w:eastAsia="ru-RU"/>
        </w:rPr>
        <w:t xml:space="preserve"> и</w:t>
      </w:r>
      <w:r w:rsidRPr="0066263B">
        <w:rPr>
          <w:rFonts w:ascii="Times New Roman" w:eastAsia="Times New Roman" w:hAnsi="Times New Roman" w:cs="Times New Roman"/>
          <w:sz w:val="24"/>
          <w:szCs w:val="24"/>
          <w:lang w:eastAsia="ru-RU"/>
        </w:rPr>
        <w:t xml:space="preserve"> Трубчевский районы – по 1 случаю.</w:t>
      </w:r>
      <w:proofErr w:type="gramEnd"/>
    </w:p>
    <w:p w:rsidR="008E5F92" w:rsidRPr="0066263B" w:rsidRDefault="008E5F92" w:rsidP="008E5F9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активного выявления проведено 240 исследований от больных подозрительных на ГЛПС.</w:t>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Бешенство</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области действуют активные очаги бешенства, выявляются случаи лабораторно подтверждённого бешенства среди животных, преимущественно лис.</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2021 году по поводу повреждений от животных в медицинские организации области за медицинской помощью обратилось 3 600 человек или 300,7 на 100 тысяч населения (2020 – 3 338 сл. или 280,9 на 100 тыс. нас.), рост на 7%. Обращаемость жителей области по поводу повреждений, полученных от животных среди городского населения – 2 880 случаев или 347,7 на 100 тысяч населения, среди</w:t>
      </w:r>
      <w:proofErr w:type="gramEnd"/>
      <w:r w:rsidRPr="0066263B">
        <w:rPr>
          <w:rFonts w:ascii="Times New Roman" w:eastAsia="Times New Roman" w:hAnsi="Times New Roman" w:cs="Times New Roman"/>
          <w:sz w:val="24"/>
          <w:szCs w:val="24"/>
          <w:lang w:eastAsia="ru-RU"/>
        </w:rPr>
        <w:t xml:space="preserve"> сельского – 720 случаев или 195,2 на 100 тысяч населения.</w:t>
      </w:r>
    </w:p>
    <w:p w:rsidR="007033A7" w:rsidRPr="0066263B" w:rsidRDefault="007033A7" w:rsidP="00CD3440">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Обращаемость за медицинской помощью</w:t>
      </w:r>
    </w:p>
    <w:p w:rsidR="00324483" w:rsidRPr="0066263B" w:rsidRDefault="00324483" w:rsidP="00324483">
      <w:pPr>
        <w:shd w:val="clear" w:color="auto" w:fill="FFFFFF"/>
        <w:spacing w:before="0" w:after="0"/>
        <w:ind w:firstLine="709"/>
        <w:jc w:val="center"/>
        <w:rPr>
          <w:rFonts w:ascii="Times New Roman" w:eastAsia="Times New Roman" w:hAnsi="Times New Roman" w:cs="Times New Roman"/>
          <w:b/>
          <w:lang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8"/>
        <w:gridCol w:w="1701"/>
        <w:gridCol w:w="2208"/>
        <w:gridCol w:w="1763"/>
        <w:gridCol w:w="2268"/>
      </w:tblGrid>
      <w:tr w:rsidR="00CD3440" w:rsidRPr="0066263B" w:rsidTr="00CD3440">
        <w:tc>
          <w:tcPr>
            <w:tcW w:w="627" w:type="pct"/>
            <w:vMerge w:val="restart"/>
            <w:vAlign w:val="center"/>
          </w:tcPr>
          <w:p w:rsidR="00CD3440" w:rsidRPr="0066263B" w:rsidRDefault="00CD3440"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2153" w:type="pct"/>
            <w:gridSpan w:val="2"/>
            <w:vAlign w:val="center"/>
          </w:tcPr>
          <w:p w:rsidR="00CD3440" w:rsidRPr="0066263B" w:rsidRDefault="00CD3440"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Укусы животными, случаев</w:t>
            </w:r>
          </w:p>
        </w:tc>
        <w:tc>
          <w:tcPr>
            <w:tcW w:w="2220" w:type="pct"/>
            <w:gridSpan w:val="2"/>
            <w:vAlign w:val="center"/>
          </w:tcPr>
          <w:p w:rsidR="00CD3440" w:rsidRPr="0066263B" w:rsidRDefault="00CD3440"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Укусы дикими животными, случаев</w:t>
            </w:r>
          </w:p>
        </w:tc>
      </w:tr>
      <w:tr w:rsidR="00CD3440" w:rsidRPr="0066263B" w:rsidTr="00CD3440">
        <w:tc>
          <w:tcPr>
            <w:tcW w:w="627" w:type="pct"/>
            <w:vMerge/>
            <w:vAlign w:val="center"/>
          </w:tcPr>
          <w:p w:rsidR="00CD3440" w:rsidRPr="0066263B" w:rsidRDefault="00CD3440" w:rsidP="00CD3440">
            <w:pPr>
              <w:spacing w:before="20" w:after="20"/>
              <w:jc w:val="center"/>
              <w:rPr>
                <w:rFonts w:ascii="Times New Roman" w:eastAsia="Times New Roman" w:hAnsi="Times New Roman" w:cs="Times New Roman"/>
                <w:lang w:eastAsia="ru-RU"/>
              </w:rPr>
            </w:pPr>
          </w:p>
        </w:tc>
        <w:tc>
          <w:tcPr>
            <w:tcW w:w="937" w:type="pct"/>
            <w:vAlign w:val="center"/>
          </w:tcPr>
          <w:p w:rsidR="00CD3440" w:rsidRPr="0066263B" w:rsidRDefault="00CD3440"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1216" w:type="pct"/>
            <w:vAlign w:val="center"/>
          </w:tcPr>
          <w:p w:rsidR="00CD3440" w:rsidRPr="0066263B" w:rsidRDefault="00CD3440"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 тыс. нас.</w:t>
            </w:r>
          </w:p>
        </w:tc>
        <w:tc>
          <w:tcPr>
            <w:tcW w:w="971" w:type="pct"/>
            <w:vAlign w:val="center"/>
          </w:tcPr>
          <w:p w:rsidR="00CD3440" w:rsidRPr="0066263B" w:rsidRDefault="00CD3440"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1249" w:type="pct"/>
            <w:vAlign w:val="center"/>
          </w:tcPr>
          <w:p w:rsidR="00CD3440" w:rsidRPr="0066263B" w:rsidRDefault="00CD3440"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 тыс. нас.</w:t>
            </w:r>
          </w:p>
        </w:tc>
      </w:tr>
      <w:tr w:rsidR="00CD3440" w:rsidRPr="0066263B" w:rsidTr="00CD3440">
        <w:tc>
          <w:tcPr>
            <w:tcW w:w="627" w:type="pct"/>
          </w:tcPr>
          <w:p w:rsidR="00CD3440" w:rsidRPr="0066263B" w:rsidRDefault="00CD3440"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2016</w:t>
            </w:r>
          </w:p>
        </w:tc>
        <w:tc>
          <w:tcPr>
            <w:tcW w:w="937"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4170</w:t>
            </w:r>
          </w:p>
        </w:tc>
        <w:tc>
          <w:tcPr>
            <w:tcW w:w="1216"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343,3</w:t>
            </w:r>
          </w:p>
        </w:tc>
        <w:tc>
          <w:tcPr>
            <w:tcW w:w="971"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173</w:t>
            </w:r>
          </w:p>
        </w:tc>
        <w:tc>
          <w:tcPr>
            <w:tcW w:w="1249"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14,24</w:t>
            </w:r>
          </w:p>
        </w:tc>
      </w:tr>
      <w:tr w:rsidR="00CD3440" w:rsidRPr="0066263B" w:rsidTr="00CD3440">
        <w:tc>
          <w:tcPr>
            <w:tcW w:w="627" w:type="pct"/>
          </w:tcPr>
          <w:p w:rsidR="00CD3440" w:rsidRPr="0066263B" w:rsidRDefault="00CD3440"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2017</w:t>
            </w:r>
          </w:p>
        </w:tc>
        <w:tc>
          <w:tcPr>
            <w:tcW w:w="937"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4209</w:t>
            </w:r>
          </w:p>
        </w:tc>
        <w:tc>
          <w:tcPr>
            <w:tcW w:w="1216"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344,5</w:t>
            </w:r>
          </w:p>
        </w:tc>
        <w:tc>
          <w:tcPr>
            <w:tcW w:w="971"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171</w:t>
            </w:r>
          </w:p>
        </w:tc>
        <w:tc>
          <w:tcPr>
            <w:tcW w:w="1249"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14,24</w:t>
            </w:r>
          </w:p>
        </w:tc>
      </w:tr>
      <w:tr w:rsidR="00CD3440" w:rsidRPr="0066263B" w:rsidTr="00CD3440">
        <w:tc>
          <w:tcPr>
            <w:tcW w:w="627" w:type="pct"/>
          </w:tcPr>
          <w:p w:rsidR="00CD3440" w:rsidRPr="0066263B" w:rsidRDefault="00CD3440"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937"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4142</w:t>
            </w:r>
          </w:p>
        </w:tc>
        <w:tc>
          <w:tcPr>
            <w:tcW w:w="1216"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342,6</w:t>
            </w:r>
          </w:p>
        </w:tc>
        <w:tc>
          <w:tcPr>
            <w:tcW w:w="971"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122</w:t>
            </w:r>
          </w:p>
        </w:tc>
        <w:tc>
          <w:tcPr>
            <w:tcW w:w="1249"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14,05</w:t>
            </w:r>
          </w:p>
        </w:tc>
      </w:tr>
      <w:tr w:rsidR="00CD3440" w:rsidRPr="0066263B" w:rsidTr="00CD3440">
        <w:tc>
          <w:tcPr>
            <w:tcW w:w="627" w:type="pct"/>
          </w:tcPr>
          <w:p w:rsidR="00CD3440" w:rsidRPr="0066263B" w:rsidRDefault="00CD3440"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937"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4118</w:t>
            </w:r>
          </w:p>
        </w:tc>
        <w:tc>
          <w:tcPr>
            <w:tcW w:w="1216"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342,1</w:t>
            </w:r>
          </w:p>
        </w:tc>
        <w:tc>
          <w:tcPr>
            <w:tcW w:w="971"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113</w:t>
            </w:r>
          </w:p>
        </w:tc>
        <w:tc>
          <w:tcPr>
            <w:tcW w:w="1249"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9,39</w:t>
            </w:r>
          </w:p>
        </w:tc>
      </w:tr>
      <w:tr w:rsidR="00CD3440" w:rsidRPr="0066263B" w:rsidTr="00CD3440">
        <w:tc>
          <w:tcPr>
            <w:tcW w:w="627" w:type="pct"/>
          </w:tcPr>
          <w:p w:rsidR="00CD3440" w:rsidRPr="0066263B" w:rsidRDefault="00CD3440"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937"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3338</w:t>
            </w:r>
          </w:p>
        </w:tc>
        <w:tc>
          <w:tcPr>
            <w:tcW w:w="1216"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280,9</w:t>
            </w:r>
          </w:p>
        </w:tc>
        <w:tc>
          <w:tcPr>
            <w:tcW w:w="971"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112</w:t>
            </w:r>
          </w:p>
        </w:tc>
        <w:tc>
          <w:tcPr>
            <w:tcW w:w="1249" w:type="pct"/>
            <w:vAlign w:val="center"/>
          </w:tcPr>
          <w:p w:rsidR="00CD3440" w:rsidRPr="0066263B" w:rsidRDefault="00CD3440" w:rsidP="00CD344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9,43</w:t>
            </w:r>
          </w:p>
        </w:tc>
      </w:tr>
      <w:tr w:rsidR="007033A7" w:rsidRPr="0066263B" w:rsidTr="00CD3440">
        <w:tc>
          <w:tcPr>
            <w:tcW w:w="627" w:type="pct"/>
          </w:tcPr>
          <w:p w:rsidR="007033A7" w:rsidRPr="0066263B" w:rsidRDefault="007033A7" w:rsidP="00CD344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937" w:type="pct"/>
            <w:vAlign w:val="center"/>
          </w:tcPr>
          <w:p w:rsidR="007033A7" w:rsidRPr="0066263B" w:rsidRDefault="007033A7"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3600</w:t>
            </w:r>
          </w:p>
        </w:tc>
        <w:tc>
          <w:tcPr>
            <w:tcW w:w="1216" w:type="pct"/>
            <w:vAlign w:val="center"/>
          </w:tcPr>
          <w:p w:rsidR="007033A7" w:rsidRPr="0066263B" w:rsidRDefault="007033A7"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300,7</w:t>
            </w:r>
          </w:p>
        </w:tc>
        <w:tc>
          <w:tcPr>
            <w:tcW w:w="971" w:type="pct"/>
            <w:vAlign w:val="center"/>
          </w:tcPr>
          <w:p w:rsidR="007033A7" w:rsidRPr="0066263B" w:rsidRDefault="007033A7"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78</w:t>
            </w:r>
          </w:p>
        </w:tc>
        <w:tc>
          <w:tcPr>
            <w:tcW w:w="1249" w:type="pct"/>
            <w:vAlign w:val="center"/>
          </w:tcPr>
          <w:p w:rsidR="007033A7" w:rsidRPr="0066263B" w:rsidRDefault="007033A7"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6,52</w:t>
            </w:r>
          </w:p>
        </w:tc>
      </w:tr>
    </w:tbl>
    <w:p w:rsidR="007033A7" w:rsidRPr="0066263B" w:rsidRDefault="007033A7" w:rsidP="00CD3440">
      <w:pPr>
        <w:spacing w:before="0" w:after="0"/>
        <w:ind w:firstLine="709"/>
        <w:rPr>
          <w:rFonts w:ascii="Times New Roman" w:eastAsia="Times New Roman" w:hAnsi="Times New Roman" w:cs="Times New Roman"/>
          <w:sz w:val="24"/>
          <w:szCs w:val="24"/>
          <w:lang w:eastAsia="ru-RU"/>
        </w:rPr>
      </w:pP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Высокая обращаемость в медицинские организации области по поводу укусов от животных, превышающая среднеобластные показатели, зарегистрирована на 7 административных территориях: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.г. Брянск, Клинцы, Брянский, Злынковский, Жуковский и Карачевский районы.</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Удельный вес детей и подростков до 17 лет, обратившихся за медицинской помощью по поводу повреждений от животных, в 2021 году составил 34,8% (1 254 сл.).</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Среди детей до 14 лет зарегистрировано 1 078 обращений или 580,7 на 100 тысяч населения. Высокая обращаемость детей зарегистрирована в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.г. Брянске, Клинцы, Клинцовском, Жирятинском, Злынковском и Брянском районах.</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поводу укусов дикими животными обратились 78 жителей области или 6,52 на 100 тысяч населения, что на 45% ниже уровня 2020 года (112 сл. или 9,43 на 100 тыс. нас.).</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Случаи обращаемости жителей по поводу укусов дикими животными регистрировались на 20 административных территориях.</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Высокая обращаемость в медицинские организации области по поводу укусов от диких животных, превышающая среднеобластные показатели, зарегистрирована на 11 административных территориях, в том числе: Жирятинский район (в 5,1 р.), Севский район (в 3,2 р.), Брянский район (в 2,9 р.), Клетнянский район (в 2,6 р.), Брасовский район (в 1,7 р.).</w:t>
      </w:r>
    </w:p>
    <w:p w:rsidR="00CD3440"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Случаев гидрофобии среди населения области не зарегистрировано.</w:t>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proofErr w:type="gramStart"/>
      <w:r w:rsidRPr="0066263B">
        <w:rPr>
          <w:rFonts w:ascii="Times New Roman" w:eastAsia="Times New Roman" w:hAnsi="Times New Roman" w:cs="Times New Roman"/>
          <w:bCs/>
          <w:i/>
          <w:sz w:val="24"/>
          <w:szCs w:val="24"/>
          <w:lang w:eastAsia="ru-RU"/>
        </w:rPr>
        <w:t>Клещевой</w:t>
      </w:r>
      <w:proofErr w:type="gramEnd"/>
      <w:r w:rsidRPr="0066263B">
        <w:rPr>
          <w:rFonts w:ascii="Times New Roman" w:eastAsia="Times New Roman" w:hAnsi="Times New Roman" w:cs="Times New Roman"/>
          <w:bCs/>
          <w:i/>
          <w:sz w:val="24"/>
          <w:szCs w:val="24"/>
          <w:lang w:eastAsia="ru-RU"/>
        </w:rPr>
        <w:t xml:space="preserve"> боррелиоз (болезнь Лайма)</w:t>
      </w:r>
    </w:p>
    <w:p w:rsidR="00CD3440"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Начиная с 1996 года на территории Брянской области, которая по своей ландшафтно-географической структуре относится к территориям, характерным для природных очагов клещевого боррелиоза (болезнь Лайма), в связи с ростом численности переносчика (иксодовые клещи Ixоdesricinus, Dermacentorreticulatus) в природных биотопах и их инфицированности боррелиями, стала выявляться заболеваемость людей болезнью Лайма.</w:t>
      </w:r>
    </w:p>
    <w:p w:rsidR="00324483" w:rsidRPr="0066263B" w:rsidRDefault="00CD3440" w:rsidP="00CD344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Практически вся Брянская область является эндемической по данному заболеванию.</w:t>
      </w:r>
    </w:p>
    <w:p w:rsidR="00CD3440" w:rsidRPr="0066263B" w:rsidRDefault="00CD3440" w:rsidP="00CD3440">
      <w:pPr>
        <w:spacing w:before="0" w:after="0"/>
        <w:ind w:firstLine="709"/>
        <w:rPr>
          <w:rFonts w:ascii="Times New Roman" w:eastAsia="Times New Roman" w:hAnsi="Times New Roman" w:cs="Times New Roman"/>
          <w:b/>
          <w:lang w:eastAsia="ru-RU"/>
        </w:rPr>
      </w:pPr>
    </w:p>
    <w:p w:rsidR="007033A7" w:rsidRPr="0066263B" w:rsidRDefault="007033A7" w:rsidP="007033A7">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noProof/>
          <w:lang w:eastAsia="ru-RU"/>
        </w:rPr>
        <w:drawing>
          <wp:inline distT="0" distB="0" distL="0" distR="0">
            <wp:extent cx="5759450" cy="3052624"/>
            <wp:effectExtent l="0" t="0" r="0" b="0"/>
            <wp:docPr id="7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033A7" w:rsidRPr="0066263B" w:rsidRDefault="007033A7" w:rsidP="00CD3440">
      <w:pPr>
        <w:spacing w:before="0" w:after="0"/>
        <w:ind w:firstLine="709"/>
        <w:rPr>
          <w:rFonts w:ascii="Times New Roman" w:eastAsia="Times New Roman" w:hAnsi="Times New Roman" w:cs="Times New Roman"/>
          <w:b/>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85</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w:t>
      </w:r>
      <w:proofErr w:type="gramStart"/>
      <w:r w:rsidRPr="0066263B">
        <w:rPr>
          <w:rFonts w:ascii="Times New Roman" w:eastAsia="Times New Roman" w:hAnsi="Times New Roman" w:cs="Times New Roman"/>
          <w:lang w:eastAsia="ru-RU"/>
        </w:rPr>
        <w:t>клещевым</w:t>
      </w:r>
      <w:proofErr w:type="gramEnd"/>
      <w:r w:rsidRPr="0066263B">
        <w:rPr>
          <w:rFonts w:ascii="Times New Roman" w:eastAsia="Times New Roman" w:hAnsi="Times New Roman" w:cs="Times New Roman"/>
          <w:lang w:eastAsia="ru-RU"/>
        </w:rPr>
        <w:t xml:space="preserve"> боррелиозом, на 100 тыс. населения</w:t>
      </w:r>
    </w:p>
    <w:p w:rsidR="00A83A85" w:rsidRPr="0066263B" w:rsidRDefault="00A83A85" w:rsidP="00324483">
      <w:pPr>
        <w:spacing w:before="0" w:after="0"/>
        <w:jc w:val="center"/>
        <w:rPr>
          <w:rFonts w:ascii="Times New Roman" w:eastAsia="Times New Roman" w:hAnsi="Times New Roman" w:cs="Times New Roman"/>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CD3440" w:rsidRPr="0066263B" w:rsidRDefault="00CD3440" w:rsidP="00CD3440">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93</w:t>
      </w:r>
      <w:r w:rsidR="006C34E2" w:rsidRPr="0066263B">
        <w:rPr>
          <w:rFonts w:ascii="Times New Roman" w:eastAsia="Calibri" w:hAnsi="Times New Roman" w:cs="Times New Roman"/>
        </w:rPr>
        <w:fldChar w:fldCharType="end"/>
      </w:r>
    </w:p>
    <w:p w:rsidR="00CD3440" w:rsidRPr="0066263B" w:rsidRDefault="00CD3440" w:rsidP="00CD3440">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 xml:space="preserve">Лабораторные исследования объектов окружающей среды </w:t>
      </w:r>
      <w:proofErr w:type="gramStart"/>
      <w:r w:rsidRPr="0066263B">
        <w:rPr>
          <w:rFonts w:ascii="Times New Roman" w:eastAsia="Times New Roman" w:hAnsi="Times New Roman" w:cs="Times New Roman"/>
          <w:b/>
          <w:lang w:eastAsia="ru-RU"/>
        </w:rPr>
        <w:t>на</w:t>
      </w:r>
      <w:proofErr w:type="gramEnd"/>
      <w:r w:rsidRPr="0066263B">
        <w:rPr>
          <w:rFonts w:ascii="Times New Roman" w:eastAsia="Times New Roman" w:hAnsi="Times New Roman" w:cs="Times New Roman"/>
          <w:b/>
          <w:lang w:eastAsia="ru-RU"/>
        </w:rPr>
        <w:t xml:space="preserve"> клещевой боррелиоз</w:t>
      </w:r>
    </w:p>
    <w:p w:rsidR="00CD3440" w:rsidRPr="0066263B" w:rsidRDefault="00CD3440" w:rsidP="00CD3440">
      <w:pPr>
        <w:spacing w:before="0" w:after="0"/>
        <w:jc w:val="center"/>
        <w:rPr>
          <w:rFonts w:ascii="Times New Roman" w:eastAsia="Times New Roman" w:hAnsi="Times New Roman" w:cs="Times New Roman"/>
          <w:b/>
          <w:lang w:eastAsia="ru-RU"/>
        </w:rPr>
      </w:pPr>
    </w:p>
    <w:tbl>
      <w:tblPr>
        <w:tblW w:w="0" w:type="auto"/>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58"/>
        <w:gridCol w:w="775"/>
        <w:gridCol w:w="775"/>
        <w:gridCol w:w="775"/>
        <w:gridCol w:w="775"/>
        <w:gridCol w:w="775"/>
        <w:gridCol w:w="775"/>
      </w:tblGrid>
      <w:tr w:rsidR="007033A7" w:rsidRPr="0066263B" w:rsidTr="00E13A00">
        <w:trPr>
          <w:jc w:val="center"/>
        </w:trPr>
        <w:tc>
          <w:tcPr>
            <w:tcW w:w="4658" w:type="dxa"/>
          </w:tcPr>
          <w:p w:rsidR="007033A7" w:rsidRPr="0066263B" w:rsidRDefault="007033A7" w:rsidP="00CD3440">
            <w:pPr>
              <w:spacing w:before="20" w:after="20"/>
              <w:rPr>
                <w:rFonts w:ascii="Times New Roman" w:eastAsia="Times New Roman" w:hAnsi="Times New Roman" w:cs="Times New Roman"/>
                <w:lang w:eastAsia="ru-RU"/>
              </w:rPr>
            </w:pPr>
          </w:p>
        </w:tc>
        <w:tc>
          <w:tcPr>
            <w:tcW w:w="775" w:type="dxa"/>
            <w:vAlign w:val="center"/>
          </w:tcPr>
          <w:p w:rsidR="007033A7" w:rsidRPr="0066263B" w:rsidRDefault="007033A7"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2016</w:t>
            </w:r>
          </w:p>
        </w:tc>
        <w:tc>
          <w:tcPr>
            <w:tcW w:w="775" w:type="dxa"/>
            <w:vAlign w:val="center"/>
          </w:tcPr>
          <w:p w:rsidR="007033A7" w:rsidRPr="0066263B" w:rsidRDefault="007033A7"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775" w:type="dxa"/>
          </w:tcPr>
          <w:p w:rsidR="007033A7" w:rsidRPr="0066263B" w:rsidRDefault="007033A7"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775" w:type="dxa"/>
          </w:tcPr>
          <w:p w:rsidR="007033A7" w:rsidRPr="0066263B" w:rsidRDefault="007033A7"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775" w:type="dxa"/>
            <w:vAlign w:val="center"/>
          </w:tcPr>
          <w:p w:rsidR="007033A7" w:rsidRPr="0066263B" w:rsidRDefault="007033A7"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775" w:type="dxa"/>
            <w:vAlign w:val="center"/>
          </w:tcPr>
          <w:p w:rsidR="007033A7" w:rsidRPr="0066263B" w:rsidRDefault="007033A7" w:rsidP="00CD344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7033A7" w:rsidRPr="0066263B" w:rsidTr="00E13A00">
        <w:trPr>
          <w:jc w:val="center"/>
        </w:trPr>
        <w:tc>
          <w:tcPr>
            <w:tcW w:w="4658" w:type="dxa"/>
          </w:tcPr>
          <w:p w:rsidR="007033A7" w:rsidRPr="0066263B" w:rsidRDefault="007033A7" w:rsidP="00CD3440">
            <w:pPr>
              <w:spacing w:before="0" w:after="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Исследовано клещей на </w:t>
            </w:r>
            <w:proofErr w:type="gramStart"/>
            <w:r w:rsidRPr="0066263B">
              <w:rPr>
                <w:rFonts w:ascii="Times New Roman" w:eastAsia="Times New Roman" w:hAnsi="Times New Roman" w:cs="Times New Roman"/>
                <w:lang w:eastAsia="ru-RU"/>
              </w:rPr>
              <w:t>клещевой</w:t>
            </w:r>
            <w:proofErr w:type="gramEnd"/>
            <w:r w:rsidRPr="0066263B">
              <w:rPr>
                <w:rFonts w:ascii="Times New Roman" w:eastAsia="Times New Roman" w:hAnsi="Times New Roman" w:cs="Times New Roman"/>
                <w:lang w:eastAsia="ru-RU"/>
              </w:rPr>
              <w:t xml:space="preserve"> боррелиоз</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1440</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757</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855</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1041</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746</w:t>
            </w:r>
          </w:p>
        </w:tc>
        <w:tc>
          <w:tcPr>
            <w:tcW w:w="775" w:type="dxa"/>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1345</w:t>
            </w:r>
          </w:p>
        </w:tc>
      </w:tr>
      <w:tr w:rsidR="007033A7" w:rsidRPr="0066263B" w:rsidTr="00E13A00">
        <w:trPr>
          <w:jc w:val="center"/>
        </w:trPr>
        <w:tc>
          <w:tcPr>
            <w:tcW w:w="4658" w:type="dxa"/>
          </w:tcPr>
          <w:p w:rsidR="007033A7" w:rsidRPr="0066263B" w:rsidRDefault="007033A7" w:rsidP="00CD3440">
            <w:pPr>
              <w:spacing w:before="0" w:after="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Удельный вес положительных находок, %</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11,6</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12,4</w:t>
            </w:r>
          </w:p>
        </w:tc>
        <w:tc>
          <w:tcPr>
            <w:tcW w:w="775" w:type="dxa"/>
            <w:vAlign w:val="center"/>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12,2</w:t>
            </w:r>
          </w:p>
        </w:tc>
        <w:tc>
          <w:tcPr>
            <w:tcW w:w="775" w:type="dxa"/>
          </w:tcPr>
          <w:p w:rsidR="007033A7" w:rsidRPr="0066263B" w:rsidRDefault="007033A7" w:rsidP="00E13A00">
            <w:pPr>
              <w:spacing w:before="20" w:after="20"/>
              <w:ind w:left="-120" w:right="-135"/>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5,9</w:t>
            </w:r>
          </w:p>
        </w:tc>
      </w:tr>
    </w:tbl>
    <w:p w:rsidR="00CD3440" w:rsidRPr="0066263B" w:rsidRDefault="00CD3440" w:rsidP="00324483">
      <w:pPr>
        <w:spacing w:before="0" w:after="0"/>
        <w:ind w:firstLine="709"/>
        <w:rPr>
          <w:rFonts w:ascii="Times New Roman" w:eastAsia="Times New Roman" w:hAnsi="Times New Roman" w:cs="Times New Roman"/>
          <w:sz w:val="24"/>
          <w:szCs w:val="24"/>
          <w:lang w:eastAsia="ru-RU"/>
        </w:rPr>
      </w:pP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За последние 10 лет на территории Брянской области наиболее высокая заболеваемость </w:t>
      </w:r>
      <w:proofErr w:type="gramStart"/>
      <w:r w:rsidRPr="0066263B">
        <w:rPr>
          <w:rFonts w:ascii="Times New Roman" w:eastAsia="Times New Roman" w:hAnsi="Times New Roman" w:cs="Times New Roman"/>
          <w:sz w:val="24"/>
          <w:szCs w:val="24"/>
          <w:lang w:eastAsia="ru-RU"/>
        </w:rPr>
        <w:t>клещевым</w:t>
      </w:r>
      <w:proofErr w:type="gramEnd"/>
      <w:r w:rsidRPr="0066263B">
        <w:rPr>
          <w:rFonts w:ascii="Times New Roman" w:eastAsia="Times New Roman" w:hAnsi="Times New Roman" w:cs="Times New Roman"/>
          <w:sz w:val="24"/>
          <w:szCs w:val="24"/>
          <w:lang w:eastAsia="ru-RU"/>
        </w:rPr>
        <w:t xml:space="preserve"> боррелиозом зарегистрирована в 2019 году – 80 случаев.</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на территории области зарегистрировано 35 случаев болезни Лайма, показатель заболеваемости – 2,92 на 100 тысяч населения, по сравнению с 2020 годом заболеваемость снизилась в 1,5 раза (2020 – 52 сл. или 4,38 на 100 тыс. нас.).</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Клещевой боррелиоз регистрировался на 8 административных территориях, в том числе: г. Брянск – 21 случай, г.</w:t>
      </w:r>
      <w:r w:rsidR="00A944A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 xml:space="preserve">Клинцы, Жуковский, Брянский районы </w:t>
      </w:r>
      <w:r w:rsidR="00A944A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по 3 случая, Брасовский – 2</w:t>
      </w:r>
      <w:r w:rsidR="00A944A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сл</w:t>
      </w:r>
      <w:r w:rsidR="00A944AF" w:rsidRPr="0066263B">
        <w:rPr>
          <w:rFonts w:ascii="Times New Roman" w:eastAsia="Times New Roman" w:hAnsi="Times New Roman" w:cs="Times New Roman"/>
          <w:sz w:val="24"/>
          <w:szCs w:val="24"/>
          <w:lang w:eastAsia="ru-RU"/>
        </w:rPr>
        <w:t>учая</w:t>
      </w:r>
      <w:r w:rsidRPr="0066263B">
        <w:rPr>
          <w:rFonts w:ascii="Times New Roman" w:eastAsia="Times New Roman" w:hAnsi="Times New Roman" w:cs="Times New Roman"/>
          <w:sz w:val="24"/>
          <w:szCs w:val="24"/>
          <w:lang w:eastAsia="ru-RU"/>
        </w:rPr>
        <w:t>, Навлинский, Стародубский, Трубчевский районы – по 1 сл</w:t>
      </w:r>
      <w:r w:rsidR="00A944AF" w:rsidRPr="0066263B">
        <w:rPr>
          <w:rFonts w:ascii="Times New Roman" w:eastAsia="Times New Roman" w:hAnsi="Times New Roman" w:cs="Times New Roman"/>
          <w:sz w:val="24"/>
          <w:szCs w:val="24"/>
          <w:lang w:eastAsia="ru-RU"/>
        </w:rPr>
        <w:t>учаю</w:t>
      </w:r>
      <w:r w:rsidRPr="0066263B">
        <w:rPr>
          <w:rFonts w:ascii="Times New Roman" w:eastAsia="Times New Roman" w:hAnsi="Times New Roman" w:cs="Times New Roman"/>
          <w:sz w:val="24"/>
          <w:szCs w:val="24"/>
          <w:lang w:eastAsia="ru-RU"/>
        </w:rPr>
        <w:t>.</w:t>
      </w:r>
      <w:proofErr w:type="gramEnd"/>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клещевой боррелиоз исследовано 1</w:t>
      </w:r>
      <w:r w:rsidR="00A944A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345 клещей, выделено 79 положительных находок возбудителя – 5,9% (2020</w:t>
      </w:r>
      <w:r w:rsidR="00A944AF"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12,2%)</w:t>
      </w:r>
      <w:r w:rsidR="00A944AF"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что свидетельствует о высокой активности природных очагов данной инфекции.</w:t>
      </w:r>
    </w:p>
    <w:p w:rsidR="007033A7" w:rsidRPr="0066263B" w:rsidRDefault="007033A7" w:rsidP="007033A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 зонах высокого риска заражения населения заболеваниями, передающимися через укусы клещей, на территориях летнего оздоровительного отдыха детей и взрослых обработано против клещей 395,1</w:t>
      </w:r>
      <w:r w:rsidR="00A944AF"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га оперативной площади (2020 – 314,61 га).</w:t>
      </w:r>
    </w:p>
    <w:p w:rsidR="0039433E" w:rsidRPr="0066263B" w:rsidRDefault="0039433E" w:rsidP="00324483">
      <w:pPr>
        <w:spacing w:before="120" w:after="0"/>
        <w:jc w:val="center"/>
        <w:rPr>
          <w:rFonts w:ascii="Times New Roman" w:eastAsia="Times New Roman" w:hAnsi="Times New Roman" w:cs="Times New Roman"/>
          <w:bCs/>
          <w:i/>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Клещевой вирусный энцефалит</w:t>
      </w:r>
    </w:p>
    <w:p w:rsidR="00A944AF" w:rsidRPr="0066263B" w:rsidRDefault="00A944AF" w:rsidP="00A944A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Брянская область является благополучной по клещевому энцефалиту, заболевания людей не регистрировались. Область является неэндемичной по клещевому вирусному энцефалиту (далее – КВЭ), в связи с чем, плановые профилактические прививки населению против клещевого вирусного энцефалита не проводятся.</w:t>
      </w:r>
    </w:p>
    <w:p w:rsidR="00A944AF" w:rsidRPr="0066263B" w:rsidRDefault="00A944AF" w:rsidP="00A944AF">
      <w:pPr>
        <w:spacing w:before="0" w:after="0"/>
        <w:ind w:firstLine="709"/>
        <w:rPr>
          <w:rFonts w:ascii="Times New Roman" w:eastAsia="Times New Roman" w:hAnsi="Times New Roman" w:cs="Times New Roman"/>
          <w:sz w:val="24"/>
          <w:szCs w:val="24"/>
          <w:lang w:eastAsia="ru-RU"/>
        </w:rPr>
      </w:pPr>
    </w:p>
    <w:p w:rsidR="00A944AF" w:rsidRPr="0066263B" w:rsidRDefault="00A944AF" w:rsidP="00A944A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привито против клещевого энцефалита 104 человека, </w:t>
      </w:r>
      <w:proofErr w:type="gramStart"/>
      <w:r w:rsidRPr="0066263B">
        <w:rPr>
          <w:rFonts w:ascii="Times New Roman" w:eastAsia="Times New Roman" w:hAnsi="Times New Roman" w:cs="Times New Roman"/>
          <w:sz w:val="24"/>
          <w:szCs w:val="24"/>
          <w:lang w:eastAsia="ru-RU"/>
        </w:rPr>
        <w:t>выезжавших</w:t>
      </w:r>
      <w:proofErr w:type="gramEnd"/>
      <w:r w:rsidRPr="0066263B">
        <w:rPr>
          <w:rFonts w:ascii="Times New Roman" w:eastAsia="Times New Roman" w:hAnsi="Times New Roman" w:cs="Times New Roman"/>
          <w:sz w:val="24"/>
          <w:szCs w:val="24"/>
          <w:lang w:eastAsia="ru-RU"/>
        </w:rPr>
        <w:t xml:space="preserve"> в эндемичные по клещевому энцефалиту территории.</w:t>
      </w:r>
    </w:p>
    <w:p w:rsidR="00A944AF" w:rsidRPr="0066263B" w:rsidRDefault="00A944AF" w:rsidP="00A944A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течение эпидсезона (апрель-сентябрь) на территории Брянской области проводился еженедельный мониторинг за клещевым вирусным энцефалитом.</w:t>
      </w:r>
    </w:p>
    <w:p w:rsidR="00A944AF" w:rsidRPr="0066263B" w:rsidRDefault="00A944AF" w:rsidP="00A944AF">
      <w:pPr>
        <w:spacing w:before="0" w:after="0"/>
        <w:ind w:firstLine="709"/>
        <w:rPr>
          <w:rFonts w:ascii="Times New Roman" w:eastAsia="Times New Roman" w:hAnsi="Times New Roman" w:cs="Times New Roman"/>
          <w:sz w:val="24"/>
          <w:szCs w:val="24"/>
          <w:lang w:eastAsia="ru-RU"/>
        </w:rPr>
      </w:pPr>
    </w:p>
    <w:p w:rsidR="00A944AF" w:rsidRPr="0066263B" w:rsidRDefault="00A944AF" w:rsidP="00A944A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пострадало от укусов клещей 1 020 человек, в том числе – 317 детей до 14 лет (2020 – 1 055 чел., в том числе – 417 детей до 14 лет).</w:t>
      </w:r>
    </w:p>
    <w:p w:rsidR="00A944AF" w:rsidRPr="0066263B" w:rsidRDefault="00A944AF" w:rsidP="00A944A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Лабораторией ФБУЗ «Центр гигиены и эпидемиологии в Брянской области» исследовано 733 клещей на КВЭ, результаты отрицательные.</w:t>
      </w:r>
    </w:p>
    <w:p w:rsidR="00A944AF" w:rsidRPr="0066263B" w:rsidRDefault="00A944AF" w:rsidP="00A944A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Лабораторно проведено 36 исследований на КВЭ от больных с подозрением на инфекцию (лихорадящие больные с неустановленным диагнозом, лица с </w:t>
      </w:r>
      <w:proofErr w:type="spellStart"/>
      <w:r w:rsidRPr="0066263B">
        <w:rPr>
          <w:rFonts w:ascii="Times New Roman" w:eastAsia="Times New Roman" w:hAnsi="Times New Roman" w:cs="Times New Roman"/>
          <w:sz w:val="24"/>
          <w:szCs w:val="24"/>
          <w:lang w:eastAsia="ru-RU"/>
        </w:rPr>
        <w:t>менингеальной</w:t>
      </w:r>
      <w:proofErr w:type="spellEnd"/>
      <w:r w:rsidRPr="0066263B">
        <w:rPr>
          <w:rFonts w:ascii="Times New Roman" w:eastAsia="Times New Roman" w:hAnsi="Times New Roman" w:cs="Times New Roman"/>
          <w:sz w:val="24"/>
          <w:szCs w:val="24"/>
          <w:lang w:eastAsia="ru-RU"/>
        </w:rPr>
        <w:t xml:space="preserve"> симптоматикой и признаками очаговых поражений головного и спинного мозга), все результаты отрицательные.</w:t>
      </w:r>
    </w:p>
    <w:p w:rsidR="00F54216" w:rsidRPr="0066263B" w:rsidRDefault="00F54216" w:rsidP="0052017A">
      <w:pPr>
        <w:spacing w:before="0" w:after="0"/>
        <w:ind w:firstLine="709"/>
        <w:rPr>
          <w:rFonts w:ascii="Times New Roman" w:eastAsia="Times New Roman" w:hAnsi="Times New Roman" w:cs="Times New Roman"/>
          <w:sz w:val="24"/>
          <w:szCs w:val="24"/>
          <w:lang w:eastAsia="ru-RU"/>
        </w:rPr>
      </w:pPr>
    </w:p>
    <w:p w:rsidR="0039433E" w:rsidRPr="0066263B" w:rsidRDefault="0039433E">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39433E" w:rsidRPr="0066263B" w:rsidRDefault="0039433E" w:rsidP="0052017A">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Выполнение планов профилактических прививок против зооантропонозных</w:t>
      </w:r>
      <w:r w:rsidRPr="0066263B">
        <w:rPr>
          <w:rFonts w:ascii="Times New Roman" w:eastAsia="Times New Roman" w:hAnsi="Times New Roman" w:cs="Times New Roman"/>
          <w:b/>
          <w:lang w:eastAsia="ru-RU"/>
        </w:rPr>
        <w:br/>
        <w:t>и природно-очаговых инфекций</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499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9"/>
        <w:gridCol w:w="1289"/>
        <w:gridCol w:w="1289"/>
        <w:gridCol w:w="1289"/>
        <w:gridCol w:w="1288"/>
        <w:gridCol w:w="1288"/>
      </w:tblGrid>
      <w:tr w:rsidR="00F54216" w:rsidRPr="0066263B" w:rsidTr="00F54216">
        <w:trPr>
          <w:trHeight w:val="316"/>
        </w:trPr>
        <w:tc>
          <w:tcPr>
            <w:tcW w:w="1529" w:type="pct"/>
            <w:tcBorders>
              <w:left w:val="single" w:sz="4" w:space="0" w:color="auto"/>
              <w:bottom w:val="single" w:sz="4" w:space="0" w:color="auto"/>
              <w:right w:val="single" w:sz="4" w:space="0" w:color="auto"/>
            </w:tcBorders>
            <w:vAlign w:val="center"/>
          </w:tcPr>
          <w:p w:rsidR="00F54216" w:rsidRPr="0066263B" w:rsidRDefault="00F54216" w:rsidP="0052017A">
            <w:pPr>
              <w:spacing w:before="20" w:after="20"/>
              <w:rPr>
                <w:rFonts w:ascii="Times New Roman" w:eastAsia="Times New Roman" w:hAnsi="Times New Roman" w:cs="Times New Roman"/>
                <w:lang w:eastAsia="ru-RU"/>
              </w:rPr>
            </w:pPr>
          </w:p>
        </w:tc>
        <w:tc>
          <w:tcPr>
            <w:tcW w:w="694" w:type="pct"/>
            <w:tcBorders>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694" w:type="pct"/>
            <w:tcBorders>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694" w:type="pct"/>
            <w:tcBorders>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694" w:type="pct"/>
            <w:tcBorders>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694" w:type="pct"/>
            <w:tcBorders>
              <w:left w:val="single" w:sz="4" w:space="0" w:color="auto"/>
              <w:bottom w:val="single" w:sz="4" w:space="0" w:color="auto"/>
              <w:right w:val="single" w:sz="4" w:space="0" w:color="auto"/>
            </w:tcBorders>
            <w:vAlign w:val="center"/>
          </w:tcPr>
          <w:p w:rsidR="00F54216" w:rsidRPr="0066263B" w:rsidRDefault="00F54216" w:rsidP="0052017A">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F54216" w:rsidRPr="0066263B" w:rsidTr="00F54216">
        <w:trPr>
          <w:trHeight w:val="72"/>
        </w:trPr>
        <w:tc>
          <w:tcPr>
            <w:tcW w:w="1529"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52017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Туляремия – </w:t>
            </w:r>
            <w:r w:rsidRPr="0066263B">
              <w:rPr>
                <w:rFonts w:ascii="Times New Roman" w:eastAsia="Times New Roman" w:hAnsi="Times New Roman" w:cs="Times New Roman"/>
                <w:lang w:val="en-US" w:eastAsia="ru-RU"/>
              </w:rPr>
              <w:t>V</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96,1%</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96,3%</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95,1%</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87,1</w:t>
            </w:r>
            <w:r w:rsidR="00A77F0A">
              <w:rPr>
                <w:rFonts w:ascii="Times New Roman" w:eastAsia="Times New Roman" w:hAnsi="Times New Roman" w:cs="Times New Roman"/>
                <w:lang w:eastAsia="ru-RU"/>
              </w:rPr>
              <w:t>%</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F54216">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85,8</w:t>
            </w:r>
            <w:r w:rsidR="00A77F0A">
              <w:rPr>
                <w:rFonts w:ascii="Times New Roman" w:eastAsia="Times New Roman" w:hAnsi="Times New Roman" w:cs="Times New Roman"/>
                <w:lang w:eastAsia="ru-RU"/>
              </w:rPr>
              <w:t>%</w:t>
            </w:r>
          </w:p>
        </w:tc>
      </w:tr>
      <w:tr w:rsidR="00F54216" w:rsidRPr="0066263B" w:rsidTr="00F54216">
        <w:trPr>
          <w:trHeight w:val="185"/>
        </w:trPr>
        <w:tc>
          <w:tcPr>
            <w:tcW w:w="1529"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52017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Туляремия – </w:t>
            </w:r>
            <w:r w:rsidRPr="0066263B">
              <w:rPr>
                <w:rFonts w:ascii="Times New Roman" w:eastAsia="Times New Roman" w:hAnsi="Times New Roman" w:cs="Times New Roman"/>
                <w:lang w:val="en-US" w:eastAsia="ru-RU"/>
              </w:rPr>
              <w:t>RV</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95,2%</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95,2%</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95,9%</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86,7</w:t>
            </w:r>
            <w:r w:rsidR="00A77F0A">
              <w:rPr>
                <w:rFonts w:ascii="Times New Roman" w:eastAsia="Times New Roman" w:hAnsi="Times New Roman" w:cs="Times New Roman"/>
                <w:lang w:eastAsia="ru-RU"/>
              </w:rPr>
              <w:t>%</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F54216">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62,9</w:t>
            </w:r>
            <w:r w:rsidR="00A77F0A">
              <w:rPr>
                <w:rFonts w:ascii="Times New Roman" w:eastAsia="Times New Roman" w:hAnsi="Times New Roman" w:cs="Times New Roman"/>
                <w:lang w:eastAsia="ru-RU"/>
              </w:rPr>
              <w:t>%</w:t>
            </w:r>
          </w:p>
        </w:tc>
      </w:tr>
      <w:tr w:rsidR="00F54216" w:rsidRPr="0066263B" w:rsidTr="00F54216">
        <w:trPr>
          <w:trHeight w:val="230"/>
        </w:trPr>
        <w:tc>
          <w:tcPr>
            <w:tcW w:w="1529"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52017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Сибирская язва – </w:t>
            </w:r>
            <w:r w:rsidRPr="0066263B">
              <w:rPr>
                <w:rFonts w:ascii="Times New Roman" w:eastAsia="Times New Roman" w:hAnsi="Times New Roman" w:cs="Times New Roman"/>
                <w:lang w:val="en-US" w:eastAsia="ru-RU"/>
              </w:rPr>
              <w:t>V</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95,7%</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97,7%</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87,9%</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80,0</w:t>
            </w:r>
            <w:r w:rsidR="00A77F0A">
              <w:rPr>
                <w:rFonts w:ascii="Times New Roman" w:eastAsia="Times New Roman" w:hAnsi="Times New Roman" w:cs="Times New Roman"/>
                <w:lang w:eastAsia="ru-RU"/>
              </w:rPr>
              <w:t>%</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F54216">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36,2</w:t>
            </w:r>
            <w:r w:rsidR="00A77F0A">
              <w:rPr>
                <w:rFonts w:ascii="Times New Roman" w:eastAsia="Times New Roman" w:hAnsi="Times New Roman" w:cs="Times New Roman"/>
                <w:lang w:eastAsia="ru-RU"/>
              </w:rPr>
              <w:t>%</w:t>
            </w:r>
          </w:p>
        </w:tc>
      </w:tr>
      <w:tr w:rsidR="00F54216" w:rsidRPr="0066263B" w:rsidTr="00F54216">
        <w:trPr>
          <w:trHeight w:val="233"/>
        </w:trPr>
        <w:tc>
          <w:tcPr>
            <w:tcW w:w="1529"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52017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Сибирская язва – </w:t>
            </w:r>
            <w:r w:rsidRPr="0066263B">
              <w:rPr>
                <w:rFonts w:ascii="Times New Roman" w:eastAsia="Times New Roman" w:hAnsi="Times New Roman" w:cs="Times New Roman"/>
                <w:lang w:val="en-US" w:eastAsia="ru-RU"/>
              </w:rPr>
              <w:t>RV</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97,4%</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98,7%</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90,7%</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56,8</w:t>
            </w:r>
            <w:r w:rsidR="00A77F0A">
              <w:rPr>
                <w:rFonts w:ascii="Times New Roman" w:eastAsia="Times New Roman" w:hAnsi="Times New Roman" w:cs="Times New Roman"/>
                <w:lang w:eastAsia="ru-RU"/>
              </w:rPr>
              <w:t>%</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F54216">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98,4</w:t>
            </w:r>
            <w:r w:rsidR="00A77F0A">
              <w:rPr>
                <w:rFonts w:ascii="Times New Roman" w:eastAsia="Times New Roman" w:hAnsi="Times New Roman" w:cs="Times New Roman"/>
                <w:lang w:eastAsia="ru-RU"/>
              </w:rPr>
              <w:t>%</w:t>
            </w:r>
          </w:p>
        </w:tc>
      </w:tr>
      <w:tr w:rsidR="00F54216" w:rsidRPr="0066263B" w:rsidTr="00F54216">
        <w:trPr>
          <w:trHeight w:val="279"/>
        </w:trPr>
        <w:tc>
          <w:tcPr>
            <w:tcW w:w="1529"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52017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Антирабические прививки,</w:t>
            </w:r>
            <w:r w:rsidRPr="0066263B">
              <w:rPr>
                <w:rFonts w:ascii="Times New Roman" w:eastAsia="Times New Roman" w:hAnsi="Times New Roman" w:cs="Times New Roman"/>
                <w:lang w:eastAsia="ru-RU"/>
              </w:rPr>
              <w:br/>
              <w:t>назначено / закончено</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4209 / 3590</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4175 / 3433</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4118 / 3528</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3338 / 2850</w:t>
            </w:r>
          </w:p>
        </w:tc>
        <w:tc>
          <w:tcPr>
            <w:tcW w:w="694" w:type="pct"/>
            <w:tcBorders>
              <w:top w:val="single" w:sz="4" w:space="0" w:color="auto"/>
              <w:left w:val="single" w:sz="4" w:space="0" w:color="auto"/>
              <w:bottom w:val="single" w:sz="4" w:space="0" w:color="auto"/>
              <w:right w:val="single" w:sz="4" w:space="0" w:color="auto"/>
            </w:tcBorders>
            <w:vAlign w:val="center"/>
          </w:tcPr>
          <w:p w:rsidR="00F54216" w:rsidRPr="0066263B" w:rsidRDefault="00F54216" w:rsidP="00F54216">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3600 / 3059</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Сибирская язва</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Брянской области работа осуществляется в соответствии  с межведомственным планом мероприятий по профилактике заболеваний людей и животных сибирской язвой в Брянской области, утверждённым решением СПК от 24.05.2016 № 1 «Об усилении мероприятий по профилактике природно-очаговых инфекций на территории Брянской области».</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целях обеспечения безопасности групп риска проводится вакцинация против сибирской язвы.</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План вакцинации групп риска против сибирской язвы на 2021 год – 260 человек, привито – 94 человека или 36,2% (2020 – 80</w:t>
      </w:r>
      <w:r w:rsidR="00A77F0A">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План ревакцинации – 380 человек, привито – 374 человека или 98,4% (2020 – 56,8%).</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соответствии с комплексным планом противоэпидемических мероприятий по санитарной охране территории Брянской области предусмотрен алгоритм действий при выявлении больного (подозрительного) на карантинное заболевание, разработаны схемы оповещения при выявлении больного карантинной инфекцией на территории Брянской области. Определён состав служб по ликвидации очагов особо опасных инфекций, состав групп врачей-эпидемиологов на случай возникновения ООИ на территории Брянской области, персональный состав медицинского штаба и группы консультантов для работы в условиях возникновения ООИ.</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Комплексным планом определены: госпитальная база на случай возникновения сибирской язвы с перечнем медицинских организаций, обеспечивающих развертывание специализированных госпиталей, лабораторий.</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Антибактериальными препаратами для организации экстренной профилактики против сибирской язвы, дезсредствами медицинские организации обеспечены.</w:t>
      </w:r>
    </w:p>
    <w:p w:rsidR="00F54216" w:rsidRPr="0066263B" w:rsidRDefault="00F54216" w:rsidP="0052017A">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Санитарная охрана территории</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Брянской области функционирует на постоянной основе 4 санитарно-карантинных пункта на автомобильных переходах (далее – СКП), расположенных на границе России и Украины.</w:t>
      </w:r>
      <w:proofErr w:type="gramEnd"/>
      <w:r w:rsidRPr="0066263B">
        <w:rPr>
          <w:rFonts w:ascii="Times New Roman" w:eastAsia="Times New Roman" w:hAnsi="Times New Roman" w:cs="Times New Roman"/>
          <w:sz w:val="24"/>
          <w:szCs w:val="24"/>
          <w:lang w:eastAsia="ru-RU"/>
        </w:rPr>
        <w:t xml:space="preserve"> Количество сотрудников, работающих на СКП – 16 человек.</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СКП оснащены в соответствии с требованиями регламента оснащения санитарно-карантинных пунктов укладками по забору материала от больных и подозрительных на инфекционные заболевания, доставки грызунов в лабораторию, экстренной профилактики, обеспечены необходимым инвентарём, противочумными </w:t>
      </w:r>
      <w:r w:rsidRPr="0066263B">
        <w:rPr>
          <w:rFonts w:ascii="Times New Roman" w:eastAsia="Times New Roman" w:hAnsi="Times New Roman" w:cs="Times New Roman"/>
          <w:sz w:val="24"/>
          <w:szCs w:val="24"/>
          <w:lang w:eastAsia="ru-RU"/>
        </w:rPr>
        <w:lastRenderedPageBreak/>
        <w:t>костюмами, медицинскими препаратами для оказания первой медицинской помощи, дезсредствами.</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автомобильных пунктах пропуска через государственную границу РФ, а также в аэропорту г. Брянска имеются схемы оповещения на случай выявления инфекционных больных.</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Имеются планы и технологическая схема взаимодействия с пограничной, таможенной и фитосанитарной службами.</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случаев завоза и распространения особо опасных инфекционных заболеваний на территории Брянской области не было.</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При прибытии на таможенную территорию Таможенного союза в автомобильных пунктах пропуска:</w:t>
      </w:r>
    </w:p>
    <w:p w:rsidR="00F54216" w:rsidRPr="0066263B" w:rsidRDefault="00F54216" w:rsidP="00F54216">
      <w:pPr>
        <w:numPr>
          <w:ilvl w:val="0"/>
          <w:numId w:val="32"/>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Досмотрено 73 266 ед. транспортных средств (17 099 </w:t>
      </w:r>
      <w:r w:rsidR="00A77F0A"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пассажирских и 56 167 </w:t>
      </w:r>
      <w:r w:rsidR="00A77F0A"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грузовых). Пропуск 352 транспортных сре</w:t>
      </w:r>
      <w:proofErr w:type="gramStart"/>
      <w:r w:rsidRPr="0066263B">
        <w:rPr>
          <w:rFonts w:ascii="Times New Roman" w:eastAsia="Times New Roman" w:hAnsi="Times New Roman" w:cs="Times New Roman"/>
          <w:sz w:val="24"/>
          <w:szCs w:val="24"/>
          <w:lang w:eastAsia="ru-RU"/>
        </w:rPr>
        <w:t>дств пр</w:t>
      </w:r>
      <w:proofErr w:type="gramEnd"/>
      <w:r w:rsidRPr="0066263B">
        <w:rPr>
          <w:rFonts w:ascii="Times New Roman" w:eastAsia="Times New Roman" w:hAnsi="Times New Roman" w:cs="Times New Roman"/>
          <w:sz w:val="24"/>
          <w:szCs w:val="24"/>
          <w:lang w:eastAsia="ru-RU"/>
        </w:rPr>
        <w:t>иостановлен (временно запрещён).</w:t>
      </w:r>
    </w:p>
    <w:p w:rsidR="00F54216" w:rsidRPr="0066263B" w:rsidRDefault="00F54216" w:rsidP="00F54216">
      <w:pPr>
        <w:numPr>
          <w:ilvl w:val="0"/>
          <w:numId w:val="32"/>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Досмотрено на наличие признаков инфекционных заболеваний 480 326 человек, выявлен – 1 (больные и/или лица с подозрением на инфекционные заболевания).</w:t>
      </w:r>
    </w:p>
    <w:p w:rsidR="00F54216" w:rsidRPr="0066263B" w:rsidRDefault="00F54216" w:rsidP="00F54216">
      <w:pPr>
        <w:numPr>
          <w:ilvl w:val="0"/>
          <w:numId w:val="32"/>
        </w:numPr>
        <w:spacing w:before="0" w:after="0"/>
        <w:ind w:left="993"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Досмотрено 5 701 партия грузов, в том числе: опасные грузы – 103 партии, пищевые продукты и продовольственное сырьё – 4 514 партий, прочие грузы – 1 084 партии. Приостановлен (запрещён) ввоз 7 141,0 тонн или 488 партий грузов (пищевые продукты и продовольственное сырьё). Причинами приостановки (запрета) ввоза на таможенную территорию Таможенного союза партий грузов послужило несоответствие требований к ввозимой продукции.</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
          <w:bCs/>
          <w:i/>
          <w:sz w:val="24"/>
          <w:szCs w:val="24"/>
        </w:rPr>
      </w:pPr>
      <w:r w:rsidRPr="0066263B">
        <w:rPr>
          <w:rFonts w:ascii="Times New Roman" w:eastAsia="TimesNewRomanPS-BoldMT" w:hAnsi="Times New Roman" w:cs="Times New Roman"/>
          <w:b/>
          <w:bCs/>
          <w:i/>
          <w:sz w:val="24"/>
          <w:szCs w:val="24"/>
        </w:rPr>
        <w:t>Социально обусловленные инфекции</w:t>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Туберкулёз</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Брянской области по итогам 2021 года сохраняется тенденция улучшения ситуации по туберкулёзу. Показатель заболеваемости туберкулёзом с учётом ГУ ФСИН и других ведомств снизился с 24,3 на 100 тысяч населения в 2020 году до 21,4 на 100 тысяч населения в 2021 году, при этом показатель ниже среднего по РФ (28,76 на 100 тыс. нас.). Всего зарегистрировано 262 случая заболевания, отмечается снижение заболеваемости по сравнению с прошлым годом на 14%.</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Однако в 18 районах области заболеваемость превышает среднеобластной показатель, наиболее высокий уровень – Выгоничский район (45,3 на 100 тыс. нас.), Почепский район (44,7 на 100 тыс. нас.), Клинцовский район (41,1 на 100 тыс. нас.), Гордеевский район (41,1 на 100 тыс. нас.), Злынковский район (36,4 на 100 тыс. нас.), Красногорский район (36,4</w:t>
      </w:r>
      <w:r w:rsidR="00321A0A" w:rsidRPr="0066263B">
        <w:rPr>
          <w:rFonts w:ascii="Times New Roman" w:eastAsia="Times New Roman" w:hAnsi="Times New Roman" w:cs="Times New Roman"/>
          <w:sz w:val="24"/>
          <w:szCs w:val="24"/>
          <w:lang w:eastAsia="ru-RU"/>
        </w:rPr>
        <w:t xml:space="preserve"> на 100 тыс. нас.</w:t>
      </w:r>
      <w:r w:rsidRPr="0066263B">
        <w:rPr>
          <w:rFonts w:ascii="Times New Roman" w:eastAsia="Times New Roman" w:hAnsi="Times New Roman" w:cs="Times New Roman"/>
          <w:sz w:val="24"/>
          <w:szCs w:val="24"/>
          <w:lang w:eastAsia="ru-RU"/>
        </w:rPr>
        <w:t>), Жирятинский район (33,1</w:t>
      </w:r>
      <w:r w:rsidR="00321A0A" w:rsidRPr="0066263B">
        <w:rPr>
          <w:rFonts w:ascii="Times New Roman" w:eastAsia="Times New Roman" w:hAnsi="Times New Roman" w:cs="Times New Roman"/>
          <w:sz w:val="24"/>
          <w:szCs w:val="24"/>
          <w:lang w:eastAsia="ru-RU"/>
        </w:rPr>
        <w:t xml:space="preserve"> на 100 тыс</w:t>
      </w:r>
      <w:proofErr w:type="gramEnd"/>
      <w:r w:rsidR="00321A0A" w:rsidRPr="0066263B">
        <w:rPr>
          <w:rFonts w:ascii="Times New Roman" w:eastAsia="Times New Roman" w:hAnsi="Times New Roman" w:cs="Times New Roman"/>
          <w:sz w:val="24"/>
          <w:szCs w:val="24"/>
          <w:lang w:eastAsia="ru-RU"/>
        </w:rPr>
        <w:t>. нас.</w:t>
      </w:r>
      <w:r w:rsidRPr="0066263B">
        <w:rPr>
          <w:rFonts w:ascii="Times New Roman" w:eastAsia="Times New Roman" w:hAnsi="Times New Roman" w:cs="Times New Roman"/>
          <w:sz w:val="24"/>
          <w:szCs w:val="24"/>
          <w:lang w:eastAsia="ru-RU"/>
        </w:rPr>
        <w:t>), Клетнянский район (33,6</w:t>
      </w:r>
      <w:r w:rsidR="00321A0A" w:rsidRPr="0066263B">
        <w:rPr>
          <w:rFonts w:ascii="Times New Roman" w:eastAsia="Times New Roman" w:hAnsi="Times New Roman" w:cs="Times New Roman"/>
          <w:sz w:val="24"/>
          <w:szCs w:val="24"/>
          <w:lang w:eastAsia="ru-RU"/>
        </w:rPr>
        <w:t xml:space="preserve"> на 100 тыс. нас.</w:t>
      </w:r>
      <w:r w:rsidRPr="0066263B">
        <w:rPr>
          <w:rFonts w:ascii="Times New Roman" w:eastAsia="Times New Roman" w:hAnsi="Times New Roman" w:cs="Times New Roman"/>
          <w:sz w:val="24"/>
          <w:szCs w:val="24"/>
          <w:lang w:eastAsia="ru-RU"/>
        </w:rPr>
        <w:t>), Унечский район (35,4</w:t>
      </w:r>
      <w:r w:rsidR="00321A0A" w:rsidRPr="0066263B">
        <w:rPr>
          <w:rFonts w:ascii="Times New Roman" w:eastAsia="Times New Roman" w:hAnsi="Times New Roman" w:cs="Times New Roman"/>
          <w:sz w:val="24"/>
          <w:szCs w:val="24"/>
          <w:lang w:eastAsia="ru-RU"/>
        </w:rPr>
        <w:t xml:space="preserve"> на 100 тыс. нас.</w:t>
      </w:r>
      <w:r w:rsidRPr="0066263B">
        <w:rPr>
          <w:rFonts w:ascii="Times New Roman" w:eastAsia="Times New Roman" w:hAnsi="Times New Roman" w:cs="Times New Roman"/>
          <w:sz w:val="24"/>
          <w:szCs w:val="24"/>
          <w:lang w:eastAsia="ru-RU"/>
        </w:rPr>
        <w:t>)</w:t>
      </w:r>
      <w:r w:rsidR="00A77F0A">
        <w:rPr>
          <w:rFonts w:ascii="Times New Roman" w:eastAsia="Times New Roman" w:hAnsi="Times New Roman" w:cs="Times New Roman"/>
          <w:sz w:val="24"/>
          <w:szCs w:val="24"/>
          <w:lang w:eastAsia="ru-RU"/>
        </w:rPr>
        <w:t>.</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туберкулёзом заболело 10 детей в возрасте до 14 лет или 5,4 на 100 тысяч населения (2020 – 13 сл. или 6,8 на 100 тыс. нас.).</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подростков 15-17 лет выявлен 3 случая туберкулёза или 8,6 на 100 тысяч населения (2020 – 1 сл. или 2,9 на 100 тыс. нас.).</w:t>
      </w:r>
    </w:p>
    <w:p w:rsidR="00F54216" w:rsidRPr="0066263B" w:rsidRDefault="00F54216" w:rsidP="00F54216">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всех впервые выявленных больных активным туберкулёзом органов дыхания удельный вес бациллярных больных составил 39,8% (2020</w:t>
      </w:r>
      <w:r w:rsidR="00321A0A" w:rsidRPr="0066263B">
        <w:rPr>
          <w:rFonts w:ascii="Times New Roman" w:eastAsia="Times New Roman" w:hAnsi="Times New Roman" w:cs="Times New Roman"/>
          <w:sz w:val="24"/>
          <w:szCs w:val="24"/>
          <w:lang w:eastAsia="ru-RU"/>
        </w:rPr>
        <w:t xml:space="preserve"> – </w:t>
      </w:r>
      <w:r w:rsidRPr="0066263B">
        <w:rPr>
          <w:rFonts w:ascii="Times New Roman" w:eastAsia="Times New Roman" w:hAnsi="Times New Roman" w:cs="Times New Roman"/>
          <w:sz w:val="24"/>
          <w:szCs w:val="24"/>
          <w:lang w:eastAsia="ru-RU"/>
        </w:rPr>
        <w:t>45,92%),</w:t>
      </w:r>
      <w:r w:rsidR="00321A0A"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всего больных туберкулёзом органов дыхания 102 человека или 8,52 на 100 тыс. нас.</w:t>
      </w:r>
    </w:p>
    <w:p w:rsidR="00F54216" w:rsidRPr="0066263B" w:rsidRDefault="00F54216" w:rsidP="0052017A">
      <w:pPr>
        <w:spacing w:before="0" w:after="0"/>
        <w:ind w:firstLine="709"/>
        <w:rPr>
          <w:rFonts w:ascii="Times New Roman" w:eastAsia="Times New Roman" w:hAnsi="Times New Roman" w:cs="Times New Roman"/>
          <w:sz w:val="24"/>
          <w:szCs w:val="24"/>
          <w:lang w:eastAsia="ru-RU"/>
        </w:rPr>
      </w:pPr>
    </w:p>
    <w:p w:rsidR="0039433E" w:rsidRPr="0066263B" w:rsidRDefault="0039433E">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39433E" w:rsidRPr="0066263B" w:rsidRDefault="0039433E" w:rsidP="0052017A">
      <w:pPr>
        <w:spacing w:before="0" w:after="0"/>
        <w:ind w:firstLine="709"/>
        <w:rPr>
          <w:rFonts w:ascii="Times New Roman" w:eastAsia="Times New Roman" w:hAnsi="Times New Roman" w:cs="Times New Roman"/>
          <w:sz w:val="24"/>
          <w:szCs w:val="24"/>
          <w:lang w:eastAsia="ru-RU"/>
        </w:rPr>
      </w:pPr>
    </w:p>
    <w:p w:rsidR="0052017A" w:rsidRPr="0066263B" w:rsidRDefault="00321A0A" w:rsidP="00321A0A">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2552376"/>
            <wp:effectExtent l="0" t="0" r="0" b="0"/>
            <wp:docPr id="7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E156F" w:rsidRPr="0066263B" w:rsidRDefault="00EE156F"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86</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туберкулёзом, на 100 тыс. населения</w:t>
      </w:r>
    </w:p>
    <w:p w:rsidR="0052017A" w:rsidRPr="0066263B" w:rsidRDefault="0052017A"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ВИЧ-инфекция</w:t>
      </w:r>
    </w:p>
    <w:p w:rsidR="00321A0A" w:rsidRPr="0066263B" w:rsidRDefault="00321A0A" w:rsidP="00321A0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весь период наблюдений с 1 января 1989 года по 31 декабря 2021 года на территории Брянской области зарегистрировано 4 803 инфицированных ВИЧ жителя области, 553 иногородних граждан РФ, выявленных на территории области, 476 иностранных граждан и лиц без гражданства, 60 человек выявленных анонимно. Всего на территории области зарегистрировано 5 892 случая ВИЧ-инфекции. Выбыло 368 больных, в том числе 107 жителей области. Умерло 1 495 больных ВИЧ/</w:t>
      </w:r>
      <w:proofErr w:type="spellStart"/>
      <w:r w:rsidRPr="0066263B">
        <w:rPr>
          <w:rFonts w:ascii="Times New Roman" w:eastAsia="Times New Roman" w:hAnsi="Times New Roman" w:cs="Times New Roman"/>
          <w:sz w:val="24"/>
          <w:szCs w:val="24"/>
          <w:lang w:eastAsia="ru-RU"/>
        </w:rPr>
        <w:t>СПИДом</w:t>
      </w:r>
      <w:proofErr w:type="spellEnd"/>
      <w:r w:rsidRPr="0066263B">
        <w:rPr>
          <w:rFonts w:ascii="Times New Roman" w:eastAsia="Times New Roman" w:hAnsi="Times New Roman" w:cs="Times New Roman"/>
          <w:sz w:val="24"/>
          <w:szCs w:val="24"/>
          <w:lang w:eastAsia="ru-RU"/>
        </w:rPr>
        <w:t>, в том числе 1 380 жителей области. Проживало 3 316 ВИЧ-инфицированных жителей области.</w:t>
      </w:r>
    </w:p>
    <w:p w:rsidR="00233C18" w:rsidRPr="0066263B" w:rsidRDefault="00233C18" w:rsidP="00233C18">
      <w:pPr>
        <w:spacing w:before="0" w:after="0"/>
        <w:ind w:firstLine="709"/>
        <w:rPr>
          <w:rFonts w:ascii="Times New Roman" w:eastAsia="Times New Roman" w:hAnsi="Times New Roman" w:cs="Times New Roman"/>
          <w:sz w:val="24"/>
          <w:szCs w:val="24"/>
          <w:lang w:eastAsia="ru-RU"/>
        </w:rPr>
      </w:pPr>
    </w:p>
    <w:p w:rsidR="00233C18" w:rsidRPr="0066263B" w:rsidRDefault="00233C18" w:rsidP="00233C18">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534108" cy="2767053"/>
            <wp:effectExtent l="0" t="0" r="0" b="0"/>
            <wp:docPr id="84"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33C18" w:rsidRPr="0066263B" w:rsidRDefault="00233C18" w:rsidP="00233C18">
      <w:pPr>
        <w:spacing w:before="0" w:after="0"/>
        <w:ind w:firstLine="709"/>
        <w:rPr>
          <w:rFonts w:ascii="Times New Roman" w:eastAsia="Times New Roman" w:hAnsi="Times New Roman" w:cs="Times New Roman"/>
          <w:sz w:val="24"/>
          <w:szCs w:val="24"/>
          <w:lang w:eastAsia="ru-RU"/>
        </w:rPr>
      </w:pPr>
    </w:p>
    <w:p w:rsidR="00233C18" w:rsidRPr="0066263B" w:rsidRDefault="00233C18" w:rsidP="00233C18">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87</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и поражённости ВИЧ-инфекцией</w:t>
      </w:r>
      <w:r w:rsidRPr="0066263B">
        <w:rPr>
          <w:rFonts w:ascii="Times New Roman" w:eastAsia="Times New Roman" w:hAnsi="Times New Roman" w:cs="Times New Roman"/>
          <w:lang w:eastAsia="ru-RU"/>
        </w:rPr>
        <w:br/>
        <w:t>у граждан РФ жителей области, на 100 тыс. населения</w:t>
      </w:r>
    </w:p>
    <w:p w:rsidR="00233C18" w:rsidRPr="0066263B" w:rsidRDefault="00233C18" w:rsidP="00324483">
      <w:pPr>
        <w:spacing w:before="0" w:after="0"/>
        <w:ind w:firstLine="709"/>
        <w:rPr>
          <w:rFonts w:ascii="Times New Roman" w:eastAsia="Times New Roman" w:hAnsi="Times New Roman" w:cs="Times New Roman"/>
          <w:sz w:val="24"/>
          <w:szCs w:val="24"/>
          <w:lang w:eastAsia="ru-RU"/>
        </w:rPr>
      </w:pPr>
    </w:p>
    <w:p w:rsidR="00233C18" w:rsidRPr="0066263B" w:rsidRDefault="00233C18" w:rsidP="00324483">
      <w:pPr>
        <w:spacing w:before="0" w:after="0"/>
        <w:ind w:firstLine="709"/>
        <w:rPr>
          <w:rFonts w:ascii="Times New Roman" w:eastAsia="Times New Roman" w:hAnsi="Times New Roman" w:cs="Times New Roman"/>
          <w:sz w:val="24"/>
          <w:szCs w:val="24"/>
          <w:lang w:eastAsia="ru-RU"/>
        </w:rPr>
      </w:pPr>
    </w:p>
    <w:p w:rsidR="00321A0A" w:rsidRPr="0066263B" w:rsidRDefault="00321A0A" w:rsidP="00321A0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Показатель поражённости – 280,4 на 100 тыс. населения.</w:t>
      </w:r>
    </w:p>
    <w:p w:rsidR="00321A0A" w:rsidRPr="0066263B" w:rsidRDefault="00321A0A" w:rsidP="00324483">
      <w:pPr>
        <w:spacing w:before="0" w:after="0"/>
        <w:ind w:firstLine="709"/>
        <w:rPr>
          <w:rFonts w:ascii="Times New Roman" w:eastAsia="Times New Roman" w:hAnsi="Times New Roman" w:cs="Times New Roman"/>
          <w:sz w:val="24"/>
          <w:szCs w:val="24"/>
          <w:lang w:eastAsia="ru-RU"/>
        </w:rPr>
      </w:pPr>
    </w:p>
    <w:p w:rsidR="00321A0A" w:rsidRPr="0066263B" w:rsidRDefault="00321A0A" w:rsidP="00321A0A">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95</w:t>
      </w:r>
      <w:r w:rsidR="006C34E2" w:rsidRPr="0066263B">
        <w:rPr>
          <w:rFonts w:ascii="Times New Roman" w:eastAsia="Calibri" w:hAnsi="Times New Roman" w:cs="Times New Roman"/>
        </w:rPr>
        <w:fldChar w:fldCharType="end"/>
      </w:r>
    </w:p>
    <w:p w:rsidR="00321A0A" w:rsidRPr="0066263B" w:rsidRDefault="00321A0A" w:rsidP="00321A0A">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Заболеваемость и поражённость ВИЧ-инфекцией в динамике, на 100 тыс. населения</w:t>
      </w:r>
    </w:p>
    <w:p w:rsidR="00321A0A" w:rsidRPr="0066263B" w:rsidRDefault="00321A0A" w:rsidP="00321A0A">
      <w:pPr>
        <w:spacing w:before="0" w:after="0"/>
        <w:jc w:val="center"/>
        <w:rPr>
          <w:rFonts w:ascii="Times New Roman" w:eastAsia="Times New Roman" w:hAnsi="Times New Roman" w:cs="Times New Roman"/>
          <w:lang w:eastAsia="ru-RU"/>
        </w:rPr>
      </w:pPr>
    </w:p>
    <w:tbl>
      <w:tblPr>
        <w:tblW w:w="9013"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7"/>
        <w:gridCol w:w="1540"/>
        <w:gridCol w:w="2302"/>
        <w:gridCol w:w="1667"/>
        <w:gridCol w:w="2237"/>
      </w:tblGrid>
      <w:tr w:rsidR="00321A0A" w:rsidRPr="0066263B" w:rsidTr="00E13A00">
        <w:trPr>
          <w:trHeight w:val="245"/>
          <w:jc w:val="center"/>
        </w:trPr>
        <w:tc>
          <w:tcPr>
            <w:tcW w:w="1267" w:type="dxa"/>
            <w:vMerge w:val="restart"/>
            <w:vAlign w:val="center"/>
          </w:tcPr>
          <w:p w:rsidR="00321A0A" w:rsidRPr="0066263B" w:rsidRDefault="00321A0A"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3842" w:type="dxa"/>
            <w:gridSpan w:val="2"/>
            <w:shd w:val="clear" w:color="auto" w:fill="auto"/>
            <w:vAlign w:val="center"/>
          </w:tcPr>
          <w:p w:rsidR="00321A0A" w:rsidRPr="0066263B" w:rsidRDefault="00321A0A"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Заболеваемость</w:t>
            </w:r>
          </w:p>
        </w:tc>
        <w:tc>
          <w:tcPr>
            <w:tcW w:w="3904" w:type="dxa"/>
            <w:gridSpan w:val="2"/>
            <w:vAlign w:val="center"/>
          </w:tcPr>
          <w:p w:rsidR="00321A0A" w:rsidRPr="0066263B" w:rsidRDefault="00321A0A"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Поражённость</w:t>
            </w:r>
          </w:p>
        </w:tc>
      </w:tr>
      <w:tr w:rsidR="00321A0A" w:rsidRPr="0066263B" w:rsidTr="00E13A00">
        <w:trPr>
          <w:trHeight w:val="75"/>
          <w:jc w:val="center"/>
        </w:trPr>
        <w:tc>
          <w:tcPr>
            <w:tcW w:w="1267" w:type="dxa"/>
            <w:vMerge/>
            <w:vAlign w:val="center"/>
          </w:tcPr>
          <w:p w:rsidR="00321A0A" w:rsidRPr="0066263B" w:rsidRDefault="00321A0A" w:rsidP="00E13A00">
            <w:pPr>
              <w:spacing w:before="20" w:after="20"/>
              <w:jc w:val="center"/>
              <w:rPr>
                <w:rFonts w:ascii="Times New Roman" w:eastAsia="Times New Roman" w:hAnsi="Times New Roman" w:cs="Times New Roman"/>
                <w:lang w:eastAsia="ru-RU"/>
              </w:rPr>
            </w:pPr>
          </w:p>
        </w:tc>
        <w:tc>
          <w:tcPr>
            <w:tcW w:w="1540" w:type="dxa"/>
            <w:shd w:val="clear" w:color="auto" w:fill="auto"/>
            <w:vAlign w:val="center"/>
          </w:tcPr>
          <w:p w:rsidR="00321A0A" w:rsidRPr="0066263B" w:rsidRDefault="00321A0A"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РФ</w:t>
            </w:r>
          </w:p>
        </w:tc>
        <w:tc>
          <w:tcPr>
            <w:tcW w:w="2302" w:type="dxa"/>
            <w:shd w:val="clear" w:color="auto" w:fill="auto"/>
            <w:vAlign w:val="center"/>
          </w:tcPr>
          <w:p w:rsidR="00321A0A" w:rsidRPr="0066263B" w:rsidRDefault="00321A0A"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Брянская область</w:t>
            </w:r>
          </w:p>
        </w:tc>
        <w:tc>
          <w:tcPr>
            <w:tcW w:w="1667" w:type="dxa"/>
            <w:vAlign w:val="center"/>
          </w:tcPr>
          <w:p w:rsidR="00321A0A" w:rsidRPr="0066263B" w:rsidRDefault="00321A0A"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РФ</w:t>
            </w:r>
          </w:p>
        </w:tc>
        <w:tc>
          <w:tcPr>
            <w:tcW w:w="2237" w:type="dxa"/>
            <w:vAlign w:val="center"/>
          </w:tcPr>
          <w:p w:rsidR="00321A0A" w:rsidRPr="0066263B" w:rsidRDefault="00321A0A" w:rsidP="00E13A00">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Брянская область</w:t>
            </w:r>
          </w:p>
        </w:tc>
      </w:tr>
      <w:tr w:rsidR="00321A0A" w:rsidRPr="0066263B" w:rsidTr="00E13A00">
        <w:trPr>
          <w:trHeight w:val="60"/>
          <w:jc w:val="center"/>
        </w:trPr>
        <w:tc>
          <w:tcPr>
            <w:tcW w:w="1267" w:type="dxa"/>
            <w:vAlign w:val="center"/>
          </w:tcPr>
          <w:p w:rsidR="00321A0A" w:rsidRPr="0066263B" w:rsidRDefault="00321A0A"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2017</w:t>
            </w:r>
          </w:p>
        </w:tc>
        <w:tc>
          <w:tcPr>
            <w:tcW w:w="1540"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60,53</w:t>
            </w:r>
          </w:p>
        </w:tc>
        <w:tc>
          <w:tcPr>
            <w:tcW w:w="2302" w:type="dxa"/>
            <w:vAlign w:val="center"/>
          </w:tcPr>
          <w:p w:rsidR="00321A0A" w:rsidRPr="0066263B" w:rsidRDefault="00321A0A" w:rsidP="00E13A00">
            <w:pPr>
              <w:widowControl w:val="0"/>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29,0</w:t>
            </w:r>
          </w:p>
        </w:tc>
        <w:tc>
          <w:tcPr>
            <w:tcW w:w="166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629,8</w:t>
            </w:r>
          </w:p>
        </w:tc>
        <w:tc>
          <w:tcPr>
            <w:tcW w:w="223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205,2</w:t>
            </w:r>
          </w:p>
        </w:tc>
      </w:tr>
      <w:tr w:rsidR="00321A0A" w:rsidRPr="0066263B" w:rsidTr="00E13A00">
        <w:trPr>
          <w:trHeight w:val="60"/>
          <w:jc w:val="center"/>
        </w:trPr>
        <w:tc>
          <w:tcPr>
            <w:tcW w:w="1267" w:type="dxa"/>
            <w:vAlign w:val="center"/>
          </w:tcPr>
          <w:p w:rsidR="00321A0A" w:rsidRPr="0066263B" w:rsidRDefault="00321A0A"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1540"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58,99</w:t>
            </w:r>
          </w:p>
        </w:tc>
        <w:tc>
          <w:tcPr>
            <w:tcW w:w="2302" w:type="dxa"/>
            <w:vAlign w:val="center"/>
          </w:tcPr>
          <w:p w:rsidR="00321A0A" w:rsidRPr="0066263B" w:rsidRDefault="00321A0A" w:rsidP="00E13A00">
            <w:pPr>
              <w:widowControl w:val="0"/>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33,0</w:t>
            </w:r>
          </w:p>
        </w:tc>
        <w:tc>
          <w:tcPr>
            <w:tcW w:w="166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617,3</w:t>
            </w:r>
          </w:p>
        </w:tc>
        <w:tc>
          <w:tcPr>
            <w:tcW w:w="223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233,5</w:t>
            </w:r>
          </w:p>
        </w:tc>
      </w:tr>
      <w:tr w:rsidR="00321A0A" w:rsidRPr="0066263B" w:rsidTr="00E13A00">
        <w:trPr>
          <w:trHeight w:val="60"/>
          <w:jc w:val="center"/>
        </w:trPr>
        <w:tc>
          <w:tcPr>
            <w:tcW w:w="1267" w:type="dxa"/>
            <w:vAlign w:val="center"/>
          </w:tcPr>
          <w:p w:rsidR="00321A0A" w:rsidRPr="0066263B" w:rsidRDefault="00321A0A"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1540" w:type="dxa"/>
            <w:vAlign w:val="center"/>
          </w:tcPr>
          <w:p w:rsidR="00321A0A" w:rsidRPr="0066263B" w:rsidRDefault="00321A0A" w:rsidP="00321A0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64,5</w:t>
            </w:r>
          </w:p>
        </w:tc>
        <w:tc>
          <w:tcPr>
            <w:tcW w:w="2302" w:type="dxa"/>
            <w:vAlign w:val="center"/>
          </w:tcPr>
          <w:p w:rsidR="00321A0A" w:rsidRPr="0066263B" w:rsidRDefault="00321A0A" w:rsidP="00E13A00">
            <w:pPr>
              <w:widowControl w:val="0"/>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24,4</w:t>
            </w:r>
          </w:p>
        </w:tc>
        <w:tc>
          <w:tcPr>
            <w:tcW w:w="166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722,5</w:t>
            </w:r>
          </w:p>
        </w:tc>
        <w:tc>
          <w:tcPr>
            <w:tcW w:w="223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252,2</w:t>
            </w:r>
          </w:p>
        </w:tc>
      </w:tr>
      <w:tr w:rsidR="00321A0A" w:rsidRPr="0066263B" w:rsidTr="00E13A00">
        <w:trPr>
          <w:trHeight w:val="60"/>
          <w:jc w:val="center"/>
        </w:trPr>
        <w:tc>
          <w:tcPr>
            <w:tcW w:w="1267" w:type="dxa"/>
            <w:vAlign w:val="center"/>
          </w:tcPr>
          <w:p w:rsidR="00321A0A" w:rsidRPr="0066263B" w:rsidRDefault="00321A0A"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1540" w:type="dxa"/>
            <w:vAlign w:val="center"/>
          </w:tcPr>
          <w:p w:rsidR="00321A0A" w:rsidRPr="0066263B" w:rsidRDefault="00321A0A" w:rsidP="00321A0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49,1</w:t>
            </w:r>
          </w:p>
        </w:tc>
        <w:tc>
          <w:tcPr>
            <w:tcW w:w="2302" w:type="dxa"/>
            <w:vAlign w:val="center"/>
          </w:tcPr>
          <w:p w:rsidR="00321A0A" w:rsidRPr="0066263B" w:rsidRDefault="00321A0A" w:rsidP="00E13A00">
            <w:pPr>
              <w:widowControl w:val="0"/>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21,9</w:t>
            </w:r>
          </w:p>
        </w:tc>
        <w:tc>
          <w:tcPr>
            <w:tcW w:w="166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747,7</w:t>
            </w:r>
          </w:p>
        </w:tc>
        <w:tc>
          <w:tcPr>
            <w:tcW w:w="223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267,1</w:t>
            </w:r>
          </w:p>
        </w:tc>
      </w:tr>
      <w:tr w:rsidR="00321A0A" w:rsidRPr="0066263B" w:rsidTr="00E13A00">
        <w:trPr>
          <w:trHeight w:val="60"/>
          <w:jc w:val="center"/>
        </w:trPr>
        <w:tc>
          <w:tcPr>
            <w:tcW w:w="1267" w:type="dxa"/>
            <w:vAlign w:val="center"/>
          </w:tcPr>
          <w:p w:rsidR="00321A0A" w:rsidRPr="0066263B" w:rsidRDefault="00321A0A" w:rsidP="00E13A00">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1540" w:type="dxa"/>
            <w:vAlign w:val="center"/>
          </w:tcPr>
          <w:p w:rsidR="00321A0A" w:rsidRPr="0066263B" w:rsidRDefault="00321A0A" w:rsidP="00321A0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40,7</w:t>
            </w:r>
          </w:p>
        </w:tc>
        <w:tc>
          <w:tcPr>
            <w:tcW w:w="2302" w:type="dxa"/>
            <w:vAlign w:val="center"/>
          </w:tcPr>
          <w:p w:rsidR="00321A0A" w:rsidRPr="0066263B" w:rsidRDefault="00321A0A" w:rsidP="00E13A00">
            <w:pPr>
              <w:widowControl w:val="0"/>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20,4</w:t>
            </w:r>
          </w:p>
        </w:tc>
        <w:tc>
          <w:tcPr>
            <w:tcW w:w="166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н</w:t>
            </w:r>
            <w:proofErr w:type="spellEnd"/>
            <w:r w:rsidRPr="0066263B">
              <w:rPr>
                <w:rFonts w:ascii="Times New Roman" w:eastAsia="Times New Roman" w:hAnsi="Times New Roman" w:cs="Times New Roman"/>
                <w:lang w:eastAsia="ru-RU"/>
              </w:rPr>
              <w:t>/</w:t>
            </w:r>
            <w:proofErr w:type="spellStart"/>
            <w:r w:rsidRPr="0066263B">
              <w:rPr>
                <w:rFonts w:ascii="Times New Roman" w:eastAsia="Times New Roman" w:hAnsi="Times New Roman" w:cs="Times New Roman"/>
                <w:lang w:eastAsia="ru-RU"/>
              </w:rPr>
              <w:t>д</w:t>
            </w:r>
            <w:proofErr w:type="spellEnd"/>
          </w:p>
        </w:tc>
        <w:tc>
          <w:tcPr>
            <w:tcW w:w="2237" w:type="dxa"/>
            <w:vAlign w:val="center"/>
          </w:tcPr>
          <w:p w:rsidR="00321A0A" w:rsidRPr="0066263B" w:rsidRDefault="00321A0A" w:rsidP="00E13A00">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280,4</w:t>
            </w:r>
          </w:p>
        </w:tc>
      </w:tr>
    </w:tbl>
    <w:p w:rsidR="00321A0A" w:rsidRPr="0066263B" w:rsidRDefault="00321A0A" w:rsidP="0052017A">
      <w:pPr>
        <w:spacing w:before="0" w:after="0"/>
        <w:ind w:firstLine="709"/>
        <w:rPr>
          <w:rFonts w:ascii="Times New Roman" w:eastAsia="Times New Roman" w:hAnsi="Times New Roman" w:cs="Times New Roman"/>
          <w:sz w:val="24"/>
          <w:szCs w:val="24"/>
          <w:lang w:eastAsia="ru-RU"/>
        </w:rPr>
      </w:pPr>
    </w:p>
    <w:p w:rsidR="00221D95" w:rsidRPr="0066263B" w:rsidRDefault="00221D95" w:rsidP="00221D9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2021 год в Брянской области выявлен 241 новый случай ВИЧ-инфекции у граждан РФ жителей области</w:t>
      </w:r>
      <w:r w:rsidR="00B97A59">
        <w:rPr>
          <w:rFonts w:ascii="Times New Roman" w:eastAsia="Times New Roman" w:hAnsi="Times New Roman" w:cs="Times New Roman"/>
          <w:sz w:val="24"/>
          <w:szCs w:val="24"/>
          <w:lang w:eastAsia="ru-RU"/>
        </w:rPr>
        <w:t>, что</w:t>
      </w:r>
      <w:r w:rsidRPr="0066263B">
        <w:rPr>
          <w:rFonts w:ascii="Times New Roman" w:eastAsia="Times New Roman" w:hAnsi="Times New Roman" w:cs="Times New Roman"/>
          <w:sz w:val="24"/>
          <w:szCs w:val="24"/>
          <w:lang w:eastAsia="ru-RU"/>
        </w:rPr>
        <w:t xml:space="preserve"> на 20 случаев (7,7%) меньше, чем за 2020 год. Показатель первичной заболеваемости – 20,4 на 100 тыс. населения (2020 – 21,9</w:t>
      </w:r>
      <w:r w:rsidR="00A77F0A" w:rsidRPr="0066263B">
        <w:rPr>
          <w:rFonts w:ascii="Times New Roman" w:eastAsia="Times New Roman" w:hAnsi="Times New Roman" w:cs="Times New Roman"/>
          <w:sz w:val="24"/>
          <w:szCs w:val="24"/>
          <w:lang w:eastAsia="ru-RU"/>
        </w:rPr>
        <w:t>на 100 тыс. нас</w:t>
      </w:r>
      <w:r w:rsidR="00A77F0A">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Кроме того, выявлено 10 случаев ВИЧ-инфекц</w:t>
      </w:r>
      <w:proofErr w:type="gramStart"/>
      <w:r w:rsidRPr="0066263B">
        <w:rPr>
          <w:rFonts w:ascii="Times New Roman" w:eastAsia="Times New Roman" w:hAnsi="Times New Roman" w:cs="Times New Roman"/>
          <w:sz w:val="24"/>
          <w:szCs w:val="24"/>
          <w:lang w:eastAsia="ru-RU"/>
        </w:rPr>
        <w:t>ии у и</w:t>
      </w:r>
      <w:proofErr w:type="gramEnd"/>
      <w:r w:rsidRPr="0066263B">
        <w:rPr>
          <w:rFonts w:ascii="Times New Roman" w:eastAsia="Times New Roman" w:hAnsi="Times New Roman" w:cs="Times New Roman"/>
          <w:sz w:val="24"/>
          <w:szCs w:val="24"/>
          <w:lang w:eastAsia="ru-RU"/>
        </w:rPr>
        <w:t xml:space="preserve">ногородних граждан РФ (2020 – 37), 24 случая у иностранцев и лиц без гражданства (2020 – 13). 13 человек прибыли в нашу область с диагнозом «ВИЧ-инфекция» и у 17 брянских жителей ВИЧ-инфекция выявлена в других субъектах РФ. У 1 человека ВИЧ-инфекция </w:t>
      </w:r>
      <w:proofErr w:type="gramStart"/>
      <w:r w:rsidRPr="0066263B">
        <w:rPr>
          <w:rFonts w:ascii="Times New Roman" w:eastAsia="Times New Roman" w:hAnsi="Times New Roman" w:cs="Times New Roman"/>
          <w:sz w:val="24"/>
          <w:szCs w:val="24"/>
          <w:lang w:eastAsia="ru-RU"/>
        </w:rPr>
        <w:t>выявлена</w:t>
      </w:r>
      <w:proofErr w:type="gramEnd"/>
      <w:r w:rsidRPr="0066263B">
        <w:rPr>
          <w:rFonts w:ascii="Times New Roman" w:eastAsia="Times New Roman" w:hAnsi="Times New Roman" w:cs="Times New Roman"/>
          <w:sz w:val="24"/>
          <w:szCs w:val="24"/>
          <w:lang w:eastAsia="ru-RU"/>
        </w:rPr>
        <w:t xml:space="preserve"> анонимно.</w:t>
      </w:r>
    </w:p>
    <w:p w:rsidR="00321A0A" w:rsidRPr="0066263B" w:rsidRDefault="00321A0A" w:rsidP="00321A0A">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3733800"/>
            <wp:effectExtent l="0" t="0" r="0" b="0"/>
            <wp:docPr id="7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21A0A" w:rsidRPr="0066263B" w:rsidRDefault="00321A0A" w:rsidP="00321A0A">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88</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Регистрация случаев ВИЧ-инфекции в Брянской области, абс.</w:t>
      </w:r>
    </w:p>
    <w:p w:rsidR="00321A0A" w:rsidRPr="0066263B" w:rsidRDefault="00321A0A" w:rsidP="0052017A">
      <w:pPr>
        <w:spacing w:before="0" w:after="0"/>
        <w:ind w:firstLine="709"/>
        <w:rPr>
          <w:rFonts w:ascii="Times New Roman" w:eastAsia="Times New Roman" w:hAnsi="Times New Roman" w:cs="Times New Roman"/>
          <w:sz w:val="24"/>
          <w:szCs w:val="24"/>
          <w:lang w:eastAsia="ru-RU"/>
        </w:rPr>
      </w:pPr>
    </w:p>
    <w:p w:rsidR="00221D95" w:rsidRPr="0066263B" w:rsidRDefault="00221D95" w:rsidP="00221D9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Всего в 2021 году в области зарегистрировано 299 новых случаев ВИЧ-инфекции, что на 51 случай (14,6%) меньше, чем в 2020 году.</w:t>
      </w:r>
    </w:p>
    <w:p w:rsidR="00221D95" w:rsidRPr="0066263B" w:rsidRDefault="00221D95" w:rsidP="00221D9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Заболеваемость ВИЧ-инфекцией снизилась в 13 административных территориях из 30 (не считая г. Брянска).</w:t>
      </w:r>
    </w:p>
    <w:p w:rsidR="00321A0A" w:rsidRPr="0066263B" w:rsidRDefault="00321A0A" w:rsidP="0052017A">
      <w:pPr>
        <w:spacing w:before="0" w:after="0"/>
        <w:ind w:firstLine="709"/>
        <w:rPr>
          <w:rFonts w:ascii="Times New Roman" w:eastAsia="Times New Roman" w:hAnsi="Times New Roman" w:cs="Times New Roman"/>
          <w:sz w:val="24"/>
          <w:szCs w:val="24"/>
          <w:lang w:eastAsia="ru-RU"/>
        </w:rPr>
      </w:pPr>
    </w:p>
    <w:p w:rsidR="0039433E" w:rsidRPr="0066263B" w:rsidRDefault="0039433E">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39433E" w:rsidRPr="0066263B" w:rsidRDefault="0039433E" w:rsidP="0052017A">
      <w:pPr>
        <w:spacing w:before="0" w:after="0"/>
        <w:ind w:firstLine="709"/>
        <w:rPr>
          <w:rFonts w:ascii="Times New Roman" w:eastAsia="Times New Roman" w:hAnsi="Times New Roman" w:cs="Times New Roman"/>
          <w:sz w:val="24"/>
          <w:szCs w:val="24"/>
          <w:lang w:eastAsia="ru-RU"/>
        </w:rPr>
      </w:pPr>
    </w:p>
    <w:p w:rsidR="00221D95" w:rsidRPr="0066263B" w:rsidRDefault="00E13A00" w:rsidP="0052017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4852307" cy="5818414"/>
            <wp:effectExtent l="0" t="0" r="0" b="0"/>
            <wp:docPr id="83" name="Объект 3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21D95" w:rsidRPr="0066263B" w:rsidRDefault="00221D95" w:rsidP="0052017A">
      <w:pPr>
        <w:spacing w:before="0" w:after="0"/>
        <w:ind w:firstLine="709"/>
        <w:rPr>
          <w:rFonts w:ascii="Times New Roman" w:eastAsia="Times New Roman" w:hAnsi="Times New Roman" w:cs="Times New Roman"/>
          <w:sz w:val="24"/>
          <w:szCs w:val="24"/>
          <w:lang w:eastAsia="ru-RU"/>
        </w:rPr>
      </w:pPr>
    </w:p>
    <w:p w:rsidR="00221D95" w:rsidRPr="0066263B" w:rsidRDefault="00221D95" w:rsidP="00221D9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89</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w:t>
      </w:r>
      <w:r w:rsidR="00B645E5" w:rsidRPr="0066263B">
        <w:rPr>
          <w:rFonts w:ascii="Times New Roman" w:eastAsia="Times New Roman" w:hAnsi="Times New Roman" w:cs="Times New Roman"/>
          <w:lang w:eastAsia="ru-RU"/>
        </w:rPr>
        <w:t xml:space="preserve">Ранжирование территорий по заболеваемости </w:t>
      </w:r>
      <w:r w:rsidRPr="0066263B">
        <w:rPr>
          <w:rFonts w:ascii="Times New Roman" w:eastAsia="Times New Roman" w:hAnsi="Times New Roman" w:cs="Times New Roman"/>
          <w:lang w:eastAsia="ru-RU"/>
        </w:rPr>
        <w:t>ВИЧ-инфекцией</w:t>
      </w:r>
      <w:r w:rsidR="002A5871" w:rsidRPr="0066263B">
        <w:rPr>
          <w:rFonts w:ascii="Times New Roman" w:eastAsia="Times New Roman" w:hAnsi="Times New Roman" w:cs="Times New Roman"/>
          <w:lang w:eastAsia="ru-RU"/>
        </w:rPr>
        <w:br/>
      </w:r>
      <w:r w:rsidRPr="0066263B">
        <w:rPr>
          <w:rFonts w:ascii="Times New Roman" w:eastAsia="Times New Roman" w:hAnsi="Times New Roman" w:cs="Times New Roman"/>
          <w:lang w:eastAsia="ru-RU"/>
        </w:rPr>
        <w:t>за 2021 год,</w:t>
      </w:r>
      <w:r w:rsidR="002A5871" w:rsidRPr="0066263B">
        <w:rPr>
          <w:rFonts w:ascii="Times New Roman" w:eastAsia="Times New Roman" w:hAnsi="Times New Roman" w:cs="Times New Roman"/>
          <w:lang w:eastAsia="ru-RU"/>
        </w:rPr>
        <w:t xml:space="preserve"> </w:t>
      </w:r>
      <w:r w:rsidRPr="0066263B">
        <w:rPr>
          <w:rFonts w:ascii="Times New Roman" w:eastAsia="Times New Roman" w:hAnsi="Times New Roman" w:cs="Times New Roman"/>
          <w:lang w:eastAsia="ru-RU"/>
        </w:rPr>
        <w:t>на 100 тыс. населения</w:t>
      </w:r>
    </w:p>
    <w:p w:rsidR="00221D95" w:rsidRPr="0066263B" w:rsidRDefault="00221D95" w:rsidP="0052017A">
      <w:pPr>
        <w:spacing w:before="0" w:after="0"/>
        <w:ind w:firstLine="709"/>
        <w:rPr>
          <w:rFonts w:ascii="Times New Roman" w:eastAsia="Times New Roman" w:hAnsi="Times New Roman" w:cs="Times New Roman"/>
          <w:sz w:val="24"/>
          <w:szCs w:val="24"/>
          <w:lang w:eastAsia="ru-RU"/>
        </w:rPr>
      </w:pPr>
    </w:p>
    <w:p w:rsidR="0039433E" w:rsidRPr="0066263B" w:rsidRDefault="0039433E" w:rsidP="0052017A">
      <w:pPr>
        <w:spacing w:before="0" w:after="0"/>
        <w:ind w:firstLine="709"/>
        <w:rPr>
          <w:rFonts w:ascii="Times New Roman" w:eastAsia="Times New Roman" w:hAnsi="Times New Roman" w:cs="Times New Roman"/>
          <w:sz w:val="24"/>
          <w:szCs w:val="24"/>
          <w:lang w:eastAsia="ru-RU"/>
        </w:rPr>
      </w:pPr>
    </w:p>
    <w:p w:rsidR="0039433E" w:rsidRPr="0066263B" w:rsidRDefault="0039433E" w:rsidP="0052017A">
      <w:pPr>
        <w:spacing w:before="0" w:after="0"/>
        <w:ind w:firstLine="709"/>
        <w:rPr>
          <w:rFonts w:ascii="Times New Roman" w:eastAsia="Times New Roman" w:hAnsi="Times New Roman" w:cs="Times New Roman"/>
          <w:sz w:val="24"/>
          <w:szCs w:val="24"/>
          <w:lang w:eastAsia="ru-RU"/>
        </w:rPr>
      </w:pPr>
    </w:p>
    <w:p w:rsidR="00E13A00" w:rsidRPr="0066263B" w:rsidRDefault="00E13A00" w:rsidP="00E13A0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Рост заболеваемости по сравнению с прошлым годом отмечен в 10 административных территориях. Наибольший рост отмечен в Брянском (на 6 сл.), Клинцовском (на 4 сл.), в Почепском (на 3 сл.) и Суземском районах (на 3 сл.</w:t>
      </w:r>
      <w:r w:rsidR="00233C18" w:rsidRPr="0066263B">
        <w:rPr>
          <w:rFonts w:ascii="Times New Roman" w:eastAsia="Times New Roman" w:hAnsi="Times New Roman" w:cs="Times New Roman"/>
          <w:sz w:val="24"/>
          <w:szCs w:val="24"/>
          <w:lang w:eastAsia="ru-RU"/>
        </w:rPr>
        <w:t>).</w:t>
      </w:r>
    </w:p>
    <w:p w:rsidR="00221D95" w:rsidRPr="0066263B" w:rsidRDefault="00221D95" w:rsidP="0052017A">
      <w:pPr>
        <w:spacing w:before="0" w:after="0"/>
        <w:ind w:firstLine="709"/>
        <w:rPr>
          <w:rFonts w:ascii="Times New Roman" w:eastAsia="Times New Roman" w:hAnsi="Times New Roman" w:cs="Times New Roman"/>
          <w:sz w:val="24"/>
          <w:szCs w:val="24"/>
          <w:lang w:eastAsia="ru-RU"/>
        </w:rPr>
      </w:pPr>
    </w:p>
    <w:p w:rsidR="0039433E" w:rsidRPr="0066263B" w:rsidRDefault="0039433E">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39433E" w:rsidRPr="0066263B" w:rsidRDefault="0039433E" w:rsidP="0052017A">
      <w:pPr>
        <w:spacing w:before="0" w:after="0"/>
        <w:ind w:firstLine="709"/>
        <w:rPr>
          <w:rFonts w:ascii="Times New Roman" w:eastAsia="Times New Roman" w:hAnsi="Times New Roman" w:cs="Times New Roman"/>
          <w:sz w:val="24"/>
          <w:szCs w:val="24"/>
          <w:lang w:eastAsia="ru-RU"/>
        </w:rPr>
      </w:pPr>
    </w:p>
    <w:p w:rsidR="00233C18" w:rsidRPr="0066263B" w:rsidRDefault="00233C18" w:rsidP="00233C18">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84850" cy="5619750"/>
            <wp:effectExtent l="0" t="0" r="0" b="0"/>
            <wp:docPr id="350" name="Объект 3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259F1" w:rsidRPr="0066263B" w:rsidRDefault="000259F1" w:rsidP="00233C18">
      <w:pPr>
        <w:spacing w:before="0" w:after="0"/>
        <w:jc w:val="center"/>
        <w:rPr>
          <w:rFonts w:ascii="Times New Roman" w:eastAsia="Times New Roman" w:hAnsi="Times New Roman" w:cs="Times New Roman"/>
          <w:b/>
          <w:lang w:eastAsia="ru-RU"/>
        </w:rPr>
      </w:pPr>
    </w:p>
    <w:p w:rsidR="0066263B" w:rsidRPr="0066263B" w:rsidRDefault="0066263B" w:rsidP="00233C18">
      <w:pPr>
        <w:spacing w:before="0" w:after="0"/>
        <w:jc w:val="center"/>
        <w:rPr>
          <w:rFonts w:ascii="Times New Roman" w:eastAsia="Times New Roman" w:hAnsi="Times New Roman" w:cs="Times New Roman"/>
          <w:b/>
          <w:lang w:eastAsia="ru-RU"/>
        </w:rPr>
      </w:pPr>
    </w:p>
    <w:p w:rsidR="00233C18" w:rsidRPr="0066263B" w:rsidRDefault="00233C18" w:rsidP="00233C18">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90</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w:t>
      </w:r>
      <w:r w:rsidR="001E4860" w:rsidRPr="0066263B">
        <w:rPr>
          <w:rFonts w:ascii="Times New Roman" w:eastAsia="Times New Roman" w:hAnsi="Times New Roman" w:cs="Times New Roman"/>
          <w:lang w:eastAsia="ru-RU"/>
        </w:rPr>
        <w:t xml:space="preserve">Ранжирование территорий по </w:t>
      </w:r>
      <w:r w:rsidR="00B645E5" w:rsidRPr="0066263B">
        <w:rPr>
          <w:rFonts w:ascii="Times New Roman" w:eastAsia="Times New Roman" w:hAnsi="Times New Roman" w:cs="Times New Roman"/>
          <w:lang w:eastAsia="ru-RU"/>
        </w:rPr>
        <w:t>п</w:t>
      </w:r>
      <w:r w:rsidRPr="0066263B">
        <w:rPr>
          <w:rFonts w:ascii="Times New Roman" w:eastAsia="Times New Roman" w:hAnsi="Times New Roman" w:cs="Times New Roman"/>
          <w:lang w:eastAsia="ru-RU"/>
        </w:rPr>
        <w:t>оражённост</w:t>
      </w:r>
      <w:r w:rsidR="00B645E5" w:rsidRPr="0066263B">
        <w:rPr>
          <w:rFonts w:ascii="Times New Roman" w:eastAsia="Times New Roman" w:hAnsi="Times New Roman" w:cs="Times New Roman"/>
          <w:lang w:eastAsia="ru-RU"/>
        </w:rPr>
        <w:t xml:space="preserve">и </w:t>
      </w:r>
      <w:r w:rsidRPr="0066263B">
        <w:rPr>
          <w:rFonts w:ascii="Times New Roman" w:eastAsia="Times New Roman" w:hAnsi="Times New Roman" w:cs="Times New Roman"/>
          <w:lang w:eastAsia="ru-RU"/>
        </w:rPr>
        <w:t>ВИЧ-инфекцией</w:t>
      </w:r>
      <w:r w:rsidR="0066263B" w:rsidRPr="0066263B">
        <w:rPr>
          <w:rFonts w:ascii="Times New Roman" w:eastAsia="Times New Roman" w:hAnsi="Times New Roman" w:cs="Times New Roman"/>
          <w:lang w:eastAsia="ru-RU"/>
        </w:rPr>
        <w:t xml:space="preserve"> </w:t>
      </w:r>
      <w:r w:rsidRPr="0066263B">
        <w:rPr>
          <w:rFonts w:ascii="Times New Roman" w:eastAsia="Times New Roman" w:hAnsi="Times New Roman" w:cs="Times New Roman"/>
          <w:lang w:eastAsia="ru-RU"/>
        </w:rPr>
        <w:t>за 2021 год</w:t>
      </w:r>
    </w:p>
    <w:p w:rsidR="00221D95" w:rsidRPr="0066263B" w:rsidRDefault="00221D95" w:rsidP="0052017A">
      <w:pPr>
        <w:spacing w:before="0" w:after="0"/>
        <w:ind w:firstLine="709"/>
        <w:rPr>
          <w:rFonts w:ascii="Times New Roman" w:eastAsia="Times New Roman" w:hAnsi="Times New Roman" w:cs="Times New Roman"/>
          <w:sz w:val="24"/>
          <w:szCs w:val="24"/>
          <w:lang w:eastAsia="ru-RU"/>
        </w:rPr>
      </w:pPr>
    </w:p>
    <w:p w:rsidR="000259F1" w:rsidRPr="0066263B" w:rsidRDefault="000259F1" w:rsidP="00233C18">
      <w:pPr>
        <w:spacing w:before="0" w:after="0"/>
        <w:ind w:firstLine="709"/>
        <w:rPr>
          <w:rFonts w:ascii="Times New Roman" w:eastAsia="Times New Roman" w:hAnsi="Times New Roman" w:cs="Times New Roman"/>
          <w:sz w:val="24"/>
          <w:szCs w:val="24"/>
          <w:lang w:eastAsia="ru-RU"/>
        </w:rPr>
      </w:pPr>
    </w:p>
    <w:p w:rsidR="0066263B" w:rsidRPr="0066263B" w:rsidRDefault="0066263B" w:rsidP="00233C18">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96</w:t>
      </w:r>
      <w:r w:rsidR="006C34E2" w:rsidRPr="0066263B">
        <w:rPr>
          <w:rFonts w:ascii="Times New Roman" w:eastAsia="Calibri" w:hAnsi="Times New Roman" w:cs="Times New Roman"/>
        </w:rPr>
        <w:fldChar w:fldCharType="end"/>
      </w:r>
    </w:p>
    <w:p w:rsidR="00324483" w:rsidRPr="0066263B" w:rsidRDefault="00324483" w:rsidP="00324483">
      <w:pPr>
        <w:keepNext/>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lang w:eastAsia="ru-RU"/>
        </w:rPr>
        <w:t xml:space="preserve">Распределение </w:t>
      </w:r>
      <w:proofErr w:type="gramStart"/>
      <w:r w:rsidRPr="0066263B">
        <w:rPr>
          <w:rFonts w:ascii="Times New Roman" w:eastAsia="Times New Roman" w:hAnsi="Times New Roman" w:cs="Times New Roman"/>
          <w:b/>
          <w:lang w:eastAsia="ru-RU"/>
        </w:rPr>
        <w:t>ВИЧ-инфицированных</w:t>
      </w:r>
      <w:proofErr w:type="gramEnd"/>
      <w:r w:rsidRPr="0066263B">
        <w:rPr>
          <w:rFonts w:ascii="Times New Roman" w:eastAsia="Times New Roman" w:hAnsi="Times New Roman" w:cs="Times New Roman"/>
          <w:b/>
          <w:lang w:eastAsia="ru-RU"/>
        </w:rPr>
        <w:t xml:space="preserve"> по полу и причинам заражения,</w:t>
      </w:r>
      <w:r w:rsidRPr="0066263B">
        <w:rPr>
          <w:rFonts w:ascii="Times New Roman" w:eastAsia="Times New Roman" w:hAnsi="Times New Roman" w:cs="Times New Roman"/>
          <w:b/>
          <w:bCs/>
          <w:lang w:eastAsia="ru-RU"/>
        </w:rPr>
        <w:t xml:space="preserve"> абс. / %</w:t>
      </w:r>
    </w:p>
    <w:p w:rsidR="00324483" w:rsidRPr="0066263B" w:rsidRDefault="00324483" w:rsidP="00324483">
      <w:pPr>
        <w:keepNext/>
        <w:spacing w:before="0" w:after="0"/>
        <w:jc w:val="center"/>
        <w:rPr>
          <w:rFonts w:ascii="Times New Roman" w:eastAsia="Times New Roman" w:hAnsi="Times New Roman" w:cs="Times New Roman"/>
          <w:b/>
          <w:bCs/>
          <w:lang w:eastAsia="ru-RU"/>
        </w:rPr>
      </w:pPr>
    </w:p>
    <w:tbl>
      <w:tblPr>
        <w:tblStyle w:val="af3"/>
        <w:tblW w:w="0" w:type="auto"/>
        <w:tblInd w:w="108" w:type="dxa"/>
        <w:tblLook w:val="04A0"/>
      </w:tblPr>
      <w:tblGrid>
        <w:gridCol w:w="3052"/>
        <w:gridCol w:w="843"/>
        <w:gridCol w:w="842"/>
        <w:gridCol w:w="1378"/>
        <w:gridCol w:w="843"/>
        <w:gridCol w:w="841"/>
        <w:gridCol w:w="1379"/>
      </w:tblGrid>
      <w:tr w:rsidR="00B63AAA" w:rsidRPr="0066263B" w:rsidTr="00864F3F">
        <w:tc>
          <w:tcPr>
            <w:tcW w:w="3052" w:type="dxa"/>
            <w:vMerge w:val="restart"/>
            <w:vAlign w:val="center"/>
          </w:tcPr>
          <w:p w:rsidR="00B63AAA" w:rsidRPr="0066263B" w:rsidRDefault="00B63AAA" w:rsidP="00864F3F">
            <w:pPr>
              <w:spacing w:before="20" w:after="20"/>
              <w:jc w:val="center"/>
              <w:rPr>
                <w:b/>
                <w:i/>
                <w:snapToGrid w:val="0"/>
                <w:sz w:val="22"/>
                <w:szCs w:val="22"/>
              </w:rPr>
            </w:pPr>
            <w:r w:rsidRPr="0066263B">
              <w:rPr>
                <w:b/>
                <w:i/>
                <w:sz w:val="22"/>
                <w:szCs w:val="22"/>
              </w:rPr>
              <w:t>Причины заражения</w:t>
            </w:r>
          </w:p>
        </w:tc>
        <w:tc>
          <w:tcPr>
            <w:tcW w:w="3063" w:type="dxa"/>
            <w:gridSpan w:val="3"/>
            <w:vAlign w:val="center"/>
          </w:tcPr>
          <w:p w:rsidR="00B63AAA" w:rsidRPr="0066263B" w:rsidRDefault="00233C18" w:rsidP="00864F3F">
            <w:pPr>
              <w:spacing w:before="20" w:after="20"/>
              <w:jc w:val="center"/>
              <w:rPr>
                <w:b/>
                <w:i/>
                <w:snapToGrid w:val="0"/>
                <w:sz w:val="22"/>
                <w:szCs w:val="22"/>
              </w:rPr>
            </w:pPr>
            <w:r w:rsidRPr="0066263B">
              <w:rPr>
                <w:b/>
                <w:i/>
                <w:snapToGrid w:val="0"/>
                <w:sz w:val="22"/>
                <w:szCs w:val="22"/>
              </w:rPr>
              <w:t>2020</w:t>
            </w:r>
          </w:p>
        </w:tc>
        <w:tc>
          <w:tcPr>
            <w:tcW w:w="3063" w:type="dxa"/>
            <w:gridSpan w:val="3"/>
            <w:vAlign w:val="center"/>
          </w:tcPr>
          <w:p w:rsidR="00B63AAA" w:rsidRPr="0066263B" w:rsidRDefault="00233C18" w:rsidP="00864F3F">
            <w:pPr>
              <w:spacing w:before="20" w:after="20"/>
              <w:jc w:val="center"/>
              <w:rPr>
                <w:b/>
                <w:i/>
                <w:snapToGrid w:val="0"/>
                <w:sz w:val="22"/>
                <w:szCs w:val="22"/>
              </w:rPr>
            </w:pPr>
            <w:r w:rsidRPr="0066263B">
              <w:rPr>
                <w:b/>
                <w:i/>
                <w:snapToGrid w:val="0"/>
                <w:sz w:val="22"/>
                <w:szCs w:val="22"/>
              </w:rPr>
              <w:t>2021</w:t>
            </w:r>
          </w:p>
        </w:tc>
      </w:tr>
      <w:tr w:rsidR="00B63AAA" w:rsidRPr="0066263B" w:rsidTr="00864F3F">
        <w:tc>
          <w:tcPr>
            <w:tcW w:w="3052" w:type="dxa"/>
            <w:vMerge/>
            <w:vAlign w:val="center"/>
          </w:tcPr>
          <w:p w:rsidR="00B63AAA" w:rsidRPr="0066263B" w:rsidRDefault="00B63AAA" w:rsidP="00864F3F">
            <w:pPr>
              <w:spacing w:before="20" w:after="20"/>
              <w:jc w:val="center"/>
              <w:rPr>
                <w:b/>
                <w:i/>
                <w:snapToGrid w:val="0"/>
                <w:sz w:val="22"/>
                <w:szCs w:val="22"/>
              </w:rPr>
            </w:pPr>
          </w:p>
        </w:tc>
        <w:tc>
          <w:tcPr>
            <w:tcW w:w="843" w:type="dxa"/>
            <w:vAlign w:val="center"/>
          </w:tcPr>
          <w:p w:rsidR="00B63AAA" w:rsidRPr="0066263B" w:rsidRDefault="00B63AAA" w:rsidP="00864F3F">
            <w:pPr>
              <w:spacing w:before="20" w:after="20"/>
              <w:jc w:val="center"/>
              <w:rPr>
                <w:b/>
                <w:bCs/>
                <w:i/>
                <w:sz w:val="22"/>
                <w:szCs w:val="22"/>
              </w:rPr>
            </w:pPr>
            <w:r w:rsidRPr="0066263B">
              <w:rPr>
                <w:b/>
                <w:bCs/>
                <w:i/>
                <w:sz w:val="22"/>
                <w:szCs w:val="22"/>
              </w:rPr>
              <w:t>муж.</w:t>
            </w:r>
          </w:p>
        </w:tc>
        <w:tc>
          <w:tcPr>
            <w:tcW w:w="842" w:type="dxa"/>
            <w:vAlign w:val="center"/>
          </w:tcPr>
          <w:p w:rsidR="00B63AAA" w:rsidRPr="0066263B" w:rsidRDefault="00B63AAA" w:rsidP="00864F3F">
            <w:pPr>
              <w:spacing w:before="20" w:after="20"/>
              <w:jc w:val="center"/>
              <w:rPr>
                <w:b/>
                <w:bCs/>
                <w:i/>
                <w:sz w:val="22"/>
                <w:szCs w:val="22"/>
              </w:rPr>
            </w:pPr>
            <w:r w:rsidRPr="0066263B">
              <w:rPr>
                <w:b/>
                <w:bCs/>
                <w:i/>
                <w:sz w:val="22"/>
                <w:szCs w:val="22"/>
              </w:rPr>
              <w:t>жен.</w:t>
            </w:r>
          </w:p>
        </w:tc>
        <w:tc>
          <w:tcPr>
            <w:tcW w:w="1378" w:type="dxa"/>
            <w:vAlign w:val="center"/>
          </w:tcPr>
          <w:p w:rsidR="00B63AAA" w:rsidRPr="0066263B" w:rsidRDefault="00B63AAA" w:rsidP="00864F3F">
            <w:pPr>
              <w:spacing w:before="20" w:after="20"/>
              <w:ind w:left="43"/>
              <w:jc w:val="center"/>
              <w:rPr>
                <w:b/>
                <w:bCs/>
                <w:i/>
                <w:sz w:val="22"/>
                <w:szCs w:val="22"/>
              </w:rPr>
            </w:pPr>
            <w:r w:rsidRPr="0066263B">
              <w:rPr>
                <w:b/>
                <w:bCs/>
                <w:i/>
                <w:sz w:val="22"/>
                <w:szCs w:val="22"/>
              </w:rPr>
              <w:t>всего</w:t>
            </w:r>
          </w:p>
        </w:tc>
        <w:tc>
          <w:tcPr>
            <w:tcW w:w="843" w:type="dxa"/>
            <w:vAlign w:val="center"/>
          </w:tcPr>
          <w:p w:rsidR="00B63AAA" w:rsidRPr="0066263B" w:rsidRDefault="00B63AAA" w:rsidP="00864F3F">
            <w:pPr>
              <w:spacing w:before="20" w:after="20"/>
              <w:jc w:val="center"/>
              <w:rPr>
                <w:b/>
                <w:bCs/>
                <w:i/>
                <w:sz w:val="22"/>
                <w:szCs w:val="22"/>
              </w:rPr>
            </w:pPr>
            <w:r w:rsidRPr="0066263B">
              <w:rPr>
                <w:b/>
                <w:bCs/>
                <w:i/>
                <w:sz w:val="22"/>
                <w:szCs w:val="22"/>
              </w:rPr>
              <w:t>муж.</w:t>
            </w:r>
          </w:p>
        </w:tc>
        <w:tc>
          <w:tcPr>
            <w:tcW w:w="841" w:type="dxa"/>
            <w:vAlign w:val="center"/>
          </w:tcPr>
          <w:p w:rsidR="00B63AAA" w:rsidRPr="0066263B" w:rsidRDefault="00B63AAA" w:rsidP="00864F3F">
            <w:pPr>
              <w:spacing w:before="20" w:after="20"/>
              <w:jc w:val="center"/>
              <w:rPr>
                <w:b/>
                <w:bCs/>
                <w:i/>
                <w:sz w:val="22"/>
                <w:szCs w:val="22"/>
              </w:rPr>
            </w:pPr>
            <w:r w:rsidRPr="0066263B">
              <w:rPr>
                <w:b/>
                <w:bCs/>
                <w:i/>
                <w:sz w:val="22"/>
                <w:szCs w:val="22"/>
              </w:rPr>
              <w:t>жен.</w:t>
            </w:r>
          </w:p>
        </w:tc>
        <w:tc>
          <w:tcPr>
            <w:tcW w:w="1379" w:type="dxa"/>
            <w:vAlign w:val="center"/>
          </w:tcPr>
          <w:p w:rsidR="00B63AAA" w:rsidRPr="0066263B" w:rsidRDefault="00B63AAA" w:rsidP="00864F3F">
            <w:pPr>
              <w:spacing w:before="20" w:after="20"/>
              <w:jc w:val="center"/>
              <w:rPr>
                <w:b/>
                <w:bCs/>
                <w:i/>
                <w:sz w:val="22"/>
                <w:szCs w:val="22"/>
              </w:rPr>
            </w:pPr>
            <w:r w:rsidRPr="0066263B">
              <w:rPr>
                <w:b/>
                <w:bCs/>
                <w:i/>
                <w:sz w:val="22"/>
                <w:szCs w:val="22"/>
              </w:rPr>
              <w:t>всего</w:t>
            </w:r>
          </w:p>
        </w:tc>
      </w:tr>
      <w:tr w:rsidR="00233C18" w:rsidRPr="0066263B" w:rsidTr="00864F3F">
        <w:tc>
          <w:tcPr>
            <w:tcW w:w="3052" w:type="dxa"/>
          </w:tcPr>
          <w:p w:rsidR="00233C18" w:rsidRPr="0066263B" w:rsidRDefault="00233C18" w:rsidP="00864F3F">
            <w:pPr>
              <w:spacing w:before="20" w:after="20"/>
              <w:rPr>
                <w:snapToGrid w:val="0"/>
                <w:sz w:val="22"/>
                <w:szCs w:val="22"/>
              </w:rPr>
            </w:pPr>
            <w:r w:rsidRPr="0066263B">
              <w:rPr>
                <w:sz w:val="22"/>
                <w:szCs w:val="22"/>
              </w:rPr>
              <w:t>Гомосексуальные контакты</w:t>
            </w:r>
          </w:p>
        </w:tc>
        <w:tc>
          <w:tcPr>
            <w:tcW w:w="843" w:type="dxa"/>
          </w:tcPr>
          <w:p w:rsidR="00233C18" w:rsidRPr="0066263B" w:rsidRDefault="00233C18" w:rsidP="00B443B1">
            <w:pPr>
              <w:spacing w:before="20" w:after="20"/>
              <w:jc w:val="center"/>
              <w:rPr>
                <w:sz w:val="22"/>
                <w:szCs w:val="22"/>
              </w:rPr>
            </w:pPr>
            <w:r w:rsidRPr="0066263B">
              <w:rPr>
                <w:sz w:val="22"/>
                <w:szCs w:val="22"/>
              </w:rPr>
              <w:t>2</w:t>
            </w:r>
          </w:p>
        </w:tc>
        <w:tc>
          <w:tcPr>
            <w:tcW w:w="842" w:type="dxa"/>
          </w:tcPr>
          <w:p w:rsidR="00233C18" w:rsidRPr="0066263B" w:rsidRDefault="00233C18" w:rsidP="00B443B1">
            <w:pPr>
              <w:spacing w:before="20" w:after="20"/>
              <w:jc w:val="center"/>
              <w:rPr>
                <w:sz w:val="22"/>
                <w:szCs w:val="22"/>
              </w:rPr>
            </w:pPr>
          </w:p>
        </w:tc>
        <w:tc>
          <w:tcPr>
            <w:tcW w:w="1378" w:type="dxa"/>
          </w:tcPr>
          <w:p w:rsidR="00233C18" w:rsidRPr="0066263B" w:rsidRDefault="00233C18" w:rsidP="00233C18">
            <w:pPr>
              <w:spacing w:before="20" w:after="20"/>
              <w:jc w:val="center"/>
              <w:rPr>
                <w:sz w:val="22"/>
                <w:szCs w:val="22"/>
              </w:rPr>
            </w:pPr>
            <w:r w:rsidRPr="0066263B">
              <w:rPr>
                <w:sz w:val="22"/>
                <w:szCs w:val="22"/>
              </w:rPr>
              <w:t>2 (0,8%)</w:t>
            </w:r>
          </w:p>
        </w:tc>
        <w:tc>
          <w:tcPr>
            <w:tcW w:w="843" w:type="dxa"/>
          </w:tcPr>
          <w:p w:rsidR="00233C18" w:rsidRPr="0066263B" w:rsidRDefault="00233C18" w:rsidP="00864F3F">
            <w:pPr>
              <w:spacing w:before="20" w:after="20"/>
              <w:jc w:val="center"/>
              <w:rPr>
                <w:sz w:val="22"/>
                <w:szCs w:val="22"/>
              </w:rPr>
            </w:pPr>
            <w:r w:rsidRPr="0066263B">
              <w:rPr>
                <w:sz w:val="22"/>
                <w:szCs w:val="22"/>
              </w:rPr>
              <w:t>-</w:t>
            </w:r>
          </w:p>
        </w:tc>
        <w:tc>
          <w:tcPr>
            <w:tcW w:w="841" w:type="dxa"/>
          </w:tcPr>
          <w:p w:rsidR="00233C18" w:rsidRPr="0066263B" w:rsidRDefault="00233C18" w:rsidP="00864F3F">
            <w:pPr>
              <w:spacing w:before="20" w:after="20"/>
              <w:jc w:val="center"/>
              <w:rPr>
                <w:sz w:val="22"/>
                <w:szCs w:val="22"/>
              </w:rPr>
            </w:pPr>
            <w:r w:rsidRPr="0066263B">
              <w:rPr>
                <w:sz w:val="22"/>
                <w:szCs w:val="22"/>
              </w:rPr>
              <w:t>-</w:t>
            </w:r>
          </w:p>
        </w:tc>
        <w:tc>
          <w:tcPr>
            <w:tcW w:w="1379" w:type="dxa"/>
          </w:tcPr>
          <w:p w:rsidR="00233C18" w:rsidRPr="0066263B" w:rsidRDefault="00233C18" w:rsidP="00864F3F">
            <w:pPr>
              <w:spacing w:before="20" w:after="20"/>
              <w:jc w:val="center"/>
              <w:rPr>
                <w:sz w:val="22"/>
                <w:szCs w:val="22"/>
              </w:rPr>
            </w:pPr>
            <w:r w:rsidRPr="0066263B">
              <w:rPr>
                <w:sz w:val="22"/>
                <w:szCs w:val="22"/>
              </w:rPr>
              <w:t>-</w:t>
            </w:r>
          </w:p>
        </w:tc>
      </w:tr>
      <w:tr w:rsidR="00233C18" w:rsidRPr="0066263B" w:rsidTr="00B443B1">
        <w:tc>
          <w:tcPr>
            <w:tcW w:w="3052" w:type="dxa"/>
          </w:tcPr>
          <w:p w:rsidR="00233C18" w:rsidRPr="0066263B" w:rsidRDefault="00233C18" w:rsidP="00864F3F">
            <w:pPr>
              <w:spacing w:before="20" w:after="20"/>
              <w:rPr>
                <w:snapToGrid w:val="0"/>
                <w:sz w:val="22"/>
                <w:szCs w:val="22"/>
              </w:rPr>
            </w:pPr>
            <w:r w:rsidRPr="0066263B">
              <w:rPr>
                <w:sz w:val="22"/>
                <w:szCs w:val="22"/>
              </w:rPr>
              <w:t>Гетеросексуальные контакты</w:t>
            </w:r>
          </w:p>
        </w:tc>
        <w:tc>
          <w:tcPr>
            <w:tcW w:w="843" w:type="dxa"/>
          </w:tcPr>
          <w:p w:rsidR="00233C18" w:rsidRPr="0066263B" w:rsidRDefault="00233C18" w:rsidP="00233C18">
            <w:pPr>
              <w:spacing w:before="20" w:after="20"/>
              <w:jc w:val="center"/>
              <w:rPr>
                <w:sz w:val="22"/>
                <w:szCs w:val="22"/>
              </w:rPr>
            </w:pPr>
            <w:r w:rsidRPr="0066263B">
              <w:rPr>
                <w:sz w:val="22"/>
                <w:szCs w:val="22"/>
              </w:rPr>
              <w:t>60</w:t>
            </w:r>
          </w:p>
        </w:tc>
        <w:tc>
          <w:tcPr>
            <w:tcW w:w="842" w:type="dxa"/>
          </w:tcPr>
          <w:p w:rsidR="00233C18" w:rsidRPr="0066263B" w:rsidRDefault="00233C18" w:rsidP="00B443B1">
            <w:pPr>
              <w:spacing w:before="20" w:after="20"/>
              <w:jc w:val="center"/>
              <w:rPr>
                <w:sz w:val="22"/>
                <w:szCs w:val="22"/>
              </w:rPr>
            </w:pPr>
            <w:r w:rsidRPr="0066263B">
              <w:rPr>
                <w:sz w:val="22"/>
                <w:szCs w:val="22"/>
              </w:rPr>
              <w:t>67</w:t>
            </w:r>
          </w:p>
        </w:tc>
        <w:tc>
          <w:tcPr>
            <w:tcW w:w="1378" w:type="dxa"/>
            <w:vAlign w:val="center"/>
          </w:tcPr>
          <w:p w:rsidR="00233C18" w:rsidRPr="0066263B" w:rsidRDefault="00233C18" w:rsidP="00233C18">
            <w:pPr>
              <w:spacing w:before="20" w:after="20"/>
              <w:jc w:val="center"/>
              <w:rPr>
                <w:sz w:val="22"/>
                <w:szCs w:val="22"/>
              </w:rPr>
            </w:pPr>
            <w:r w:rsidRPr="0066263B">
              <w:rPr>
                <w:sz w:val="22"/>
                <w:szCs w:val="22"/>
              </w:rPr>
              <w:t>127 (48,7%)</w:t>
            </w:r>
          </w:p>
        </w:tc>
        <w:tc>
          <w:tcPr>
            <w:tcW w:w="843" w:type="dxa"/>
            <w:vAlign w:val="center"/>
          </w:tcPr>
          <w:p w:rsidR="00233C18" w:rsidRPr="0066263B" w:rsidRDefault="00233C18" w:rsidP="00233C18">
            <w:pPr>
              <w:spacing w:before="20" w:after="20"/>
              <w:jc w:val="center"/>
              <w:rPr>
                <w:sz w:val="22"/>
                <w:szCs w:val="22"/>
              </w:rPr>
            </w:pPr>
            <w:r w:rsidRPr="0066263B">
              <w:rPr>
                <w:sz w:val="22"/>
                <w:szCs w:val="22"/>
              </w:rPr>
              <w:t>86</w:t>
            </w:r>
          </w:p>
        </w:tc>
        <w:tc>
          <w:tcPr>
            <w:tcW w:w="841" w:type="dxa"/>
            <w:vAlign w:val="center"/>
          </w:tcPr>
          <w:p w:rsidR="00233C18" w:rsidRPr="0066263B" w:rsidRDefault="00233C18" w:rsidP="00233C18">
            <w:pPr>
              <w:spacing w:before="20" w:after="20"/>
              <w:jc w:val="center"/>
              <w:rPr>
                <w:sz w:val="22"/>
                <w:szCs w:val="22"/>
              </w:rPr>
            </w:pPr>
            <w:r w:rsidRPr="0066263B">
              <w:rPr>
                <w:sz w:val="22"/>
                <w:szCs w:val="22"/>
              </w:rPr>
              <w:t>74</w:t>
            </w:r>
          </w:p>
        </w:tc>
        <w:tc>
          <w:tcPr>
            <w:tcW w:w="1379" w:type="dxa"/>
            <w:vAlign w:val="center"/>
          </w:tcPr>
          <w:p w:rsidR="00233C18" w:rsidRPr="0066263B" w:rsidRDefault="00233C18" w:rsidP="00233C18">
            <w:pPr>
              <w:spacing w:before="20" w:after="20"/>
              <w:jc w:val="center"/>
              <w:rPr>
                <w:sz w:val="22"/>
                <w:szCs w:val="22"/>
              </w:rPr>
            </w:pPr>
            <w:r w:rsidRPr="0066263B">
              <w:rPr>
                <w:sz w:val="22"/>
                <w:szCs w:val="22"/>
              </w:rPr>
              <w:t>160 (66,4%)</w:t>
            </w:r>
          </w:p>
        </w:tc>
      </w:tr>
      <w:tr w:rsidR="00233C18" w:rsidRPr="0066263B" w:rsidTr="00B443B1">
        <w:tc>
          <w:tcPr>
            <w:tcW w:w="3052" w:type="dxa"/>
          </w:tcPr>
          <w:p w:rsidR="00233C18" w:rsidRPr="0066263B" w:rsidRDefault="00233C18" w:rsidP="00864F3F">
            <w:pPr>
              <w:spacing w:before="20" w:after="20"/>
              <w:rPr>
                <w:snapToGrid w:val="0"/>
                <w:sz w:val="22"/>
                <w:szCs w:val="22"/>
              </w:rPr>
            </w:pPr>
            <w:r w:rsidRPr="0066263B">
              <w:rPr>
                <w:sz w:val="22"/>
                <w:szCs w:val="22"/>
              </w:rPr>
              <w:t>В/</w:t>
            </w:r>
            <w:proofErr w:type="gramStart"/>
            <w:r w:rsidRPr="0066263B">
              <w:rPr>
                <w:sz w:val="22"/>
                <w:szCs w:val="22"/>
              </w:rPr>
              <w:t>в</w:t>
            </w:r>
            <w:proofErr w:type="gramEnd"/>
            <w:r w:rsidRPr="0066263B">
              <w:rPr>
                <w:sz w:val="22"/>
                <w:szCs w:val="22"/>
              </w:rPr>
              <w:t xml:space="preserve"> введение наркотиков</w:t>
            </w:r>
          </w:p>
        </w:tc>
        <w:tc>
          <w:tcPr>
            <w:tcW w:w="843" w:type="dxa"/>
          </w:tcPr>
          <w:p w:rsidR="00233C18" w:rsidRPr="0066263B" w:rsidRDefault="00233C18" w:rsidP="00B443B1">
            <w:pPr>
              <w:spacing w:before="20" w:after="20"/>
              <w:jc w:val="center"/>
              <w:rPr>
                <w:sz w:val="22"/>
                <w:szCs w:val="22"/>
              </w:rPr>
            </w:pPr>
            <w:r w:rsidRPr="0066263B">
              <w:rPr>
                <w:sz w:val="22"/>
                <w:szCs w:val="22"/>
              </w:rPr>
              <w:t>107</w:t>
            </w:r>
          </w:p>
        </w:tc>
        <w:tc>
          <w:tcPr>
            <w:tcW w:w="842" w:type="dxa"/>
          </w:tcPr>
          <w:p w:rsidR="00233C18" w:rsidRPr="0066263B" w:rsidRDefault="00233C18" w:rsidP="00B443B1">
            <w:pPr>
              <w:spacing w:before="20" w:after="20"/>
              <w:jc w:val="center"/>
              <w:rPr>
                <w:sz w:val="22"/>
                <w:szCs w:val="22"/>
              </w:rPr>
            </w:pPr>
            <w:r w:rsidRPr="0066263B">
              <w:rPr>
                <w:sz w:val="22"/>
                <w:szCs w:val="22"/>
              </w:rPr>
              <w:t>23</w:t>
            </w:r>
          </w:p>
        </w:tc>
        <w:tc>
          <w:tcPr>
            <w:tcW w:w="1378" w:type="dxa"/>
            <w:vAlign w:val="center"/>
          </w:tcPr>
          <w:p w:rsidR="00233C18" w:rsidRPr="0066263B" w:rsidRDefault="00233C18" w:rsidP="00B443B1">
            <w:pPr>
              <w:spacing w:before="20" w:after="20"/>
              <w:jc w:val="center"/>
              <w:rPr>
                <w:sz w:val="22"/>
                <w:szCs w:val="22"/>
              </w:rPr>
            </w:pPr>
            <w:r w:rsidRPr="0066263B">
              <w:rPr>
                <w:sz w:val="22"/>
                <w:szCs w:val="22"/>
              </w:rPr>
              <w:t>130 (49,8%)</w:t>
            </w:r>
          </w:p>
        </w:tc>
        <w:tc>
          <w:tcPr>
            <w:tcW w:w="843" w:type="dxa"/>
            <w:vAlign w:val="center"/>
          </w:tcPr>
          <w:p w:rsidR="00233C18" w:rsidRPr="0066263B" w:rsidRDefault="00233C18" w:rsidP="00233C18">
            <w:pPr>
              <w:spacing w:before="20" w:after="20"/>
              <w:jc w:val="center"/>
              <w:rPr>
                <w:sz w:val="22"/>
                <w:szCs w:val="22"/>
              </w:rPr>
            </w:pPr>
            <w:r w:rsidRPr="0066263B">
              <w:rPr>
                <w:sz w:val="22"/>
                <w:szCs w:val="22"/>
              </w:rPr>
              <w:t>72</w:t>
            </w:r>
          </w:p>
        </w:tc>
        <w:tc>
          <w:tcPr>
            <w:tcW w:w="841" w:type="dxa"/>
            <w:vAlign w:val="center"/>
          </w:tcPr>
          <w:p w:rsidR="00233C18" w:rsidRPr="0066263B" w:rsidRDefault="00233C18" w:rsidP="00233C18">
            <w:pPr>
              <w:spacing w:before="20" w:after="20"/>
              <w:jc w:val="center"/>
              <w:rPr>
                <w:sz w:val="22"/>
                <w:szCs w:val="22"/>
              </w:rPr>
            </w:pPr>
            <w:r w:rsidRPr="0066263B">
              <w:rPr>
                <w:sz w:val="22"/>
                <w:szCs w:val="22"/>
              </w:rPr>
              <w:t>9</w:t>
            </w:r>
          </w:p>
        </w:tc>
        <w:tc>
          <w:tcPr>
            <w:tcW w:w="1379" w:type="dxa"/>
            <w:vAlign w:val="center"/>
          </w:tcPr>
          <w:p w:rsidR="00233C18" w:rsidRPr="0066263B" w:rsidRDefault="00233C18" w:rsidP="00233C18">
            <w:pPr>
              <w:spacing w:before="20" w:after="20"/>
              <w:jc w:val="center"/>
              <w:rPr>
                <w:sz w:val="22"/>
                <w:szCs w:val="22"/>
              </w:rPr>
            </w:pPr>
            <w:r w:rsidRPr="0066263B">
              <w:rPr>
                <w:sz w:val="22"/>
                <w:szCs w:val="22"/>
              </w:rPr>
              <w:t>81 (33,6%)</w:t>
            </w:r>
          </w:p>
        </w:tc>
      </w:tr>
      <w:tr w:rsidR="00233C18" w:rsidRPr="0066263B" w:rsidTr="00B443B1">
        <w:tc>
          <w:tcPr>
            <w:tcW w:w="3052" w:type="dxa"/>
          </w:tcPr>
          <w:p w:rsidR="00233C18" w:rsidRPr="0066263B" w:rsidRDefault="00233C18" w:rsidP="00864F3F">
            <w:pPr>
              <w:spacing w:before="20" w:after="20"/>
              <w:rPr>
                <w:snapToGrid w:val="0"/>
                <w:sz w:val="22"/>
                <w:szCs w:val="22"/>
              </w:rPr>
            </w:pPr>
            <w:r w:rsidRPr="0066263B">
              <w:rPr>
                <w:sz w:val="22"/>
                <w:szCs w:val="22"/>
              </w:rPr>
              <w:t>Причина не установлена</w:t>
            </w:r>
          </w:p>
        </w:tc>
        <w:tc>
          <w:tcPr>
            <w:tcW w:w="843" w:type="dxa"/>
          </w:tcPr>
          <w:p w:rsidR="00233C18" w:rsidRPr="0066263B" w:rsidRDefault="00233C18" w:rsidP="00B443B1">
            <w:pPr>
              <w:spacing w:before="20" w:after="20"/>
              <w:jc w:val="center"/>
              <w:rPr>
                <w:sz w:val="22"/>
                <w:szCs w:val="22"/>
              </w:rPr>
            </w:pPr>
            <w:r w:rsidRPr="0066263B">
              <w:rPr>
                <w:sz w:val="22"/>
                <w:szCs w:val="22"/>
              </w:rPr>
              <w:t>-</w:t>
            </w:r>
          </w:p>
        </w:tc>
        <w:tc>
          <w:tcPr>
            <w:tcW w:w="842" w:type="dxa"/>
          </w:tcPr>
          <w:p w:rsidR="00233C18" w:rsidRPr="0066263B" w:rsidRDefault="00233C18" w:rsidP="00B443B1">
            <w:pPr>
              <w:spacing w:before="20" w:after="20"/>
              <w:jc w:val="center"/>
              <w:rPr>
                <w:sz w:val="22"/>
                <w:szCs w:val="22"/>
              </w:rPr>
            </w:pPr>
            <w:r w:rsidRPr="0066263B">
              <w:rPr>
                <w:sz w:val="22"/>
                <w:szCs w:val="22"/>
              </w:rPr>
              <w:t>2</w:t>
            </w:r>
          </w:p>
        </w:tc>
        <w:tc>
          <w:tcPr>
            <w:tcW w:w="1378" w:type="dxa"/>
            <w:vAlign w:val="center"/>
          </w:tcPr>
          <w:p w:rsidR="00233C18" w:rsidRPr="0066263B" w:rsidRDefault="00233C18" w:rsidP="00B443B1">
            <w:pPr>
              <w:spacing w:before="20" w:after="20"/>
              <w:jc w:val="center"/>
              <w:rPr>
                <w:sz w:val="22"/>
                <w:szCs w:val="22"/>
              </w:rPr>
            </w:pPr>
            <w:r w:rsidRPr="0066263B">
              <w:rPr>
                <w:sz w:val="22"/>
                <w:szCs w:val="22"/>
              </w:rPr>
              <w:t>2 (0,8%)</w:t>
            </w:r>
          </w:p>
        </w:tc>
        <w:tc>
          <w:tcPr>
            <w:tcW w:w="843" w:type="dxa"/>
            <w:vAlign w:val="center"/>
          </w:tcPr>
          <w:p w:rsidR="00233C18" w:rsidRPr="0066263B" w:rsidRDefault="00233C18" w:rsidP="00233C18">
            <w:pPr>
              <w:spacing w:before="20" w:after="20"/>
              <w:jc w:val="center"/>
              <w:rPr>
                <w:sz w:val="22"/>
                <w:szCs w:val="22"/>
              </w:rPr>
            </w:pPr>
            <w:r w:rsidRPr="0066263B">
              <w:rPr>
                <w:sz w:val="22"/>
                <w:szCs w:val="22"/>
              </w:rPr>
              <w:t>-</w:t>
            </w:r>
          </w:p>
        </w:tc>
        <w:tc>
          <w:tcPr>
            <w:tcW w:w="841" w:type="dxa"/>
            <w:vAlign w:val="center"/>
          </w:tcPr>
          <w:p w:rsidR="00233C18" w:rsidRPr="0066263B" w:rsidRDefault="00233C18" w:rsidP="00233C18">
            <w:pPr>
              <w:spacing w:before="20" w:after="20"/>
              <w:jc w:val="center"/>
              <w:rPr>
                <w:sz w:val="22"/>
                <w:szCs w:val="22"/>
              </w:rPr>
            </w:pPr>
            <w:r w:rsidRPr="0066263B">
              <w:rPr>
                <w:sz w:val="22"/>
                <w:szCs w:val="22"/>
              </w:rPr>
              <w:t>-</w:t>
            </w:r>
          </w:p>
        </w:tc>
        <w:tc>
          <w:tcPr>
            <w:tcW w:w="1379" w:type="dxa"/>
            <w:vAlign w:val="center"/>
          </w:tcPr>
          <w:p w:rsidR="00233C18" w:rsidRPr="0066263B" w:rsidRDefault="00233C18" w:rsidP="00233C18">
            <w:pPr>
              <w:spacing w:before="20" w:after="20"/>
              <w:jc w:val="center"/>
              <w:rPr>
                <w:sz w:val="22"/>
                <w:szCs w:val="22"/>
              </w:rPr>
            </w:pPr>
            <w:r w:rsidRPr="0066263B">
              <w:rPr>
                <w:sz w:val="22"/>
                <w:szCs w:val="22"/>
              </w:rPr>
              <w:t>-</w:t>
            </w:r>
          </w:p>
        </w:tc>
      </w:tr>
      <w:tr w:rsidR="00233C18" w:rsidRPr="0066263B" w:rsidTr="00864F3F">
        <w:tc>
          <w:tcPr>
            <w:tcW w:w="3052" w:type="dxa"/>
          </w:tcPr>
          <w:p w:rsidR="00233C18" w:rsidRPr="0066263B" w:rsidRDefault="00233C18" w:rsidP="00864F3F">
            <w:pPr>
              <w:spacing w:before="20" w:after="20"/>
              <w:rPr>
                <w:snapToGrid w:val="0"/>
                <w:sz w:val="22"/>
                <w:szCs w:val="22"/>
              </w:rPr>
            </w:pPr>
            <w:r w:rsidRPr="0066263B">
              <w:rPr>
                <w:snapToGrid w:val="0"/>
                <w:sz w:val="22"/>
                <w:szCs w:val="22"/>
              </w:rPr>
              <w:t>ИТОГО</w:t>
            </w:r>
          </w:p>
        </w:tc>
        <w:tc>
          <w:tcPr>
            <w:tcW w:w="843" w:type="dxa"/>
            <w:vAlign w:val="center"/>
          </w:tcPr>
          <w:p w:rsidR="00233C18" w:rsidRPr="0066263B" w:rsidRDefault="00233C18" w:rsidP="00B443B1">
            <w:pPr>
              <w:spacing w:before="20" w:after="20"/>
              <w:jc w:val="center"/>
              <w:rPr>
                <w:sz w:val="22"/>
                <w:szCs w:val="22"/>
              </w:rPr>
            </w:pPr>
            <w:r w:rsidRPr="0066263B">
              <w:rPr>
                <w:sz w:val="22"/>
                <w:szCs w:val="22"/>
              </w:rPr>
              <w:t>169</w:t>
            </w:r>
          </w:p>
        </w:tc>
        <w:tc>
          <w:tcPr>
            <w:tcW w:w="842" w:type="dxa"/>
            <w:vAlign w:val="center"/>
          </w:tcPr>
          <w:p w:rsidR="00233C18" w:rsidRPr="0066263B" w:rsidRDefault="00233C18" w:rsidP="00B443B1">
            <w:pPr>
              <w:spacing w:before="20" w:after="20"/>
              <w:jc w:val="center"/>
              <w:rPr>
                <w:sz w:val="22"/>
                <w:szCs w:val="22"/>
              </w:rPr>
            </w:pPr>
            <w:r w:rsidRPr="0066263B">
              <w:rPr>
                <w:sz w:val="22"/>
                <w:szCs w:val="22"/>
              </w:rPr>
              <w:t>92</w:t>
            </w:r>
          </w:p>
        </w:tc>
        <w:tc>
          <w:tcPr>
            <w:tcW w:w="1378" w:type="dxa"/>
            <w:vAlign w:val="center"/>
          </w:tcPr>
          <w:p w:rsidR="00233C18" w:rsidRPr="0066263B" w:rsidRDefault="00233C18" w:rsidP="00B443B1">
            <w:pPr>
              <w:spacing w:before="20" w:after="20"/>
              <w:jc w:val="center"/>
              <w:rPr>
                <w:sz w:val="22"/>
                <w:szCs w:val="22"/>
              </w:rPr>
            </w:pPr>
            <w:r w:rsidRPr="0066263B">
              <w:rPr>
                <w:sz w:val="22"/>
                <w:szCs w:val="22"/>
              </w:rPr>
              <w:t>261 (100%)</w:t>
            </w:r>
          </w:p>
        </w:tc>
        <w:tc>
          <w:tcPr>
            <w:tcW w:w="843" w:type="dxa"/>
            <w:vAlign w:val="center"/>
          </w:tcPr>
          <w:p w:rsidR="00233C18" w:rsidRPr="0066263B" w:rsidRDefault="00233C18" w:rsidP="00233C18">
            <w:pPr>
              <w:spacing w:before="20" w:after="20"/>
              <w:jc w:val="center"/>
              <w:rPr>
                <w:sz w:val="22"/>
                <w:szCs w:val="22"/>
              </w:rPr>
            </w:pPr>
            <w:r w:rsidRPr="0066263B">
              <w:rPr>
                <w:sz w:val="22"/>
                <w:szCs w:val="22"/>
              </w:rPr>
              <w:t>158</w:t>
            </w:r>
          </w:p>
        </w:tc>
        <w:tc>
          <w:tcPr>
            <w:tcW w:w="841" w:type="dxa"/>
            <w:vAlign w:val="center"/>
          </w:tcPr>
          <w:p w:rsidR="00233C18" w:rsidRPr="0066263B" w:rsidRDefault="00233C18" w:rsidP="00233C18">
            <w:pPr>
              <w:spacing w:before="20" w:after="20"/>
              <w:jc w:val="center"/>
              <w:rPr>
                <w:sz w:val="22"/>
                <w:szCs w:val="22"/>
              </w:rPr>
            </w:pPr>
            <w:r w:rsidRPr="0066263B">
              <w:rPr>
                <w:sz w:val="22"/>
                <w:szCs w:val="22"/>
              </w:rPr>
              <w:t>83</w:t>
            </w:r>
          </w:p>
        </w:tc>
        <w:tc>
          <w:tcPr>
            <w:tcW w:w="1379" w:type="dxa"/>
            <w:vAlign w:val="center"/>
          </w:tcPr>
          <w:p w:rsidR="00233C18" w:rsidRPr="0066263B" w:rsidRDefault="00233C18" w:rsidP="00233C18">
            <w:pPr>
              <w:spacing w:before="20" w:after="20"/>
              <w:jc w:val="center"/>
              <w:rPr>
                <w:sz w:val="22"/>
                <w:szCs w:val="22"/>
              </w:rPr>
            </w:pPr>
            <w:r w:rsidRPr="0066263B">
              <w:rPr>
                <w:sz w:val="22"/>
                <w:szCs w:val="22"/>
              </w:rPr>
              <w:t>241 (100%)</w:t>
            </w:r>
          </w:p>
        </w:tc>
      </w:tr>
    </w:tbl>
    <w:p w:rsidR="00233C18" w:rsidRPr="0066263B" w:rsidRDefault="00233C18" w:rsidP="00B63AAA">
      <w:pPr>
        <w:spacing w:before="0" w:after="0"/>
        <w:ind w:firstLine="709"/>
        <w:rPr>
          <w:rFonts w:ascii="Times New Roman" w:eastAsia="Times New Roman" w:hAnsi="Times New Roman" w:cs="Times New Roman"/>
          <w:sz w:val="24"/>
          <w:szCs w:val="24"/>
          <w:lang w:eastAsia="ru-RU"/>
        </w:rPr>
      </w:pPr>
    </w:p>
    <w:p w:rsidR="000259F1" w:rsidRPr="0066263B" w:rsidRDefault="000259F1" w:rsidP="000259F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По сравнению с 2020 годом в Брянской области на 26% увеличилось число вновь выявленных случаев заражения ВИЧ гетеросексуальным путём. Число новых случаев заражения при внутривенном введении наркотиков уменьшилось на 38%.</w:t>
      </w:r>
    </w:p>
    <w:p w:rsidR="00B63AAA" w:rsidRPr="0066263B" w:rsidRDefault="00B63AAA" w:rsidP="00324483">
      <w:pPr>
        <w:spacing w:before="0" w:after="0"/>
        <w:ind w:firstLine="709"/>
        <w:rPr>
          <w:rFonts w:ascii="Times New Roman" w:eastAsia="Times New Roman" w:hAnsi="Times New Roman" w:cs="Times New Roman"/>
          <w:sz w:val="24"/>
          <w:szCs w:val="24"/>
          <w:lang w:eastAsia="ru-RU"/>
        </w:rPr>
      </w:pPr>
    </w:p>
    <w:p w:rsidR="00B63AAA" w:rsidRPr="0066263B" w:rsidRDefault="00B63AAA" w:rsidP="00B63AAA">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6779083"/>
            <wp:effectExtent l="0" t="0" r="0" b="0"/>
            <wp:docPr id="24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63AAA" w:rsidRPr="0066263B" w:rsidRDefault="00B63AAA"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91</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 xml:space="preserve">. </w:t>
      </w:r>
      <w:r w:rsidRPr="0066263B">
        <w:rPr>
          <w:rFonts w:ascii="Times New Roman" w:eastAsia="Times New Roman" w:hAnsi="Times New Roman" w:cs="Times New Roman"/>
          <w:lang w:eastAsia="ru-RU"/>
        </w:rPr>
        <w:t xml:space="preserve">Динамика распределения </w:t>
      </w:r>
      <w:proofErr w:type="gramStart"/>
      <w:r w:rsidRPr="0066263B">
        <w:rPr>
          <w:rFonts w:ascii="Times New Roman" w:eastAsia="Times New Roman" w:hAnsi="Times New Roman" w:cs="Times New Roman"/>
          <w:lang w:eastAsia="ru-RU"/>
        </w:rPr>
        <w:t>ВИЧ-инфицированных</w:t>
      </w:r>
      <w:proofErr w:type="gramEnd"/>
      <w:r w:rsidRPr="0066263B">
        <w:rPr>
          <w:rFonts w:ascii="Times New Roman" w:eastAsia="Times New Roman" w:hAnsi="Times New Roman" w:cs="Times New Roman"/>
          <w:lang w:eastAsia="ru-RU"/>
        </w:rPr>
        <w:t xml:space="preserve"> по основным</w:t>
      </w:r>
      <w:r w:rsidRPr="0066263B">
        <w:rPr>
          <w:rFonts w:ascii="Times New Roman" w:eastAsia="Times New Roman" w:hAnsi="Times New Roman" w:cs="Times New Roman"/>
          <w:lang w:eastAsia="ru-RU"/>
        </w:rPr>
        <w:br/>
        <w:t>причинам заражения, %</w:t>
      </w:r>
    </w:p>
    <w:p w:rsidR="00CA41A9" w:rsidRPr="0066263B" w:rsidRDefault="00CA41A9" w:rsidP="00B63AAA">
      <w:pPr>
        <w:spacing w:before="0" w:after="0"/>
        <w:ind w:firstLine="709"/>
        <w:rPr>
          <w:rFonts w:ascii="Times New Roman" w:eastAsia="Times New Roman" w:hAnsi="Times New Roman" w:cs="Times New Roman"/>
          <w:sz w:val="24"/>
          <w:szCs w:val="24"/>
          <w:lang w:eastAsia="ru-RU"/>
        </w:rPr>
      </w:pPr>
    </w:p>
    <w:p w:rsidR="00CA41A9" w:rsidRPr="0066263B" w:rsidRDefault="00CA41A9" w:rsidP="00CA41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на антитела к ВИЧ в области было обследовано 296 787 человек, в том числе 292 022 российских гражданина – 24,7% населения области (</w:t>
      </w:r>
      <w:r w:rsidR="004F069E" w:rsidRPr="0066263B">
        <w:rPr>
          <w:rFonts w:ascii="Times New Roman" w:eastAsia="Times New Roman" w:hAnsi="Times New Roman" w:cs="Times New Roman"/>
          <w:sz w:val="24"/>
          <w:szCs w:val="24"/>
          <w:lang w:eastAsia="ru-RU"/>
        </w:rPr>
        <w:t>2020 – 26,7%</w:t>
      </w:r>
      <w:r w:rsidR="004F069E">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2019 – 27,2%). Снижение объёма тестирования связано с уменьшением обращаемости населения в центр СПИД и в медицинские организации, а также с ограничениями </w:t>
      </w:r>
      <w:r w:rsidRPr="0066263B">
        <w:rPr>
          <w:rFonts w:ascii="Times New Roman" w:eastAsia="Times New Roman" w:hAnsi="Times New Roman" w:cs="Times New Roman"/>
          <w:sz w:val="24"/>
          <w:szCs w:val="24"/>
          <w:lang w:eastAsia="ru-RU"/>
        </w:rPr>
        <w:lastRenderedPageBreak/>
        <w:t>проведения диспансеризации и профилактических медосмотров во время проведения противоэпидемических мероприятий по коронавирусной инфекции.</w:t>
      </w:r>
    </w:p>
    <w:p w:rsidR="00CA41A9" w:rsidRPr="0066263B" w:rsidRDefault="00CA41A9" w:rsidP="00CA41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Тестирование на ВИЧ проводилось преимущественно по коду «по клиническим показаниям» – 56% обследованных (РФ – 38,2%) и по коду «прочие» – 15,3% (РФ – 29,5%). Доля уязвимых групп населения, включая ПИН, МСМ, КСР, заключённых и больных ИППП, среди обследованных в 2021 году снизилась </w:t>
      </w:r>
      <w:r w:rsidR="000F49CF" w:rsidRPr="0066263B">
        <w:rPr>
          <w:rFonts w:ascii="Times New Roman" w:eastAsia="Times New Roman" w:hAnsi="Times New Roman" w:cs="Times New Roman"/>
          <w:sz w:val="24"/>
          <w:szCs w:val="24"/>
          <w:lang w:eastAsia="ru-RU"/>
        </w:rPr>
        <w:t>с</w:t>
      </w:r>
      <w:r w:rsidRPr="0066263B">
        <w:rPr>
          <w:rFonts w:ascii="Times New Roman" w:eastAsia="Times New Roman" w:hAnsi="Times New Roman" w:cs="Times New Roman"/>
          <w:sz w:val="24"/>
          <w:szCs w:val="24"/>
          <w:lang w:eastAsia="ru-RU"/>
        </w:rPr>
        <w:t xml:space="preserve"> </w:t>
      </w:r>
      <w:r w:rsidR="000F49CF" w:rsidRPr="0066263B">
        <w:rPr>
          <w:rFonts w:ascii="Times New Roman" w:eastAsia="Times New Roman" w:hAnsi="Times New Roman" w:cs="Times New Roman"/>
          <w:sz w:val="24"/>
          <w:szCs w:val="24"/>
          <w:lang w:eastAsia="ru-RU"/>
        </w:rPr>
        <w:t>4,8% в 2020 году до 4,3% в 2021 году</w:t>
      </w:r>
      <w:r w:rsidRPr="0066263B">
        <w:rPr>
          <w:rFonts w:ascii="Times New Roman" w:eastAsia="Times New Roman" w:hAnsi="Times New Roman" w:cs="Times New Roman"/>
          <w:sz w:val="24"/>
          <w:szCs w:val="24"/>
          <w:lang w:eastAsia="ru-RU"/>
        </w:rPr>
        <w:t xml:space="preserve"> (РФ – 3,2%). В тоже время среди вновь выявленных в 2021 году ВИЧ-инфицированные заключённые составили 10,4%, потребители наркотиков – 9,6%, больные ИППП – 2,3%.</w:t>
      </w:r>
    </w:p>
    <w:p w:rsidR="00CA41A9" w:rsidRPr="0066263B" w:rsidRDefault="00CA41A9" w:rsidP="00CA41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сравнению с прошлым годом выявляемость ВИЧ среди беременных выросла на 65,7%, в группе «прочие» – на 66,3%, среди обследованных по эпидемическим показаниям – на 32,3%. В этой группе самая высокая выявляемость ВИЧ.</w:t>
      </w:r>
    </w:p>
    <w:p w:rsidR="00CA41A9" w:rsidRPr="0066263B" w:rsidRDefault="00CA41A9" w:rsidP="00CA41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последние годы в Брянской области основную массу вновь выявленных ВИЧ-инфицированных составляют люди в возрасте от 30 до 40 лет. Вместе с тем в 2020-2021 г.г. отмечается рост в возрастных группах от 20 до 30 лет и от 45 лет и старше.</w:t>
      </w:r>
    </w:p>
    <w:p w:rsidR="00CA41A9" w:rsidRPr="0066263B" w:rsidRDefault="00CA41A9" w:rsidP="00CA41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От ВИЧ-инфицированных матерей за весь период наблюдения родилось 670 живых детей, в том числе в 2021 году 41 ребёнок, родов 43 (2 случая мёртворождения).</w:t>
      </w:r>
    </w:p>
    <w:p w:rsidR="00CA41A9" w:rsidRPr="0066263B" w:rsidRDefault="00CA41A9" w:rsidP="00CA41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момента появления первых ВИЧ-инфицированных рожениц в 2001 году профилактическому лечению в целях предупреждения вертикальной передачи ВИЧ от матери ребёнку подлежали 659 беременных. Полный курс (три этапа) получили 603 пары мать-ребёнок (91,5%). В 2021 году полный курс профилактики вертикальной передачи ВИЧ получили 41 пара мать-ребёнок из 43 (95,3%).</w:t>
      </w:r>
    </w:p>
    <w:p w:rsidR="00CA41A9" w:rsidRPr="0066263B" w:rsidRDefault="00CA41A9" w:rsidP="00CA41A9">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дисп</w:t>
      </w:r>
      <w:bookmarkStart w:id="12" w:name="_GoBack"/>
      <w:bookmarkEnd w:id="12"/>
      <w:r w:rsidRPr="0066263B">
        <w:rPr>
          <w:rFonts w:ascii="Times New Roman" w:eastAsia="Times New Roman" w:hAnsi="Times New Roman" w:cs="Times New Roman"/>
          <w:sz w:val="24"/>
          <w:szCs w:val="24"/>
          <w:lang w:eastAsia="ru-RU"/>
        </w:rPr>
        <w:t>ансерном учёте на 31.12.2021 состояло 28 детей с диагнозом «ВИЧ-инфекция» и 83 ребёнка, имеющих неокончательный лабораторный результат на ВИЧ-инфекцию (R 75). Диагноз «ВИЧ-инфекция» установлен 18 детям, рождённым ВИЧ-инфицированными матерями нашей области. Частота передачи ВИЧ от матери реб</w:t>
      </w:r>
      <w:r w:rsidR="004F069E">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 xml:space="preserve">нку </w:t>
      </w:r>
      <w:proofErr w:type="gramStart"/>
      <w:r w:rsidRPr="0066263B">
        <w:rPr>
          <w:rFonts w:ascii="Times New Roman" w:eastAsia="Times New Roman" w:hAnsi="Times New Roman" w:cs="Times New Roman"/>
          <w:sz w:val="24"/>
          <w:szCs w:val="24"/>
          <w:lang w:eastAsia="ru-RU"/>
        </w:rPr>
        <w:t>на конец</w:t>
      </w:r>
      <w:proofErr w:type="gramEnd"/>
      <w:r w:rsidRPr="0066263B">
        <w:rPr>
          <w:rFonts w:ascii="Times New Roman" w:eastAsia="Times New Roman" w:hAnsi="Times New Roman" w:cs="Times New Roman"/>
          <w:sz w:val="24"/>
          <w:szCs w:val="24"/>
          <w:lang w:eastAsia="ru-RU"/>
        </w:rPr>
        <w:t xml:space="preserve"> 2021 года составила 3,1%</w:t>
      </w:r>
      <w:r w:rsidR="00B443B1" w:rsidRPr="0066263B">
        <w:rPr>
          <w:rFonts w:ascii="Times New Roman" w:eastAsia="Times New Roman" w:hAnsi="Times New Roman" w:cs="Times New Roman"/>
          <w:sz w:val="24"/>
          <w:szCs w:val="24"/>
          <w:lang w:eastAsia="ru-RU"/>
        </w:rPr>
        <w:t xml:space="preserve"> (2020 – 3,3%; 2019 – 3,5%; 2018 – 3,7%)</w:t>
      </w:r>
      <w:r w:rsidRPr="0066263B">
        <w:rPr>
          <w:rFonts w:ascii="Times New Roman" w:eastAsia="Times New Roman" w:hAnsi="Times New Roman" w:cs="Times New Roman"/>
          <w:sz w:val="24"/>
          <w:szCs w:val="24"/>
          <w:lang w:eastAsia="ru-RU"/>
        </w:rPr>
        <w:t>.</w:t>
      </w:r>
    </w:p>
    <w:p w:rsidR="00CA41A9" w:rsidRPr="0066263B" w:rsidRDefault="00CA41A9" w:rsidP="00B63AAA">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97</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Диспансеризация и лечение жителей Брянской области, больных ВИЧ-инфекцией</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9192" w:type="dxa"/>
        <w:jc w:val="center"/>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9"/>
        <w:gridCol w:w="3640"/>
        <w:gridCol w:w="1164"/>
        <w:gridCol w:w="1164"/>
        <w:gridCol w:w="1165"/>
      </w:tblGrid>
      <w:tr w:rsidR="00B443B1" w:rsidRPr="0066263B" w:rsidTr="00B443B1">
        <w:trPr>
          <w:jc w:val="center"/>
        </w:trPr>
        <w:tc>
          <w:tcPr>
            <w:tcW w:w="5699" w:type="dxa"/>
            <w:gridSpan w:val="2"/>
            <w:vAlign w:val="center"/>
          </w:tcPr>
          <w:p w:rsidR="00B443B1" w:rsidRPr="0066263B" w:rsidRDefault="00B443B1" w:rsidP="00B63AAA">
            <w:pPr>
              <w:spacing w:before="20" w:after="20"/>
              <w:ind w:left="57"/>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Показатели</w:t>
            </w:r>
          </w:p>
        </w:tc>
        <w:tc>
          <w:tcPr>
            <w:tcW w:w="1164" w:type="dxa"/>
            <w:vAlign w:val="center"/>
          </w:tcPr>
          <w:p w:rsidR="00B443B1" w:rsidRPr="0066263B" w:rsidRDefault="00B443B1" w:rsidP="00B63AAA">
            <w:pPr>
              <w:spacing w:before="20" w:after="20"/>
              <w:jc w:val="center"/>
              <w:rPr>
                <w:rFonts w:ascii="Times New Roman" w:eastAsia="Times New Roman" w:hAnsi="Times New Roman" w:cs="Times New Roman"/>
                <w:b/>
                <w:i/>
                <w:snapToGrid w:val="0"/>
                <w:lang w:eastAsia="ru-RU"/>
              </w:rPr>
            </w:pPr>
            <w:r w:rsidRPr="0066263B">
              <w:rPr>
                <w:rFonts w:ascii="Times New Roman" w:eastAsia="Times New Roman" w:hAnsi="Times New Roman" w:cs="Times New Roman"/>
                <w:b/>
                <w:i/>
                <w:snapToGrid w:val="0"/>
                <w:lang w:eastAsia="ru-RU"/>
              </w:rPr>
              <w:t>2019</w:t>
            </w:r>
          </w:p>
        </w:tc>
        <w:tc>
          <w:tcPr>
            <w:tcW w:w="1164" w:type="dxa"/>
            <w:vAlign w:val="center"/>
          </w:tcPr>
          <w:p w:rsidR="00B443B1" w:rsidRPr="0066263B" w:rsidRDefault="00B443B1" w:rsidP="00B63AAA">
            <w:pPr>
              <w:spacing w:before="20" w:after="20"/>
              <w:jc w:val="center"/>
              <w:rPr>
                <w:rFonts w:ascii="Times New Roman" w:eastAsia="Times New Roman" w:hAnsi="Times New Roman" w:cs="Times New Roman"/>
                <w:b/>
                <w:i/>
                <w:snapToGrid w:val="0"/>
                <w:lang w:eastAsia="ru-RU"/>
              </w:rPr>
            </w:pPr>
            <w:r w:rsidRPr="0066263B">
              <w:rPr>
                <w:rFonts w:ascii="Times New Roman" w:eastAsia="Times New Roman" w:hAnsi="Times New Roman" w:cs="Times New Roman"/>
                <w:b/>
                <w:i/>
                <w:snapToGrid w:val="0"/>
                <w:lang w:eastAsia="ru-RU"/>
              </w:rPr>
              <w:t>2020</w:t>
            </w:r>
          </w:p>
        </w:tc>
        <w:tc>
          <w:tcPr>
            <w:tcW w:w="1165" w:type="dxa"/>
          </w:tcPr>
          <w:p w:rsidR="00B443B1" w:rsidRPr="0066263B" w:rsidRDefault="00B443B1" w:rsidP="00B63AAA">
            <w:pPr>
              <w:spacing w:before="20" w:after="20"/>
              <w:jc w:val="center"/>
              <w:rPr>
                <w:rFonts w:ascii="Times New Roman" w:eastAsia="Times New Roman" w:hAnsi="Times New Roman" w:cs="Times New Roman"/>
                <w:b/>
                <w:i/>
                <w:snapToGrid w:val="0"/>
                <w:lang w:eastAsia="ru-RU"/>
              </w:rPr>
            </w:pPr>
            <w:r w:rsidRPr="0066263B">
              <w:rPr>
                <w:rFonts w:ascii="Times New Roman" w:eastAsia="Times New Roman" w:hAnsi="Times New Roman" w:cs="Times New Roman"/>
                <w:b/>
                <w:i/>
                <w:snapToGrid w:val="0"/>
                <w:lang w:eastAsia="ru-RU"/>
              </w:rPr>
              <w:t>2021</w:t>
            </w:r>
          </w:p>
        </w:tc>
      </w:tr>
      <w:tr w:rsidR="00B443B1" w:rsidRPr="0066263B" w:rsidTr="00B443B1">
        <w:trPr>
          <w:jc w:val="center"/>
        </w:trPr>
        <w:tc>
          <w:tcPr>
            <w:tcW w:w="5699" w:type="dxa"/>
            <w:gridSpan w:val="2"/>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Состояло на диспансерном учёте в отчётном году</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2760</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2931</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3052</w:t>
            </w:r>
          </w:p>
        </w:tc>
      </w:tr>
      <w:tr w:rsidR="00B443B1" w:rsidRPr="0066263B" w:rsidTr="00B443B1">
        <w:trPr>
          <w:jc w:val="center"/>
        </w:trPr>
        <w:tc>
          <w:tcPr>
            <w:tcW w:w="5699" w:type="dxa"/>
            <w:gridSpan w:val="2"/>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Состоит на диспансерном учёте на конец отчётного года</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2585</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2742</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2800</w:t>
            </w:r>
          </w:p>
        </w:tc>
      </w:tr>
      <w:tr w:rsidR="00B443B1" w:rsidRPr="0066263B" w:rsidTr="00B443B1">
        <w:trPr>
          <w:trHeight w:val="146"/>
          <w:jc w:val="center"/>
        </w:trPr>
        <w:tc>
          <w:tcPr>
            <w:tcW w:w="5699" w:type="dxa"/>
            <w:gridSpan w:val="2"/>
          </w:tcPr>
          <w:p w:rsidR="00B443B1" w:rsidRPr="0066263B" w:rsidRDefault="00B443B1" w:rsidP="00160BD2">
            <w:pPr>
              <w:numPr>
                <w:ilvl w:val="0"/>
                <w:numId w:val="37"/>
              </w:numPr>
              <w:spacing w:before="20" w:after="20"/>
              <w:ind w:left="386" w:hanging="142"/>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со </w:t>
            </w:r>
            <w:proofErr w:type="spellStart"/>
            <w:r w:rsidRPr="0066263B">
              <w:rPr>
                <w:rFonts w:ascii="Times New Roman" w:eastAsia="Times New Roman" w:hAnsi="Times New Roman" w:cs="Times New Roman"/>
                <w:lang w:eastAsia="ru-RU"/>
              </w:rPr>
              <w:t>СПИДом</w:t>
            </w:r>
            <w:proofErr w:type="spellEnd"/>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202</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165</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139</w:t>
            </w:r>
          </w:p>
        </w:tc>
      </w:tr>
      <w:tr w:rsidR="00B443B1" w:rsidRPr="0066263B" w:rsidTr="00B443B1">
        <w:trPr>
          <w:jc w:val="center"/>
        </w:trPr>
        <w:tc>
          <w:tcPr>
            <w:tcW w:w="5699" w:type="dxa"/>
            <w:gridSpan w:val="2"/>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Прошли диспансеризацию в отчётном году</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2499</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2622</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2753</w:t>
            </w:r>
          </w:p>
        </w:tc>
      </w:tr>
      <w:tr w:rsidR="00B443B1" w:rsidRPr="0066263B" w:rsidTr="00B443B1">
        <w:trPr>
          <w:trHeight w:val="240"/>
          <w:jc w:val="center"/>
        </w:trPr>
        <w:tc>
          <w:tcPr>
            <w:tcW w:w="2059" w:type="dxa"/>
            <w:vMerge w:val="restart"/>
            <w:vAlign w:val="center"/>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обследованы</w:t>
            </w:r>
          </w:p>
        </w:tc>
        <w:tc>
          <w:tcPr>
            <w:tcW w:w="3640" w:type="dxa"/>
            <w:vAlign w:val="center"/>
          </w:tcPr>
          <w:p w:rsidR="00B443B1" w:rsidRPr="0066263B" w:rsidRDefault="00B443B1" w:rsidP="00B63AAA">
            <w:pPr>
              <w:spacing w:before="20" w:after="20"/>
              <w:jc w:val="left"/>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на иммунный статус</w:t>
            </w:r>
          </w:p>
        </w:tc>
        <w:tc>
          <w:tcPr>
            <w:tcW w:w="1164" w:type="dxa"/>
            <w:vAlign w:val="center"/>
          </w:tcPr>
          <w:p w:rsidR="00B443B1" w:rsidRPr="0066263B" w:rsidRDefault="00B443B1" w:rsidP="00B63AAA">
            <w:pPr>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2190</w:t>
            </w:r>
          </w:p>
        </w:tc>
        <w:tc>
          <w:tcPr>
            <w:tcW w:w="1164" w:type="dxa"/>
            <w:vAlign w:val="center"/>
          </w:tcPr>
          <w:p w:rsidR="00B443B1" w:rsidRPr="0066263B" w:rsidRDefault="00B443B1" w:rsidP="00B63AAA">
            <w:pPr>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2622</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2753</w:t>
            </w:r>
          </w:p>
        </w:tc>
      </w:tr>
      <w:tr w:rsidR="00B443B1" w:rsidRPr="0066263B" w:rsidTr="00B443B1">
        <w:trPr>
          <w:jc w:val="center"/>
        </w:trPr>
        <w:tc>
          <w:tcPr>
            <w:tcW w:w="2059" w:type="dxa"/>
            <w:vMerge/>
          </w:tcPr>
          <w:p w:rsidR="00B443B1" w:rsidRPr="0066263B" w:rsidRDefault="00B443B1" w:rsidP="00B63AAA">
            <w:pPr>
              <w:spacing w:before="20" w:after="20"/>
              <w:ind w:left="57"/>
              <w:jc w:val="left"/>
              <w:rPr>
                <w:rFonts w:ascii="Times New Roman" w:eastAsia="Times New Roman" w:hAnsi="Times New Roman" w:cs="Times New Roman"/>
                <w:lang w:eastAsia="ru-RU"/>
              </w:rPr>
            </w:pPr>
          </w:p>
        </w:tc>
        <w:tc>
          <w:tcPr>
            <w:tcW w:w="3640" w:type="dxa"/>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на вирусную нагрузку</w:t>
            </w:r>
          </w:p>
        </w:tc>
        <w:tc>
          <w:tcPr>
            <w:tcW w:w="1164" w:type="dxa"/>
            <w:vAlign w:val="center"/>
          </w:tcPr>
          <w:p w:rsidR="00B443B1" w:rsidRPr="0066263B" w:rsidRDefault="00B443B1" w:rsidP="00B63AAA">
            <w:pPr>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2180</w:t>
            </w:r>
          </w:p>
        </w:tc>
        <w:tc>
          <w:tcPr>
            <w:tcW w:w="1164" w:type="dxa"/>
            <w:vAlign w:val="center"/>
          </w:tcPr>
          <w:p w:rsidR="00B443B1" w:rsidRPr="0066263B" w:rsidRDefault="00B443B1" w:rsidP="00B63AAA">
            <w:pPr>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2622</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2753</w:t>
            </w:r>
          </w:p>
        </w:tc>
      </w:tr>
      <w:tr w:rsidR="00B443B1" w:rsidRPr="0066263B" w:rsidTr="00B443B1">
        <w:trPr>
          <w:jc w:val="center"/>
        </w:trPr>
        <w:tc>
          <w:tcPr>
            <w:tcW w:w="2059" w:type="dxa"/>
            <w:vMerge/>
          </w:tcPr>
          <w:p w:rsidR="00B443B1" w:rsidRPr="0066263B" w:rsidRDefault="00B443B1" w:rsidP="00B63AAA">
            <w:pPr>
              <w:spacing w:before="20" w:after="20"/>
              <w:ind w:left="57"/>
              <w:jc w:val="left"/>
              <w:rPr>
                <w:rFonts w:ascii="Times New Roman" w:eastAsia="Times New Roman" w:hAnsi="Times New Roman" w:cs="Times New Roman"/>
                <w:lang w:eastAsia="ru-RU"/>
              </w:rPr>
            </w:pPr>
          </w:p>
        </w:tc>
        <w:tc>
          <w:tcPr>
            <w:tcW w:w="3640" w:type="dxa"/>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на туберкулёз</w:t>
            </w:r>
          </w:p>
        </w:tc>
        <w:tc>
          <w:tcPr>
            <w:tcW w:w="1164" w:type="dxa"/>
            <w:vAlign w:val="center"/>
          </w:tcPr>
          <w:p w:rsidR="00B443B1" w:rsidRPr="0066263B" w:rsidRDefault="00B443B1" w:rsidP="00B63AAA">
            <w:pPr>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2140</w:t>
            </w:r>
          </w:p>
        </w:tc>
        <w:tc>
          <w:tcPr>
            <w:tcW w:w="1164" w:type="dxa"/>
            <w:vAlign w:val="center"/>
          </w:tcPr>
          <w:p w:rsidR="00B443B1" w:rsidRPr="0066263B" w:rsidRDefault="00B443B1" w:rsidP="00B63AAA">
            <w:pPr>
              <w:spacing w:before="20" w:after="2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2610</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2753</w:t>
            </w:r>
          </w:p>
        </w:tc>
      </w:tr>
      <w:tr w:rsidR="00B443B1" w:rsidRPr="0066263B" w:rsidTr="00B443B1">
        <w:trPr>
          <w:trHeight w:val="167"/>
          <w:jc w:val="center"/>
        </w:trPr>
        <w:tc>
          <w:tcPr>
            <w:tcW w:w="5699" w:type="dxa"/>
            <w:gridSpan w:val="2"/>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Получали ВААРТ</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1985</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2437</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2658</w:t>
            </w:r>
          </w:p>
        </w:tc>
      </w:tr>
      <w:tr w:rsidR="00B443B1" w:rsidRPr="0066263B" w:rsidTr="00B443B1">
        <w:trPr>
          <w:jc w:val="center"/>
        </w:trPr>
        <w:tc>
          <w:tcPr>
            <w:tcW w:w="5699" w:type="dxa"/>
            <w:gridSpan w:val="2"/>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Больных с сочетанной патологией ВИЧ + туберкулёз</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63</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66</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64</w:t>
            </w:r>
          </w:p>
        </w:tc>
      </w:tr>
      <w:tr w:rsidR="00B443B1" w:rsidRPr="0066263B" w:rsidTr="00B443B1">
        <w:trPr>
          <w:jc w:val="center"/>
        </w:trPr>
        <w:tc>
          <w:tcPr>
            <w:tcW w:w="5699" w:type="dxa"/>
            <w:gridSpan w:val="2"/>
          </w:tcPr>
          <w:p w:rsidR="00B443B1" w:rsidRPr="0066263B" w:rsidRDefault="00B443B1" w:rsidP="00160BD2">
            <w:pPr>
              <w:numPr>
                <w:ilvl w:val="0"/>
                <w:numId w:val="37"/>
              </w:numPr>
              <w:spacing w:before="20" w:after="20"/>
              <w:ind w:left="386" w:hanging="142"/>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т.ч. выявлено в отчётном году</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26</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8</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22</w:t>
            </w:r>
          </w:p>
        </w:tc>
      </w:tr>
      <w:tr w:rsidR="00B443B1" w:rsidRPr="0066263B" w:rsidTr="00B443B1">
        <w:trPr>
          <w:jc w:val="center"/>
        </w:trPr>
        <w:tc>
          <w:tcPr>
            <w:tcW w:w="5699" w:type="dxa"/>
            <w:gridSpan w:val="2"/>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Получали лечение по поводу туберкулёза</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49</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66</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64</w:t>
            </w:r>
          </w:p>
        </w:tc>
      </w:tr>
      <w:tr w:rsidR="00B443B1" w:rsidRPr="0066263B" w:rsidTr="00B443B1">
        <w:trPr>
          <w:jc w:val="center"/>
        </w:trPr>
        <w:tc>
          <w:tcPr>
            <w:tcW w:w="5699" w:type="dxa"/>
            <w:gridSpan w:val="2"/>
          </w:tcPr>
          <w:p w:rsidR="00B443B1" w:rsidRPr="0066263B" w:rsidRDefault="00B443B1" w:rsidP="00B63AAA">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Получали </w:t>
            </w:r>
            <w:proofErr w:type="spellStart"/>
            <w:r w:rsidRPr="0066263B">
              <w:rPr>
                <w:rFonts w:ascii="Times New Roman" w:eastAsia="Times New Roman" w:hAnsi="Times New Roman" w:cs="Times New Roman"/>
                <w:lang w:eastAsia="ru-RU"/>
              </w:rPr>
              <w:t>химиопрофилактику</w:t>
            </w:r>
            <w:proofErr w:type="spellEnd"/>
            <w:r w:rsidRPr="0066263B">
              <w:rPr>
                <w:rFonts w:ascii="Times New Roman" w:eastAsia="Times New Roman" w:hAnsi="Times New Roman" w:cs="Times New Roman"/>
                <w:lang w:eastAsia="ru-RU"/>
              </w:rPr>
              <w:t xml:space="preserve"> туберкулёза</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1315</w:t>
            </w:r>
          </w:p>
        </w:tc>
        <w:tc>
          <w:tcPr>
            <w:tcW w:w="1164" w:type="dxa"/>
            <w:vAlign w:val="center"/>
          </w:tcPr>
          <w:p w:rsidR="00B443B1" w:rsidRPr="0066263B" w:rsidRDefault="00B443B1" w:rsidP="00B63AAA">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1968</w:t>
            </w:r>
          </w:p>
        </w:tc>
        <w:tc>
          <w:tcPr>
            <w:tcW w:w="1165" w:type="dxa"/>
            <w:vAlign w:val="center"/>
          </w:tcPr>
          <w:p w:rsidR="00B443B1" w:rsidRPr="0066263B" w:rsidRDefault="00B443B1" w:rsidP="00B443B1">
            <w:pPr>
              <w:spacing w:before="0" w:after="0"/>
              <w:jc w:val="center"/>
              <w:rPr>
                <w:rFonts w:ascii="Times New Roman" w:eastAsia="Times New Roman" w:hAnsi="Times New Roman" w:cs="Times New Roman"/>
                <w:snapToGrid w:val="0"/>
                <w:lang w:eastAsia="ru-RU"/>
              </w:rPr>
            </w:pPr>
            <w:r w:rsidRPr="0066263B">
              <w:rPr>
                <w:rFonts w:ascii="Times New Roman" w:eastAsia="Times New Roman" w:hAnsi="Times New Roman" w:cs="Times New Roman"/>
                <w:snapToGrid w:val="0"/>
                <w:lang w:eastAsia="ru-RU"/>
              </w:rPr>
              <w:t>1671</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0259F1" w:rsidRPr="0066263B" w:rsidRDefault="000259F1">
      <w:pP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br w:type="page"/>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lastRenderedPageBreak/>
        <w:t>Заболевания, передающиеся половым путём</w:t>
      </w:r>
    </w:p>
    <w:p w:rsidR="00324483" w:rsidRPr="0066263B" w:rsidRDefault="00324483" w:rsidP="00324483">
      <w:pPr>
        <w:spacing w:before="0" w:after="0"/>
        <w:ind w:firstLine="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Сифилис</w:t>
      </w:r>
    </w:p>
    <w:p w:rsidR="00B443B1" w:rsidRPr="0066263B" w:rsidRDefault="00B443B1" w:rsidP="00B443B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За </w:t>
      </w:r>
      <w:proofErr w:type="gramStart"/>
      <w:r w:rsidRPr="0066263B">
        <w:rPr>
          <w:rFonts w:ascii="Times New Roman" w:eastAsia="Times New Roman" w:hAnsi="Times New Roman" w:cs="Times New Roman"/>
          <w:sz w:val="24"/>
          <w:szCs w:val="24"/>
          <w:lang w:eastAsia="ru-RU"/>
        </w:rPr>
        <w:t>последние</w:t>
      </w:r>
      <w:proofErr w:type="gramEnd"/>
      <w:r w:rsidRPr="0066263B">
        <w:rPr>
          <w:rFonts w:ascii="Times New Roman" w:eastAsia="Times New Roman" w:hAnsi="Times New Roman" w:cs="Times New Roman"/>
          <w:sz w:val="24"/>
          <w:szCs w:val="24"/>
          <w:lang w:eastAsia="ru-RU"/>
        </w:rPr>
        <w:t xml:space="preserve"> 6 лет заболеваемость сифилисом снизилась в 2 раза. В 2021 году в сравнении с 2020 годом показатель заболеваемости сифилисом снизился на 30% и составил 6,68 на 100 тысяч населения, что ниже заболеваемости по РФ (13,12 на 100 тыс. нас.).</w:t>
      </w:r>
    </w:p>
    <w:p w:rsidR="00B443B1" w:rsidRPr="0066263B" w:rsidRDefault="00B443B1" w:rsidP="00B443B1">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98</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сифилисом</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3"/>
        <w:gridCol w:w="1078"/>
        <w:gridCol w:w="743"/>
        <w:gridCol w:w="1078"/>
        <w:gridCol w:w="752"/>
        <w:gridCol w:w="1078"/>
        <w:gridCol w:w="770"/>
        <w:gridCol w:w="1078"/>
        <w:gridCol w:w="770"/>
        <w:gridCol w:w="1078"/>
      </w:tblGrid>
      <w:tr w:rsidR="00B443B1" w:rsidRPr="0066263B" w:rsidTr="00B443B1">
        <w:trPr>
          <w:cantSplit/>
        </w:trPr>
        <w:tc>
          <w:tcPr>
            <w:tcW w:w="953"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1003"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1008"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B443B1" w:rsidRPr="0066263B" w:rsidTr="00B443B1">
        <w:tc>
          <w:tcPr>
            <w:tcW w:w="360"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09"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1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2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2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r>
      <w:tr w:rsidR="00B443B1" w:rsidRPr="0066263B" w:rsidTr="00B443B1">
        <w:tc>
          <w:tcPr>
            <w:tcW w:w="360"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183</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15,04</w:t>
            </w:r>
          </w:p>
        </w:tc>
        <w:tc>
          <w:tcPr>
            <w:tcW w:w="409"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9,18</w:t>
            </w:r>
          </w:p>
        </w:tc>
        <w:tc>
          <w:tcPr>
            <w:tcW w:w="41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128</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10,63</w:t>
            </w:r>
          </w:p>
        </w:tc>
        <w:tc>
          <w:tcPr>
            <w:tcW w:w="42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103</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8,67</w:t>
            </w:r>
          </w:p>
        </w:tc>
        <w:tc>
          <w:tcPr>
            <w:tcW w:w="42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80</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6,68</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B443B1" w:rsidRPr="0066263B" w:rsidRDefault="00B443B1" w:rsidP="00B443B1">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структуре заболевших на городских жителей приходится 90</w:t>
      </w:r>
      <w:r w:rsidR="004F069E">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 (2020 – 77,7%), на сельских жителей – 10</w:t>
      </w:r>
      <w:r w:rsidR="004F069E">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 (2020 – 22,3%).</w:t>
      </w:r>
      <w:proofErr w:type="gramEnd"/>
      <w:r w:rsidRPr="0066263B">
        <w:rPr>
          <w:rFonts w:ascii="Times New Roman" w:eastAsia="Times New Roman" w:hAnsi="Times New Roman" w:cs="Times New Roman"/>
          <w:sz w:val="24"/>
          <w:szCs w:val="24"/>
          <w:lang w:eastAsia="ru-RU"/>
        </w:rPr>
        <w:t xml:space="preserve"> Все заболевшие – взрослые (2020 – в возрастной группе до 15-17 лет зарегистрирован 1 случай сифилиса).</w:t>
      </w:r>
    </w:p>
    <w:p w:rsidR="00324483" w:rsidRPr="0066263B" w:rsidRDefault="00324483" w:rsidP="00324483">
      <w:pPr>
        <w:spacing w:before="120" w:after="0"/>
        <w:ind w:firstLine="709"/>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Гонорея</w:t>
      </w:r>
    </w:p>
    <w:p w:rsidR="00B443B1" w:rsidRPr="0066263B" w:rsidRDefault="00B443B1" w:rsidP="00B443B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Заболеваемость гонореей за </w:t>
      </w:r>
      <w:proofErr w:type="gramStart"/>
      <w:r w:rsidRPr="0066263B">
        <w:rPr>
          <w:rFonts w:ascii="Times New Roman" w:eastAsia="Times New Roman" w:hAnsi="Times New Roman" w:cs="Times New Roman"/>
          <w:sz w:val="24"/>
          <w:szCs w:val="24"/>
          <w:lang w:eastAsia="ru-RU"/>
        </w:rPr>
        <w:t>последние</w:t>
      </w:r>
      <w:proofErr w:type="gramEnd"/>
      <w:r w:rsidRPr="0066263B">
        <w:rPr>
          <w:rFonts w:ascii="Times New Roman" w:eastAsia="Times New Roman" w:hAnsi="Times New Roman" w:cs="Times New Roman"/>
          <w:sz w:val="24"/>
          <w:szCs w:val="24"/>
          <w:lang w:eastAsia="ru-RU"/>
        </w:rPr>
        <w:t xml:space="preserve"> 6 лет снизилась в 2,1 раза. В 2021 году в сравнении с 2020 годом заболеваемость гонореей возросла в 1,6 раза и составила 2,09 на 100 тысяч населения (2020 – 1,26 на 100 тыс. нас</w:t>
      </w:r>
      <w:proofErr w:type="gramStart"/>
      <w:r w:rsidRPr="0066263B">
        <w:rPr>
          <w:rFonts w:ascii="Times New Roman" w:eastAsia="Times New Roman" w:hAnsi="Times New Roman" w:cs="Times New Roman"/>
          <w:sz w:val="24"/>
          <w:szCs w:val="24"/>
          <w:lang w:eastAsia="ru-RU"/>
        </w:rPr>
        <w:t xml:space="preserve">.; </w:t>
      </w:r>
      <w:proofErr w:type="gramEnd"/>
      <w:r w:rsidRPr="0066263B">
        <w:rPr>
          <w:rFonts w:ascii="Times New Roman" w:eastAsia="Times New Roman" w:hAnsi="Times New Roman" w:cs="Times New Roman"/>
          <w:sz w:val="24"/>
          <w:szCs w:val="24"/>
          <w:lang w:eastAsia="ru-RU"/>
        </w:rPr>
        <w:t>РФ – 7,06 на 100 тыс. нас.).</w:t>
      </w:r>
    </w:p>
    <w:p w:rsidR="00B443B1" w:rsidRPr="0066263B" w:rsidRDefault="00B443B1" w:rsidP="00864F3F">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99</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гонорей</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1078"/>
        <w:gridCol w:w="744"/>
        <w:gridCol w:w="1079"/>
        <w:gridCol w:w="750"/>
        <w:gridCol w:w="1079"/>
        <w:gridCol w:w="774"/>
        <w:gridCol w:w="1079"/>
        <w:gridCol w:w="774"/>
        <w:gridCol w:w="1079"/>
      </w:tblGrid>
      <w:tr w:rsidR="00B443B1" w:rsidRPr="0066263B" w:rsidTr="00B443B1">
        <w:trPr>
          <w:cantSplit/>
        </w:trPr>
        <w:tc>
          <w:tcPr>
            <w:tcW w:w="948"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1004"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1007"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020"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020" w:type="pct"/>
            <w:gridSpan w:val="2"/>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B443B1" w:rsidRPr="0066263B" w:rsidTr="00B443B1">
        <w:tc>
          <w:tcPr>
            <w:tcW w:w="355"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10"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13"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26"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26"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864F3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r>
      <w:tr w:rsidR="00B443B1" w:rsidRPr="0066263B" w:rsidTr="00B443B1">
        <w:tc>
          <w:tcPr>
            <w:tcW w:w="355"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46</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3,78</w:t>
            </w:r>
          </w:p>
        </w:tc>
        <w:tc>
          <w:tcPr>
            <w:tcW w:w="410"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1,74</w:t>
            </w:r>
          </w:p>
        </w:tc>
        <w:tc>
          <w:tcPr>
            <w:tcW w:w="413"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2,08</w:t>
            </w:r>
          </w:p>
        </w:tc>
        <w:tc>
          <w:tcPr>
            <w:tcW w:w="426"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1,26</w:t>
            </w:r>
          </w:p>
        </w:tc>
        <w:tc>
          <w:tcPr>
            <w:tcW w:w="426"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w:t>
            </w:r>
          </w:p>
        </w:tc>
        <w:tc>
          <w:tcPr>
            <w:tcW w:w="594" w:type="pct"/>
            <w:tcBorders>
              <w:top w:val="single" w:sz="4" w:space="0" w:color="auto"/>
              <w:left w:val="single" w:sz="4" w:space="0" w:color="auto"/>
              <w:bottom w:val="single" w:sz="4" w:space="0" w:color="auto"/>
              <w:right w:val="single" w:sz="4" w:space="0" w:color="auto"/>
            </w:tcBorders>
            <w:vAlign w:val="center"/>
          </w:tcPr>
          <w:p w:rsidR="00B443B1" w:rsidRPr="0066263B" w:rsidRDefault="00B443B1" w:rsidP="00B443B1">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2,09</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B443B1" w:rsidRPr="0066263B" w:rsidRDefault="00B443B1" w:rsidP="00B443B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структуре </w:t>
      </w:r>
      <w:proofErr w:type="gramStart"/>
      <w:r w:rsidRPr="0066263B">
        <w:rPr>
          <w:rFonts w:ascii="Times New Roman" w:eastAsia="Times New Roman" w:hAnsi="Times New Roman" w:cs="Times New Roman"/>
          <w:sz w:val="24"/>
          <w:szCs w:val="24"/>
          <w:lang w:eastAsia="ru-RU"/>
        </w:rPr>
        <w:t>заболевших</w:t>
      </w:r>
      <w:proofErr w:type="gramEnd"/>
      <w:r w:rsidRPr="0066263B">
        <w:rPr>
          <w:rFonts w:ascii="Times New Roman" w:eastAsia="Times New Roman" w:hAnsi="Times New Roman" w:cs="Times New Roman"/>
          <w:sz w:val="24"/>
          <w:szCs w:val="24"/>
          <w:lang w:eastAsia="ru-RU"/>
        </w:rPr>
        <w:t xml:space="preserve"> городские жители составляют 92</w:t>
      </w:r>
      <w:r w:rsidR="004F069E">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 сельские жители – 8</w:t>
      </w:r>
      <w:r w:rsidR="004F069E">
        <w:rPr>
          <w:rFonts w:ascii="Times New Roman" w:eastAsia="Times New Roman" w:hAnsi="Times New Roman" w:cs="Times New Roman"/>
          <w:sz w:val="24"/>
          <w:szCs w:val="24"/>
          <w:lang w:eastAsia="ru-RU"/>
        </w:rPr>
        <w:t>,0,</w:t>
      </w:r>
      <w:r w:rsidRPr="0066263B">
        <w:rPr>
          <w:rFonts w:ascii="Times New Roman" w:eastAsia="Times New Roman" w:hAnsi="Times New Roman" w:cs="Times New Roman"/>
          <w:sz w:val="24"/>
          <w:szCs w:val="24"/>
          <w:lang w:eastAsia="ru-RU"/>
        </w:rPr>
        <w:t>%, все заболевшие – взрослые.</w:t>
      </w:r>
    </w:p>
    <w:p w:rsidR="00B443B1" w:rsidRPr="0066263B" w:rsidRDefault="00B443B1" w:rsidP="00B443B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вопросы состояния заболеваемости, диагностики и мер профилактики заболеваний, передающихся половым путём, рассмотрены на областных семинарах, обсуждались на медицинских конференциях и советах ЛПУ области, на совещаниях с работниками детских дошкольных учреждений и директорами школ.</w:t>
      </w:r>
    </w:p>
    <w:p w:rsidR="002014F7" w:rsidRPr="0066263B" w:rsidRDefault="002014F7" w:rsidP="00864F3F">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Педикулёз</w:t>
      </w:r>
    </w:p>
    <w:p w:rsidR="00B443B1" w:rsidRPr="0066263B" w:rsidRDefault="00B443B1" w:rsidP="00B443B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на территории Брянской области зарегистрировано 248 случаев педикулёза или 20,72 на 100 тысяч населения (2020 – 422 сл. или 35,52 на 100 тыс. нас.), снижение поражённости педикулёзом – в 1,7 раза.</w:t>
      </w:r>
    </w:p>
    <w:p w:rsidR="00B443B1" w:rsidRPr="0066263B" w:rsidRDefault="00B443B1" w:rsidP="00B443B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Выше среднеобластного показателя случаи педикулёза регистрировались на </w:t>
      </w:r>
      <w:r w:rsidR="004F069E">
        <w:rPr>
          <w:rFonts w:ascii="Times New Roman" w:eastAsia="Times New Roman" w:hAnsi="Times New Roman" w:cs="Times New Roman"/>
          <w:sz w:val="24"/>
          <w:szCs w:val="24"/>
          <w:lang w:eastAsia="ru-RU"/>
        </w:rPr>
        <w:t>6</w:t>
      </w:r>
      <w:r w:rsidRPr="0066263B">
        <w:rPr>
          <w:rFonts w:ascii="Times New Roman" w:eastAsia="Times New Roman" w:hAnsi="Times New Roman" w:cs="Times New Roman"/>
          <w:sz w:val="24"/>
          <w:szCs w:val="24"/>
          <w:lang w:eastAsia="ru-RU"/>
        </w:rPr>
        <w:t xml:space="preserve"> административных территориях: Новозыбковский район – в 3,7 раза, Дятьковский район – в 2,1 раза,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 – в 1,6 раза, Клинцовский</w:t>
      </w:r>
      <w:r w:rsidR="001E4860" w:rsidRPr="0066263B">
        <w:rPr>
          <w:rFonts w:ascii="Times New Roman" w:eastAsia="Times New Roman" w:hAnsi="Times New Roman" w:cs="Times New Roman"/>
          <w:sz w:val="24"/>
          <w:szCs w:val="24"/>
          <w:lang w:eastAsia="ru-RU"/>
        </w:rPr>
        <w:t xml:space="preserve"> и</w:t>
      </w:r>
      <w:r w:rsidRPr="0066263B">
        <w:rPr>
          <w:rFonts w:ascii="Times New Roman" w:eastAsia="Times New Roman" w:hAnsi="Times New Roman" w:cs="Times New Roman"/>
          <w:sz w:val="24"/>
          <w:szCs w:val="24"/>
          <w:lang w:eastAsia="ru-RU"/>
        </w:rPr>
        <w:t xml:space="preserve"> Брянский районы – на 42%, Мглинский район – на 40%</w:t>
      </w:r>
      <w:r w:rsidR="001E4860" w:rsidRPr="0066263B">
        <w:rPr>
          <w:rFonts w:ascii="Times New Roman" w:eastAsia="Times New Roman" w:hAnsi="Times New Roman" w:cs="Times New Roman"/>
          <w:sz w:val="24"/>
          <w:szCs w:val="24"/>
          <w:lang w:eastAsia="ru-RU"/>
        </w:rPr>
        <w:t>.</w:t>
      </w:r>
    </w:p>
    <w:p w:rsidR="00B443B1" w:rsidRPr="0066263B" w:rsidRDefault="00B443B1" w:rsidP="00B443B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ряде районов: Злынковский, Брасовский, Гордеевский, Дубровский, Карачевский, Жирятинский, Жуковский, Климовский, Клетнянский, Комаричский, Унечский, Суражский, Почепский случаи педикул</w:t>
      </w:r>
      <w:r w:rsidR="001E4860" w:rsidRPr="0066263B">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за не выявлялись, что видимо, свидетельствует о недостаточной работе по активному выявлению педикулёза.</w:t>
      </w:r>
    </w:p>
    <w:p w:rsidR="00864F3F" w:rsidRPr="0066263B" w:rsidRDefault="00864F3F" w:rsidP="00864F3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202</w:t>
      </w:r>
      <w:r w:rsidR="001E4860"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зарегистрировано:</w:t>
      </w:r>
    </w:p>
    <w:p w:rsidR="001E4860" w:rsidRPr="0066263B" w:rsidRDefault="001E4860" w:rsidP="001E4860">
      <w:pPr>
        <w:numPr>
          <w:ilvl w:val="0"/>
          <w:numId w:val="23"/>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взрослого населения – 84 случая педикулёза или 8,3 на 100 тысяч населения (2020 – 118 сл. или 12,3 на 100 тыс. нас.), снижение на 40%;</w:t>
      </w:r>
    </w:p>
    <w:p w:rsidR="001E4860" w:rsidRPr="0066263B" w:rsidRDefault="001E4860" w:rsidP="001E4860">
      <w:pPr>
        <w:numPr>
          <w:ilvl w:val="0"/>
          <w:numId w:val="23"/>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детей до 14 лет – 164 случая или 88,3 на 100 тысяч населения (2020 – 278</w:t>
      </w:r>
      <w:r w:rsidR="00B97A59">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сл. или 145,5 на 100 тыс. нас.), снижение в 1,7 раза;</w:t>
      </w:r>
    </w:p>
    <w:p w:rsidR="001E4860" w:rsidRPr="0066263B" w:rsidRDefault="001E4860" w:rsidP="001E4860">
      <w:pPr>
        <w:numPr>
          <w:ilvl w:val="0"/>
          <w:numId w:val="23"/>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подростков 15-17 лет – 29 случаев или 82,7 на 100 тысяч населения (2020 – 26 сл. или 73,8 на 100 тыс. нас.), рост на 12%.</w:t>
      </w:r>
    </w:p>
    <w:p w:rsidR="00864F3F" w:rsidRPr="0066263B" w:rsidRDefault="00864F3F" w:rsidP="00864F3F">
      <w:pPr>
        <w:spacing w:before="0" w:after="0"/>
        <w:ind w:firstLine="709"/>
        <w:rPr>
          <w:rFonts w:ascii="Times New Roman" w:eastAsia="Times New Roman" w:hAnsi="Times New Roman" w:cs="Times New Roman"/>
          <w:sz w:val="24"/>
          <w:szCs w:val="24"/>
          <w:lang w:eastAsia="ru-RU"/>
        </w:rPr>
      </w:pP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Высокий показатель поражённости педикулёзом среди детей до 14 лет, превышающий среднеобластной показатель зарегистрирован в Новозыбковском, Клинцовском, Дятьковском районах и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Брянске.</w:t>
      </w:r>
    </w:p>
    <w:p w:rsidR="001E4860" w:rsidRPr="0066263B" w:rsidRDefault="001E4860" w:rsidP="00864F3F">
      <w:pPr>
        <w:spacing w:before="0" w:after="0"/>
        <w:ind w:firstLine="709"/>
        <w:rPr>
          <w:rFonts w:ascii="Times New Roman" w:eastAsia="Times New Roman" w:hAnsi="Times New Roman" w:cs="Times New Roman"/>
          <w:sz w:val="24"/>
          <w:szCs w:val="24"/>
          <w:lang w:eastAsia="ru-RU"/>
        </w:rPr>
      </w:pPr>
    </w:p>
    <w:p w:rsidR="00864F3F" w:rsidRPr="0066263B" w:rsidRDefault="00864F3F" w:rsidP="00864F3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Поражённость педикулёзом среди детского населения распределилась следующим образом:</w:t>
      </w:r>
    </w:p>
    <w:p w:rsidR="001E4860" w:rsidRPr="0066263B" w:rsidRDefault="001E4860" w:rsidP="001E4860">
      <w:pPr>
        <w:numPr>
          <w:ilvl w:val="0"/>
          <w:numId w:val="23"/>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Дети до 2-х лет – 13 случаев педикулёза или 43,5 на 100 тысяч населения (2020 – 9 сл. или 28,46 на 100 тыс. нас.), рост </w:t>
      </w:r>
      <w:r w:rsidR="00B97A59">
        <w:rPr>
          <w:rFonts w:ascii="Times New Roman" w:eastAsia="Times New Roman" w:hAnsi="Times New Roman" w:cs="Times New Roman"/>
          <w:sz w:val="24"/>
          <w:szCs w:val="24"/>
          <w:lang w:eastAsia="ru-RU"/>
        </w:rPr>
        <w:t xml:space="preserve">на </w:t>
      </w:r>
      <w:r w:rsidRPr="0066263B">
        <w:rPr>
          <w:rFonts w:ascii="Times New Roman" w:eastAsia="Times New Roman" w:hAnsi="Times New Roman" w:cs="Times New Roman"/>
          <w:sz w:val="24"/>
          <w:szCs w:val="24"/>
          <w:lang w:eastAsia="ru-RU"/>
        </w:rPr>
        <w:t>44%.</w:t>
      </w:r>
    </w:p>
    <w:p w:rsidR="001E4860" w:rsidRPr="0066263B" w:rsidRDefault="001E4860" w:rsidP="001E4860">
      <w:pPr>
        <w:numPr>
          <w:ilvl w:val="0"/>
          <w:numId w:val="23"/>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Дети 3-6 лет – 19 случаев или 37,4 на 100 тысяч населения (2020 – 46 сл. или 87,75 на 100 тыс. нас.), снижение в 2,4 раза.</w:t>
      </w:r>
    </w:p>
    <w:p w:rsidR="001E4860" w:rsidRPr="0066263B" w:rsidRDefault="001E4860" w:rsidP="001E4860">
      <w:pPr>
        <w:numPr>
          <w:ilvl w:val="0"/>
          <w:numId w:val="23"/>
        </w:numPr>
        <w:spacing w:before="0" w:after="0"/>
        <w:ind w:left="851"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Школьники 7-14 лет – 132 случая или 125,7 на 100 тысяч населения (2020 – 223 сл. или 208,4 на 100 тыс. нас.), снижение в 1,7 раза.</w:t>
      </w:r>
    </w:p>
    <w:p w:rsidR="00864F3F" w:rsidRPr="0066263B" w:rsidRDefault="00864F3F"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NewRomanPS-BoldMT" w:hAnsi="Times New Roman" w:cs="Times New Roman"/>
          <w:b/>
          <w:bCs/>
          <w:i/>
          <w:sz w:val="24"/>
          <w:szCs w:val="24"/>
        </w:rPr>
      </w:pPr>
      <w:r w:rsidRPr="0066263B">
        <w:rPr>
          <w:rFonts w:ascii="Times New Roman" w:eastAsia="TimesNewRomanPS-BoldMT" w:hAnsi="Times New Roman" w:cs="Times New Roman"/>
          <w:b/>
          <w:bCs/>
          <w:i/>
          <w:sz w:val="24"/>
          <w:szCs w:val="24"/>
        </w:rPr>
        <w:t>Паразитарные заболевания</w:t>
      </w: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в Брянской области зарегистрировано 655 случаев паразитарных заболеваний, в том числе 579 гельминтозов и 17 случаев </w:t>
      </w:r>
      <w:proofErr w:type="spellStart"/>
      <w:r w:rsidRPr="0066263B">
        <w:rPr>
          <w:rFonts w:ascii="Times New Roman" w:eastAsia="Times New Roman" w:hAnsi="Times New Roman" w:cs="Times New Roman"/>
          <w:sz w:val="24"/>
          <w:szCs w:val="24"/>
          <w:lang w:eastAsia="ru-RU"/>
        </w:rPr>
        <w:t>протозоозов</w:t>
      </w:r>
      <w:proofErr w:type="spellEnd"/>
      <w:r w:rsidRPr="0066263B">
        <w:rPr>
          <w:rFonts w:ascii="Times New Roman" w:eastAsia="Times New Roman" w:hAnsi="Times New Roman" w:cs="Times New Roman"/>
          <w:sz w:val="24"/>
          <w:szCs w:val="24"/>
          <w:lang w:eastAsia="ru-RU"/>
        </w:rPr>
        <w:t>.</w:t>
      </w:r>
    </w:p>
    <w:p w:rsidR="00324483" w:rsidRPr="0066263B" w:rsidRDefault="001E4860" w:rsidP="001E4860">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176299" cy="2122998"/>
            <wp:effectExtent l="0" t="0" r="0" b="0"/>
            <wp:docPr id="8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92</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Структура заболеваемости гельминтозами</w:t>
      </w:r>
      <w:r w:rsidR="001E4860" w:rsidRPr="0066263B">
        <w:rPr>
          <w:rFonts w:ascii="Times New Roman" w:eastAsia="Times New Roman" w:hAnsi="Times New Roman" w:cs="Times New Roman"/>
          <w:lang w:eastAsia="ru-RU"/>
        </w:rPr>
        <w:t xml:space="preserve"> в 2021 году</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структуре заболеваемости гельминтозами на энтеробиоз приходится 72% от всей регистрируемой заболеваемости, аскаридоз – 28%. Не регистрировались случаи: трихоцефалёза, токсакароза, гименолепидоза, тениоза, тениаринхоза, трихинеллёза, эхинококкоза и дифиллоботриоза ранее </w:t>
      </w:r>
      <w:proofErr w:type="gramStart"/>
      <w:r w:rsidRPr="0066263B">
        <w:rPr>
          <w:rFonts w:ascii="Times New Roman" w:eastAsia="Times New Roman" w:hAnsi="Times New Roman" w:cs="Times New Roman"/>
          <w:sz w:val="24"/>
          <w:szCs w:val="24"/>
          <w:lang w:eastAsia="ru-RU"/>
        </w:rPr>
        <w:t>регистрируемых</w:t>
      </w:r>
      <w:proofErr w:type="gramEnd"/>
      <w:r w:rsidRPr="0066263B">
        <w:rPr>
          <w:rFonts w:ascii="Times New Roman" w:eastAsia="Times New Roman" w:hAnsi="Times New Roman" w:cs="Times New Roman"/>
          <w:sz w:val="24"/>
          <w:szCs w:val="24"/>
          <w:lang w:eastAsia="ru-RU"/>
        </w:rPr>
        <w:t xml:space="preserve"> на территории области.</w:t>
      </w:r>
    </w:p>
    <w:p w:rsidR="000259F1" w:rsidRPr="0066263B" w:rsidRDefault="000259F1">
      <w:pP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br w:type="page"/>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lastRenderedPageBreak/>
        <w:t>Энтеробиоз</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Самым массовым гельминтозом по распространению на территории области является энтеробиоз.</w:t>
      </w:r>
    </w:p>
    <w:p w:rsidR="001E4860" w:rsidRPr="0066263B" w:rsidRDefault="001E4860" w:rsidP="00324483">
      <w:pPr>
        <w:spacing w:before="0" w:after="0"/>
        <w:ind w:firstLine="709"/>
        <w:rPr>
          <w:rFonts w:ascii="Times New Roman" w:eastAsia="Times New Roman" w:hAnsi="Times New Roman" w:cs="Times New Roman"/>
          <w:sz w:val="24"/>
          <w:szCs w:val="24"/>
          <w:lang w:eastAsia="ru-RU"/>
        </w:rPr>
      </w:pPr>
    </w:p>
    <w:p w:rsidR="001E4860" w:rsidRPr="0066263B" w:rsidRDefault="001E4860" w:rsidP="001E4860">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2430245"/>
            <wp:effectExtent l="0" t="0" r="0" b="0"/>
            <wp:docPr id="87"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64F3F" w:rsidRPr="0066263B" w:rsidRDefault="00864F3F"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93</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энтеробиозом, на 100 тыс. населения</w:t>
      </w:r>
    </w:p>
    <w:p w:rsidR="00864F3F" w:rsidRPr="0066263B" w:rsidRDefault="00864F3F" w:rsidP="00324483">
      <w:pPr>
        <w:spacing w:before="0" w:after="0"/>
        <w:ind w:firstLine="709"/>
        <w:rPr>
          <w:rFonts w:ascii="Times New Roman" w:eastAsia="Times New Roman" w:hAnsi="Times New Roman" w:cs="Times New Roman"/>
          <w:sz w:val="24"/>
          <w:szCs w:val="24"/>
          <w:lang w:eastAsia="ru-RU"/>
        </w:rPr>
      </w:pP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За </w:t>
      </w:r>
      <w:proofErr w:type="gramStart"/>
      <w:r w:rsidRPr="0066263B">
        <w:rPr>
          <w:rFonts w:ascii="Times New Roman" w:eastAsia="Times New Roman" w:hAnsi="Times New Roman" w:cs="Times New Roman"/>
          <w:sz w:val="24"/>
          <w:szCs w:val="24"/>
          <w:lang w:eastAsia="ru-RU"/>
        </w:rPr>
        <w:t>последние</w:t>
      </w:r>
      <w:proofErr w:type="gramEnd"/>
      <w:r w:rsidRPr="0066263B">
        <w:rPr>
          <w:rFonts w:ascii="Times New Roman" w:eastAsia="Times New Roman" w:hAnsi="Times New Roman" w:cs="Times New Roman"/>
          <w:sz w:val="24"/>
          <w:szCs w:val="24"/>
          <w:lang w:eastAsia="ru-RU"/>
        </w:rPr>
        <w:t xml:space="preserve"> 13 лет заболеваемость энтеробиозом снизилась в 5,4 раза, самая высокая заболеваемость регистрировалась в 2009 году.</w:t>
      </w: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зарегистрировано 416 случаев энтеробиоза, показатель заболеваемости составил 34,75 на 100 тысяч населения, что на 7% ниже уровня 2020 года (2020 – 37,03 на 100 тыс. нас.). Заболеваемость регистрировалась на 19 административных территориях области.</w:t>
      </w: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Наиболее высокие показатели заболеваемости, превышающие среднеобластной показатель в 1,5 - 2,5 раза, зарегистрированы в Унечском, Суражском, Клинцовском, Злынковском, Новозыбковском</w:t>
      </w:r>
      <w:r w:rsidR="00B97A59">
        <w:rPr>
          <w:rFonts w:ascii="Times New Roman" w:eastAsia="Times New Roman" w:hAnsi="Times New Roman" w:cs="Times New Roman"/>
          <w:sz w:val="24"/>
          <w:szCs w:val="24"/>
          <w:lang w:eastAsia="ru-RU"/>
        </w:rPr>
        <w:t xml:space="preserve"> районах</w:t>
      </w:r>
      <w:r w:rsidRPr="0066263B">
        <w:rPr>
          <w:rFonts w:ascii="Times New Roman" w:eastAsia="Times New Roman" w:hAnsi="Times New Roman" w:cs="Times New Roman"/>
          <w:sz w:val="24"/>
          <w:szCs w:val="24"/>
          <w:lang w:eastAsia="ru-RU"/>
        </w:rPr>
        <w:t>. А в Климовском, Дятьковском, Жуковском районах превышение составило от 3 до 6 (Жуковский район) раз.</w:t>
      </w: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возрастной структуре инвазированных острицами преобладают дети в возрасте 7-14 лет (58,4%) и 3-6 лет (17,3%). Уровни заболеваемости энтеробиозом среди детей 7-14 лет и 3-6 лет были самыми высокими и составляли 231,4 и 172,3 на 100 тысяч населения соответственно.</w:t>
      </w: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Значительное преобладание детей в возрастной структуре заболеваемости энтеробиозом объясняется как сравнительно низким уровнем социально-гигиенических навыков у детей, так и тем, что в данной возрастной группе, в соответствии с действующими нормативными документами, значительно чаще проводится обследование </w:t>
      </w:r>
      <w:proofErr w:type="gramStart"/>
      <w:r w:rsidRPr="0066263B">
        <w:rPr>
          <w:rFonts w:ascii="Times New Roman" w:eastAsia="Times New Roman" w:hAnsi="Times New Roman" w:cs="Times New Roman"/>
          <w:sz w:val="24"/>
          <w:szCs w:val="24"/>
          <w:lang w:eastAsia="ru-RU"/>
        </w:rPr>
        <w:t>на</w:t>
      </w:r>
      <w:proofErr w:type="gramEnd"/>
      <w:r w:rsidRPr="0066263B">
        <w:rPr>
          <w:rFonts w:ascii="Times New Roman" w:eastAsia="Times New Roman" w:hAnsi="Times New Roman" w:cs="Times New Roman"/>
          <w:sz w:val="24"/>
          <w:szCs w:val="24"/>
          <w:lang w:eastAsia="ru-RU"/>
        </w:rPr>
        <w:t xml:space="preserve"> кишечные паразитозы, и соответственно, выше выявляемость инвазий.</w:t>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t>Аскаридоз</w:t>
      </w: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За </w:t>
      </w:r>
      <w:proofErr w:type="gramStart"/>
      <w:r w:rsidRPr="0066263B">
        <w:rPr>
          <w:rFonts w:ascii="Times New Roman" w:eastAsia="Times New Roman" w:hAnsi="Times New Roman" w:cs="Times New Roman"/>
          <w:sz w:val="24"/>
          <w:szCs w:val="24"/>
          <w:lang w:eastAsia="ru-RU"/>
        </w:rPr>
        <w:t>последние</w:t>
      </w:r>
      <w:proofErr w:type="gramEnd"/>
      <w:r w:rsidRPr="0066263B">
        <w:rPr>
          <w:rFonts w:ascii="Times New Roman" w:eastAsia="Times New Roman" w:hAnsi="Times New Roman" w:cs="Times New Roman"/>
          <w:sz w:val="24"/>
          <w:szCs w:val="24"/>
          <w:lang w:eastAsia="ru-RU"/>
        </w:rPr>
        <w:t xml:space="preserve"> 10 лет заболеваемость аскаридозом снизилась в 2,7 раза, поражённость – в 2,3 раза. Максимальный уровень заболеваемости и поражённости аскаридозом отмечался в 2011 году.</w:t>
      </w: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Заболеваемость аскаридозом регистрировалась на 16 административных территориях из 31.</w:t>
      </w: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Наиболее высокие показатели заболеваемости аскаридозом, превышающие среднеобластной показатель в 2-7 раза зарегистрированы в Клинцовском (34,78 на 100 </w:t>
      </w:r>
      <w:r w:rsidRPr="0066263B">
        <w:rPr>
          <w:rFonts w:ascii="Times New Roman" w:eastAsia="Times New Roman" w:hAnsi="Times New Roman" w:cs="Times New Roman"/>
          <w:sz w:val="24"/>
          <w:szCs w:val="24"/>
          <w:lang w:eastAsia="ru-RU"/>
        </w:rPr>
        <w:lastRenderedPageBreak/>
        <w:t xml:space="preserve">тыс. нас.), Гордеевском (80,72 на 100 тыс. нас.), Выгоничском (147,2 на 100 тыс. нас.), </w:t>
      </w:r>
      <w:proofErr w:type="gramStart"/>
      <w:r w:rsidRPr="0066263B">
        <w:rPr>
          <w:rFonts w:ascii="Times New Roman" w:eastAsia="Times New Roman" w:hAnsi="Times New Roman" w:cs="Times New Roman"/>
          <w:sz w:val="24"/>
          <w:szCs w:val="24"/>
          <w:lang w:eastAsia="ru-RU"/>
        </w:rPr>
        <w:t>Климовском</w:t>
      </w:r>
      <w:proofErr w:type="gramEnd"/>
      <w:r w:rsidRPr="0066263B">
        <w:rPr>
          <w:rFonts w:ascii="Times New Roman" w:eastAsia="Times New Roman" w:hAnsi="Times New Roman" w:cs="Times New Roman"/>
          <w:sz w:val="24"/>
          <w:szCs w:val="24"/>
          <w:lang w:eastAsia="ru-RU"/>
        </w:rPr>
        <w:t xml:space="preserve"> (219,9 на 100 тыс. нас.) районах и г. Клинцы (71,34 на 100 тыс. нас.).</w:t>
      </w: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p>
    <w:p w:rsidR="001E4860" w:rsidRPr="0066263B" w:rsidRDefault="001E4860" w:rsidP="001E4860">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зарегистрировано 163 случая аскаридоза, показатель заболеваемости составил 13,62 на 100 тысяч населения, что на 15% ниже, чем в 2020 году (2020 – 15,65 на 100 тыс. нас.).</w:t>
      </w:r>
    </w:p>
    <w:p w:rsidR="00B645E5" w:rsidRPr="0066263B" w:rsidRDefault="00B645E5" w:rsidP="001E4860">
      <w:pPr>
        <w:spacing w:before="0" w:after="0"/>
        <w:ind w:firstLine="709"/>
        <w:rPr>
          <w:rFonts w:ascii="Times New Roman" w:eastAsia="Times New Roman" w:hAnsi="Times New Roman" w:cs="Times New Roman"/>
          <w:sz w:val="24"/>
          <w:szCs w:val="24"/>
          <w:lang w:eastAsia="ru-RU"/>
        </w:rPr>
      </w:pPr>
    </w:p>
    <w:p w:rsidR="00B645E5" w:rsidRPr="0066263B" w:rsidRDefault="00B645E5" w:rsidP="00B645E5">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613253" cy="2880624"/>
            <wp:effectExtent l="0" t="0" r="0" b="0"/>
            <wp:docPr id="88"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B645E5" w:rsidRPr="0066263B" w:rsidRDefault="00B645E5" w:rsidP="001E4860">
      <w:pPr>
        <w:spacing w:before="0" w:after="0"/>
        <w:ind w:firstLine="709"/>
        <w:rPr>
          <w:rFonts w:ascii="Times New Roman" w:eastAsia="Times New Roman" w:hAnsi="Times New Roman" w:cs="Times New Roman"/>
          <w:sz w:val="24"/>
          <w:szCs w:val="24"/>
          <w:lang w:eastAsia="ru-RU"/>
        </w:rPr>
      </w:pPr>
    </w:p>
    <w:p w:rsidR="00F848AF" w:rsidRPr="0066263B" w:rsidRDefault="00F848AF" w:rsidP="00F848AF">
      <w:pPr>
        <w:spacing w:before="0" w:after="0"/>
        <w:jc w:val="center"/>
        <w:rPr>
          <w:rFonts w:ascii="Times New Roman" w:eastAsia="Times New Roman" w:hAnsi="Times New Roman" w:cs="Times New Roman"/>
          <w:sz w:val="28"/>
          <w:szCs w:val="28"/>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94</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аскаридозом, на 100 тыс. населения</w:t>
      </w:r>
    </w:p>
    <w:p w:rsidR="00CE054F" w:rsidRPr="0066263B" w:rsidRDefault="00CE054F" w:rsidP="00F848AF">
      <w:pPr>
        <w:spacing w:before="0" w:after="0"/>
        <w:ind w:firstLine="709"/>
        <w:rPr>
          <w:rFonts w:ascii="Times New Roman" w:eastAsia="Times New Roman" w:hAnsi="Times New Roman" w:cs="Times New Roman"/>
          <w:sz w:val="24"/>
          <w:szCs w:val="24"/>
          <w:lang w:eastAsia="ru-RU"/>
        </w:rPr>
      </w:pPr>
    </w:p>
    <w:p w:rsidR="00B645E5" w:rsidRPr="0066263B" w:rsidRDefault="00B645E5" w:rsidP="00B645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заболеваемость аскаридозом сельского населения (15,18 на 100 тыс. нас.) превышает заболеваемость среди городских жителей (12,92 на 100 тыс. нас.).</w:t>
      </w:r>
    </w:p>
    <w:p w:rsidR="00B645E5" w:rsidRPr="0066263B" w:rsidRDefault="00B645E5" w:rsidP="00B645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Самая высокая заболеваемость аскаридозом среди детей 1-2 года, зарегистрировано 30 случаев или 145,0 на 100 тысяч населения (2020 – 151,2 на 100 тыс. нас.). Среди детей 3-6 лет выявлен</w:t>
      </w:r>
      <w:r w:rsidR="00B97A59">
        <w:rPr>
          <w:rFonts w:ascii="Times New Roman" w:eastAsia="Times New Roman" w:hAnsi="Times New Roman" w:cs="Times New Roman"/>
          <w:sz w:val="24"/>
          <w:szCs w:val="24"/>
          <w:lang w:eastAsia="ru-RU"/>
        </w:rPr>
        <w:t>о</w:t>
      </w:r>
      <w:r w:rsidRPr="0066263B">
        <w:rPr>
          <w:rFonts w:ascii="Times New Roman" w:eastAsia="Times New Roman" w:hAnsi="Times New Roman" w:cs="Times New Roman"/>
          <w:sz w:val="24"/>
          <w:szCs w:val="24"/>
          <w:lang w:eastAsia="ru-RU"/>
        </w:rPr>
        <w:t xml:space="preserve"> 60 случаев данного заболевания, показатель 118,1 на 100 тысяч населения (2020 – 136,17 на 100 тыс. нас.).</w:t>
      </w:r>
    </w:p>
    <w:p w:rsidR="00B645E5" w:rsidRPr="0066263B" w:rsidRDefault="00B645E5" w:rsidP="00B645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Всего среди детей до 14 лет зарегистрировано 150 случаев аскаридоза, то есть 92,0% от всех заболевших (2020 – 84,4%).</w:t>
      </w:r>
    </w:p>
    <w:p w:rsidR="00B645E5" w:rsidRPr="0066263B" w:rsidRDefault="00B645E5" w:rsidP="00F848AF">
      <w:pPr>
        <w:spacing w:before="0" w:after="0"/>
        <w:ind w:firstLine="709"/>
        <w:rPr>
          <w:rFonts w:ascii="Times New Roman" w:eastAsia="Times New Roman" w:hAnsi="Times New Roman" w:cs="Times New Roman"/>
          <w:sz w:val="24"/>
          <w:szCs w:val="24"/>
          <w:lang w:eastAsia="ru-RU"/>
        </w:rPr>
      </w:pPr>
    </w:p>
    <w:p w:rsidR="00324483" w:rsidRPr="0066263B" w:rsidRDefault="00B645E5" w:rsidP="00B645E5">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318150" cy="2231136"/>
            <wp:effectExtent l="0" t="0" r="0" b="0"/>
            <wp:docPr id="89"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645E5" w:rsidRPr="0066263B" w:rsidRDefault="00B645E5"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95</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аскаридозом в разных возрастных группах населения,</w:t>
      </w:r>
      <w:r w:rsidRPr="0066263B">
        <w:rPr>
          <w:rFonts w:ascii="Times New Roman" w:eastAsia="Times New Roman" w:hAnsi="Times New Roman" w:cs="Times New Roman"/>
          <w:lang w:eastAsia="ru-RU"/>
        </w:rPr>
        <w:br/>
        <w:t>на 100 тыс. населения</w:t>
      </w:r>
    </w:p>
    <w:p w:rsidR="00324483" w:rsidRPr="0066263B" w:rsidRDefault="00324483" w:rsidP="00324483">
      <w:pPr>
        <w:spacing w:before="120" w:after="0"/>
        <w:jc w:val="center"/>
        <w:rPr>
          <w:rFonts w:ascii="Times New Roman" w:eastAsia="Times New Roman" w:hAnsi="Times New Roman" w:cs="Times New Roman"/>
          <w:bCs/>
          <w:i/>
          <w:sz w:val="24"/>
          <w:szCs w:val="24"/>
          <w:lang w:eastAsia="ru-RU"/>
        </w:rPr>
      </w:pPr>
      <w:r w:rsidRPr="0066263B">
        <w:rPr>
          <w:rFonts w:ascii="Times New Roman" w:eastAsia="Times New Roman" w:hAnsi="Times New Roman" w:cs="Times New Roman"/>
          <w:bCs/>
          <w:i/>
          <w:sz w:val="24"/>
          <w:szCs w:val="24"/>
          <w:lang w:eastAsia="ru-RU"/>
        </w:rPr>
        <w:lastRenderedPageBreak/>
        <w:t>Трихоцефалёз</w:t>
      </w:r>
    </w:p>
    <w:p w:rsidR="00B645E5" w:rsidRPr="0066263B" w:rsidRDefault="00B645E5" w:rsidP="00B645E5">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течение последних 13 лет заболеваемость трихоцефалёзом регистрировалась неравномерно: максимальный уровень отмечался в 2009 году.</w:t>
      </w:r>
    </w:p>
    <w:p w:rsidR="00B645E5" w:rsidRPr="0066263B" w:rsidRDefault="00B645E5" w:rsidP="00B645E5">
      <w:pPr>
        <w:spacing w:before="0" w:after="0"/>
        <w:rPr>
          <w:rFonts w:ascii="Times New Roman" w:eastAsia="Times New Roman" w:hAnsi="Times New Roman" w:cs="Times New Roman"/>
          <w:sz w:val="24"/>
          <w:szCs w:val="24"/>
          <w:lang w:eastAsia="ru-RU"/>
        </w:rPr>
      </w:pPr>
    </w:p>
    <w:p w:rsidR="00324483" w:rsidRPr="0066263B" w:rsidRDefault="00F848AF" w:rsidP="00F848AF">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15000" cy="2847975"/>
            <wp:effectExtent l="0" t="0" r="0" b="0"/>
            <wp:docPr id="251"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96</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Динамика заболеваемости трихоцефалёзом, на 100 тыс. населения</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F848AF" w:rsidRPr="0066263B" w:rsidRDefault="00F848AF" w:rsidP="00F848A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2019-202</w:t>
      </w:r>
      <w:r w:rsidR="00B645E5"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г.г. в Брянской области случаев трихоцефалёза не регистрировались.</w:t>
      </w:r>
    </w:p>
    <w:p w:rsidR="002A5871" w:rsidRPr="0066263B" w:rsidRDefault="002A5871" w:rsidP="00F848AF">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100</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Динамика заболеваемости трихоцефалёзом</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1078"/>
        <w:gridCol w:w="766"/>
        <w:gridCol w:w="1078"/>
        <w:gridCol w:w="769"/>
        <w:gridCol w:w="1078"/>
        <w:gridCol w:w="791"/>
        <w:gridCol w:w="1078"/>
        <w:gridCol w:w="791"/>
        <w:gridCol w:w="1078"/>
      </w:tblGrid>
      <w:tr w:rsidR="004042EA" w:rsidRPr="0066263B" w:rsidTr="004042EA">
        <w:trPr>
          <w:cantSplit/>
          <w:trHeight w:val="175"/>
        </w:trPr>
        <w:tc>
          <w:tcPr>
            <w:tcW w:w="955"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1004"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1006"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1018"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4042EA" w:rsidRPr="0066263B" w:rsidTr="004042EA">
        <w:trPr>
          <w:trHeight w:val="477"/>
        </w:trPr>
        <w:tc>
          <w:tcPr>
            <w:tcW w:w="368"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1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19"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31"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c>
          <w:tcPr>
            <w:tcW w:w="431"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58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на 100</w:t>
            </w:r>
            <w:r w:rsidRPr="0066263B">
              <w:rPr>
                <w:rFonts w:ascii="Times New Roman" w:eastAsia="Times New Roman" w:hAnsi="Times New Roman" w:cs="Times New Roman"/>
                <w:b/>
                <w:i/>
                <w:lang w:eastAsia="ru-RU"/>
              </w:rPr>
              <w:br/>
              <w:t>тыс</w:t>
            </w:r>
            <w:proofErr w:type="gramStart"/>
            <w:r w:rsidRPr="0066263B">
              <w:rPr>
                <w:rFonts w:ascii="Times New Roman" w:eastAsia="Times New Roman" w:hAnsi="Times New Roman" w:cs="Times New Roman"/>
                <w:b/>
                <w:i/>
                <w:lang w:eastAsia="ru-RU"/>
              </w:rPr>
              <w:t>.н</w:t>
            </w:r>
            <w:proofErr w:type="gramEnd"/>
            <w:r w:rsidRPr="0066263B">
              <w:rPr>
                <w:rFonts w:ascii="Times New Roman" w:eastAsia="Times New Roman" w:hAnsi="Times New Roman" w:cs="Times New Roman"/>
                <w:b/>
                <w:i/>
                <w:lang w:eastAsia="ru-RU"/>
              </w:rPr>
              <w:t>ас.</w:t>
            </w:r>
          </w:p>
        </w:tc>
      </w:tr>
      <w:tr w:rsidR="004042EA" w:rsidRPr="0066263B" w:rsidTr="004042EA">
        <w:trPr>
          <w:trHeight w:val="291"/>
        </w:trPr>
        <w:tc>
          <w:tcPr>
            <w:tcW w:w="368" w:type="pct"/>
            <w:tcBorders>
              <w:top w:val="single" w:sz="4" w:space="0" w:color="auto"/>
              <w:left w:val="single" w:sz="4" w:space="0" w:color="auto"/>
              <w:bottom w:val="single" w:sz="4" w:space="0" w:color="auto"/>
              <w:right w:val="single" w:sz="4" w:space="0" w:color="auto"/>
            </w:tcBorders>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17" w:type="pct"/>
            <w:tcBorders>
              <w:top w:val="single" w:sz="4" w:space="0" w:color="auto"/>
              <w:left w:val="single" w:sz="4" w:space="0" w:color="auto"/>
              <w:bottom w:val="single" w:sz="4" w:space="0" w:color="auto"/>
              <w:right w:val="single" w:sz="4" w:space="0" w:color="auto"/>
            </w:tcBorders>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587" w:type="pct"/>
            <w:tcBorders>
              <w:top w:val="single" w:sz="4" w:space="0" w:color="auto"/>
              <w:left w:val="single" w:sz="4" w:space="0" w:color="auto"/>
              <w:bottom w:val="single" w:sz="4" w:space="0" w:color="auto"/>
              <w:right w:val="single" w:sz="4" w:space="0" w:color="auto"/>
            </w:tcBorders>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0,25</w:t>
            </w:r>
          </w:p>
        </w:tc>
        <w:tc>
          <w:tcPr>
            <w:tcW w:w="419" w:type="pct"/>
            <w:tcBorders>
              <w:top w:val="single" w:sz="4" w:space="0" w:color="auto"/>
              <w:left w:val="single" w:sz="4" w:space="0" w:color="auto"/>
              <w:bottom w:val="single" w:sz="4" w:space="0" w:color="auto"/>
              <w:right w:val="single" w:sz="4" w:space="0" w:color="auto"/>
            </w:tcBorders>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31" w:type="pct"/>
            <w:tcBorders>
              <w:top w:val="single" w:sz="4" w:space="0" w:color="auto"/>
              <w:left w:val="single" w:sz="4" w:space="0" w:color="auto"/>
              <w:bottom w:val="single" w:sz="4" w:space="0" w:color="auto"/>
              <w:right w:val="single" w:sz="4" w:space="0" w:color="auto"/>
            </w:tcBorders>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tcPr>
          <w:p w:rsidR="004042EA" w:rsidRPr="0066263B" w:rsidRDefault="004042EA" w:rsidP="003A0957">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431" w:type="pct"/>
            <w:tcBorders>
              <w:top w:val="single" w:sz="4" w:space="0" w:color="auto"/>
              <w:left w:val="single" w:sz="4" w:space="0" w:color="auto"/>
              <w:bottom w:val="single" w:sz="4" w:space="0" w:color="auto"/>
              <w:right w:val="single" w:sz="4" w:space="0" w:color="auto"/>
            </w:tcBorders>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87" w:type="pct"/>
            <w:tcBorders>
              <w:top w:val="single" w:sz="4" w:space="0" w:color="auto"/>
              <w:left w:val="single" w:sz="4" w:space="0" w:color="auto"/>
              <w:bottom w:val="single" w:sz="4" w:space="0" w:color="auto"/>
              <w:right w:val="single" w:sz="4" w:space="0" w:color="auto"/>
            </w:tcBorders>
          </w:tcPr>
          <w:p w:rsidR="004042EA" w:rsidRPr="0066263B" w:rsidRDefault="004042EA" w:rsidP="00F848AF">
            <w:pPr>
              <w:tabs>
                <w:tab w:val="left" w:pos="720"/>
                <w:tab w:val="left" w:pos="8931"/>
                <w:tab w:val="left" w:pos="9639"/>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4042EA" w:rsidRPr="0066263B" w:rsidRDefault="004042EA" w:rsidP="004042E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случаев </w:t>
      </w:r>
      <w:proofErr w:type="spellStart"/>
      <w:r w:rsidRPr="0066263B">
        <w:rPr>
          <w:rFonts w:ascii="Times New Roman" w:eastAsia="Times New Roman" w:hAnsi="Times New Roman" w:cs="Times New Roman"/>
          <w:sz w:val="24"/>
          <w:szCs w:val="24"/>
          <w:lang w:eastAsia="ru-RU"/>
        </w:rPr>
        <w:t>токсокароза</w:t>
      </w:r>
      <w:proofErr w:type="spellEnd"/>
      <w:r w:rsidRPr="0066263B">
        <w:rPr>
          <w:rFonts w:ascii="Times New Roman" w:eastAsia="Times New Roman" w:hAnsi="Times New Roman" w:cs="Times New Roman"/>
          <w:sz w:val="24"/>
          <w:szCs w:val="24"/>
          <w:lang w:eastAsia="ru-RU"/>
        </w:rPr>
        <w:t xml:space="preserve"> не выявлено (2020 –</w:t>
      </w:r>
      <w:r w:rsidR="00B97A59">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2 сл. </w:t>
      </w:r>
      <w:proofErr w:type="spellStart"/>
      <w:r w:rsidRPr="0066263B">
        <w:rPr>
          <w:rFonts w:ascii="Times New Roman" w:eastAsia="Times New Roman" w:hAnsi="Times New Roman" w:cs="Times New Roman"/>
          <w:sz w:val="24"/>
          <w:szCs w:val="24"/>
          <w:lang w:eastAsia="ru-RU"/>
        </w:rPr>
        <w:t>токсокароза</w:t>
      </w:r>
      <w:proofErr w:type="spellEnd"/>
      <w:r w:rsidRPr="0066263B">
        <w:rPr>
          <w:rFonts w:ascii="Times New Roman" w:eastAsia="Times New Roman" w:hAnsi="Times New Roman" w:cs="Times New Roman"/>
          <w:sz w:val="24"/>
          <w:szCs w:val="24"/>
          <w:lang w:eastAsia="ru-RU"/>
        </w:rPr>
        <w:t xml:space="preserve"> в г. Брянске и Унечском районе; 2019 – 9 сл. на 6 административных территориях).</w:t>
      </w:r>
    </w:p>
    <w:p w:rsidR="004042EA" w:rsidRPr="0066263B" w:rsidRDefault="004042EA" w:rsidP="004042E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Наличие высокого риска заражения аскаридозом и другими </w:t>
      </w:r>
      <w:proofErr w:type="spellStart"/>
      <w:r w:rsidRPr="0066263B">
        <w:rPr>
          <w:rFonts w:ascii="Times New Roman" w:eastAsia="Times New Roman" w:hAnsi="Times New Roman" w:cs="Times New Roman"/>
          <w:sz w:val="24"/>
          <w:szCs w:val="24"/>
          <w:lang w:eastAsia="ru-RU"/>
        </w:rPr>
        <w:t>геогельминтозами</w:t>
      </w:r>
      <w:proofErr w:type="spellEnd"/>
      <w:r w:rsidRPr="0066263B">
        <w:rPr>
          <w:rFonts w:ascii="Times New Roman" w:eastAsia="Times New Roman" w:hAnsi="Times New Roman" w:cs="Times New Roman"/>
          <w:sz w:val="24"/>
          <w:szCs w:val="24"/>
          <w:lang w:eastAsia="ru-RU"/>
        </w:rPr>
        <w:t xml:space="preserve"> (трихоцефалёз, </w:t>
      </w:r>
      <w:proofErr w:type="spellStart"/>
      <w:r w:rsidRPr="0066263B">
        <w:rPr>
          <w:rFonts w:ascii="Times New Roman" w:eastAsia="Times New Roman" w:hAnsi="Times New Roman" w:cs="Times New Roman"/>
          <w:sz w:val="24"/>
          <w:szCs w:val="24"/>
          <w:lang w:eastAsia="ru-RU"/>
        </w:rPr>
        <w:t>токсокароз</w:t>
      </w:r>
      <w:proofErr w:type="spellEnd"/>
      <w:r w:rsidRPr="0066263B">
        <w:rPr>
          <w:rFonts w:ascii="Times New Roman" w:eastAsia="Times New Roman" w:hAnsi="Times New Roman" w:cs="Times New Roman"/>
          <w:sz w:val="24"/>
          <w:szCs w:val="24"/>
          <w:lang w:eastAsia="ru-RU"/>
        </w:rPr>
        <w:t>) подтверждается результатами санитарно-паразитологических исследований почвы, проведённых в 2021 году – 0,57% проб почвы в селитебной зоне не соответствует гигиеническим нормативам по паразитологическим показателям.</w:t>
      </w:r>
    </w:p>
    <w:p w:rsidR="004042EA" w:rsidRPr="0066263B" w:rsidRDefault="004042EA" w:rsidP="00F848AF">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120" w:after="0"/>
        <w:ind w:firstLine="709"/>
        <w:jc w:val="left"/>
        <w:rPr>
          <w:rFonts w:ascii="Times New Roman" w:eastAsia="Times New Roman" w:hAnsi="Times New Roman" w:cs="Times New Roman"/>
          <w:bCs/>
          <w:i/>
          <w:sz w:val="24"/>
          <w:szCs w:val="24"/>
          <w:u w:val="single"/>
          <w:lang w:eastAsia="ru-RU"/>
        </w:rPr>
      </w:pPr>
      <w:r w:rsidRPr="0066263B">
        <w:rPr>
          <w:rFonts w:ascii="Times New Roman" w:eastAsia="Times New Roman" w:hAnsi="Times New Roman" w:cs="Times New Roman"/>
          <w:bCs/>
          <w:i/>
          <w:sz w:val="24"/>
          <w:szCs w:val="24"/>
          <w:u w:val="single"/>
          <w:lang w:eastAsia="ru-RU"/>
        </w:rPr>
        <w:t>Паразитологические исследования</w:t>
      </w:r>
    </w:p>
    <w:p w:rsidR="002A5871" w:rsidRPr="0066263B" w:rsidRDefault="002A5871" w:rsidP="002A5871">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паразитологическими подразделениями проведено 28 777 исследований (2020 – 45 496).</w:t>
      </w:r>
    </w:p>
    <w:p w:rsidR="002A5871" w:rsidRPr="0066263B" w:rsidRDefault="002A5871" w:rsidP="00F848AF">
      <w:pPr>
        <w:spacing w:before="0" w:after="0"/>
        <w:ind w:firstLine="709"/>
        <w:rPr>
          <w:rFonts w:ascii="Times New Roman" w:eastAsia="Times New Roman" w:hAnsi="Times New Roman" w:cs="Times New Roman"/>
          <w:sz w:val="24"/>
          <w:szCs w:val="24"/>
          <w:lang w:eastAsia="ru-RU"/>
        </w:rPr>
      </w:pPr>
    </w:p>
    <w:p w:rsidR="000259F1" w:rsidRPr="0066263B" w:rsidRDefault="000259F1">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0259F1" w:rsidRPr="0066263B" w:rsidRDefault="000259F1" w:rsidP="00F848AF">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101</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Структура паразитологических исследований</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
        <w:gridCol w:w="1134"/>
        <w:gridCol w:w="850"/>
        <w:gridCol w:w="993"/>
        <w:gridCol w:w="850"/>
        <w:gridCol w:w="992"/>
        <w:gridCol w:w="851"/>
        <w:gridCol w:w="992"/>
        <w:gridCol w:w="709"/>
        <w:gridCol w:w="992"/>
      </w:tblGrid>
      <w:tr w:rsidR="00324483" w:rsidRPr="0066263B" w:rsidTr="00C56F65">
        <w:trPr>
          <w:jc w:val="center"/>
        </w:trPr>
        <w:tc>
          <w:tcPr>
            <w:tcW w:w="836" w:type="dxa"/>
            <w:vMerge w:val="restart"/>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1134" w:type="dxa"/>
            <w:vMerge w:val="restart"/>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 xml:space="preserve">Число </w:t>
            </w:r>
            <w:proofErr w:type="spellStart"/>
            <w:proofErr w:type="gramStart"/>
            <w:r w:rsidRPr="0066263B">
              <w:rPr>
                <w:rFonts w:ascii="Times New Roman" w:eastAsia="Times New Roman" w:hAnsi="Times New Roman" w:cs="Times New Roman"/>
                <w:b/>
                <w:i/>
                <w:lang w:eastAsia="ru-RU"/>
              </w:rPr>
              <w:t>исследо</w:t>
            </w:r>
            <w:r w:rsidR="00011A1A" w:rsidRPr="0066263B">
              <w:rPr>
                <w:rFonts w:ascii="Times New Roman" w:eastAsia="Times New Roman" w:hAnsi="Times New Roman" w:cs="Times New Roman"/>
                <w:b/>
                <w:i/>
                <w:lang w:eastAsia="ru-RU"/>
              </w:rPr>
              <w:t>-</w:t>
            </w:r>
            <w:r w:rsidRPr="0066263B">
              <w:rPr>
                <w:rFonts w:ascii="Times New Roman" w:eastAsia="Times New Roman" w:hAnsi="Times New Roman" w:cs="Times New Roman"/>
                <w:b/>
                <w:i/>
                <w:lang w:eastAsia="ru-RU"/>
              </w:rPr>
              <w:t>ваний</w:t>
            </w:r>
            <w:proofErr w:type="spellEnd"/>
            <w:proofErr w:type="gramEnd"/>
          </w:p>
        </w:tc>
        <w:tc>
          <w:tcPr>
            <w:tcW w:w="7229" w:type="dxa"/>
            <w:gridSpan w:val="8"/>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в том числе:</w:t>
            </w:r>
          </w:p>
        </w:tc>
      </w:tr>
      <w:tr w:rsidR="00324483" w:rsidRPr="0066263B" w:rsidTr="00C56F65">
        <w:trPr>
          <w:jc w:val="center"/>
        </w:trPr>
        <w:tc>
          <w:tcPr>
            <w:tcW w:w="836" w:type="dxa"/>
            <w:vMerge/>
            <w:vAlign w:val="center"/>
          </w:tcPr>
          <w:p w:rsidR="00324483" w:rsidRPr="0066263B" w:rsidRDefault="00324483" w:rsidP="00324483">
            <w:pPr>
              <w:spacing w:before="20" w:after="20"/>
              <w:jc w:val="center"/>
              <w:rPr>
                <w:rFonts w:ascii="Times New Roman" w:eastAsia="Times New Roman" w:hAnsi="Times New Roman" w:cs="Times New Roman"/>
                <w:lang w:eastAsia="ru-RU"/>
              </w:rPr>
            </w:pPr>
          </w:p>
        </w:tc>
        <w:tc>
          <w:tcPr>
            <w:tcW w:w="1134" w:type="dxa"/>
            <w:vMerge/>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p>
        </w:tc>
        <w:tc>
          <w:tcPr>
            <w:tcW w:w="1843" w:type="dxa"/>
            <w:gridSpan w:val="2"/>
            <w:vAlign w:val="center"/>
          </w:tcPr>
          <w:p w:rsidR="00324483" w:rsidRPr="0066263B" w:rsidRDefault="00011A1A" w:rsidP="00324483">
            <w:pPr>
              <w:spacing w:before="20" w:after="20"/>
              <w:jc w:val="center"/>
              <w:rPr>
                <w:rFonts w:ascii="Times New Roman" w:eastAsia="Times New Roman" w:hAnsi="Times New Roman" w:cs="Times New Roman"/>
                <w:b/>
                <w:i/>
                <w:lang w:eastAsia="ru-RU"/>
              </w:rPr>
            </w:pPr>
            <w:proofErr w:type="spellStart"/>
            <w:r w:rsidRPr="0066263B">
              <w:rPr>
                <w:rFonts w:ascii="Times New Roman" w:eastAsia="Times New Roman" w:hAnsi="Times New Roman" w:cs="Times New Roman"/>
                <w:b/>
                <w:i/>
                <w:lang w:eastAsia="ru-RU"/>
              </w:rPr>
              <w:t>п</w:t>
            </w:r>
            <w:r w:rsidR="00324483" w:rsidRPr="0066263B">
              <w:rPr>
                <w:rFonts w:ascii="Times New Roman" w:eastAsia="Times New Roman" w:hAnsi="Times New Roman" w:cs="Times New Roman"/>
                <w:b/>
                <w:i/>
                <w:lang w:eastAsia="ru-RU"/>
              </w:rPr>
              <w:t>аразитологи</w:t>
            </w:r>
            <w:r w:rsidRPr="0066263B">
              <w:rPr>
                <w:rFonts w:ascii="Times New Roman" w:eastAsia="Times New Roman" w:hAnsi="Times New Roman" w:cs="Times New Roman"/>
                <w:b/>
                <w:i/>
                <w:lang w:eastAsia="ru-RU"/>
              </w:rPr>
              <w:t>-</w:t>
            </w:r>
            <w:r w:rsidR="00324483" w:rsidRPr="0066263B">
              <w:rPr>
                <w:rFonts w:ascii="Times New Roman" w:eastAsia="Times New Roman" w:hAnsi="Times New Roman" w:cs="Times New Roman"/>
                <w:b/>
                <w:i/>
                <w:lang w:eastAsia="ru-RU"/>
              </w:rPr>
              <w:t>ческие</w:t>
            </w:r>
            <w:proofErr w:type="spellEnd"/>
            <w:r w:rsidR="00324483" w:rsidRPr="0066263B">
              <w:rPr>
                <w:rFonts w:ascii="Times New Roman" w:eastAsia="Times New Roman" w:hAnsi="Times New Roman" w:cs="Times New Roman"/>
                <w:b/>
                <w:i/>
                <w:lang w:eastAsia="ru-RU"/>
              </w:rPr>
              <w:t xml:space="preserve"> исследования материала от людей</w:t>
            </w:r>
          </w:p>
        </w:tc>
        <w:tc>
          <w:tcPr>
            <w:tcW w:w="1842" w:type="dxa"/>
            <w:gridSpan w:val="2"/>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proofErr w:type="spellStart"/>
            <w:r w:rsidRPr="0066263B">
              <w:rPr>
                <w:rFonts w:ascii="Times New Roman" w:eastAsia="Times New Roman" w:hAnsi="Times New Roman" w:cs="Times New Roman"/>
                <w:b/>
                <w:i/>
                <w:lang w:eastAsia="ru-RU"/>
              </w:rPr>
              <w:t>санитарно-паразитологи</w:t>
            </w:r>
            <w:r w:rsidR="00011A1A" w:rsidRPr="0066263B">
              <w:rPr>
                <w:rFonts w:ascii="Times New Roman" w:eastAsia="Times New Roman" w:hAnsi="Times New Roman" w:cs="Times New Roman"/>
                <w:b/>
                <w:i/>
                <w:lang w:eastAsia="ru-RU"/>
              </w:rPr>
              <w:t>-</w:t>
            </w:r>
            <w:r w:rsidRPr="0066263B">
              <w:rPr>
                <w:rFonts w:ascii="Times New Roman" w:eastAsia="Times New Roman" w:hAnsi="Times New Roman" w:cs="Times New Roman"/>
                <w:b/>
                <w:i/>
                <w:lang w:eastAsia="ru-RU"/>
              </w:rPr>
              <w:t>ческие</w:t>
            </w:r>
            <w:proofErr w:type="spellEnd"/>
          </w:p>
        </w:tc>
        <w:tc>
          <w:tcPr>
            <w:tcW w:w="1843" w:type="dxa"/>
            <w:gridSpan w:val="2"/>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серологические</w:t>
            </w:r>
          </w:p>
        </w:tc>
        <w:tc>
          <w:tcPr>
            <w:tcW w:w="1701" w:type="dxa"/>
            <w:gridSpan w:val="2"/>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молекулярно-биологические</w:t>
            </w:r>
          </w:p>
        </w:tc>
      </w:tr>
      <w:tr w:rsidR="00324483" w:rsidRPr="0066263B" w:rsidTr="00C56F65">
        <w:trPr>
          <w:trHeight w:val="299"/>
          <w:jc w:val="center"/>
        </w:trPr>
        <w:tc>
          <w:tcPr>
            <w:tcW w:w="836" w:type="dxa"/>
            <w:vMerge/>
            <w:vAlign w:val="center"/>
          </w:tcPr>
          <w:p w:rsidR="00324483" w:rsidRPr="0066263B" w:rsidRDefault="00324483" w:rsidP="00324483">
            <w:pPr>
              <w:spacing w:before="20" w:after="20"/>
              <w:jc w:val="center"/>
              <w:rPr>
                <w:rFonts w:ascii="Times New Roman" w:eastAsia="Times New Roman" w:hAnsi="Times New Roman" w:cs="Times New Roman"/>
                <w:lang w:eastAsia="ru-RU"/>
              </w:rPr>
            </w:pPr>
          </w:p>
        </w:tc>
        <w:tc>
          <w:tcPr>
            <w:tcW w:w="1134" w:type="dxa"/>
            <w:vMerge/>
            <w:vAlign w:val="center"/>
          </w:tcPr>
          <w:p w:rsidR="00324483" w:rsidRPr="0066263B" w:rsidRDefault="00324483" w:rsidP="00324483">
            <w:pPr>
              <w:spacing w:before="20" w:after="20"/>
              <w:jc w:val="center"/>
              <w:rPr>
                <w:rFonts w:ascii="Times New Roman" w:eastAsia="Times New Roman" w:hAnsi="Times New Roman" w:cs="Times New Roman"/>
                <w:b/>
                <w:i/>
                <w:lang w:eastAsia="ru-RU"/>
              </w:rPr>
            </w:pP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b/>
                <w:i/>
                <w:szCs w:val="20"/>
                <w:lang w:eastAsia="ru-RU"/>
              </w:rPr>
            </w:pPr>
            <w:r w:rsidRPr="0066263B">
              <w:rPr>
                <w:rFonts w:ascii="Times New Roman" w:eastAsia="Times New Roman" w:hAnsi="Times New Roman" w:cs="Times New Roman"/>
                <w:b/>
                <w:i/>
                <w:szCs w:val="20"/>
                <w:lang w:eastAsia="ru-RU"/>
              </w:rPr>
              <w:t>абс.</w:t>
            </w:r>
          </w:p>
        </w:tc>
        <w:tc>
          <w:tcPr>
            <w:tcW w:w="993" w:type="dxa"/>
            <w:vAlign w:val="center"/>
          </w:tcPr>
          <w:p w:rsidR="00324483" w:rsidRPr="0066263B" w:rsidRDefault="00324483" w:rsidP="00324483">
            <w:pPr>
              <w:spacing w:before="20" w:after="20"/>
              <w:jc w:val="center"/>
              <w:rPr>
                <w:rFonts w:ascii="Times New Roman" w:eastAsia="Times New Roman" w:hAnsi="Times New Roman" w:cs="Times New Roman"/>
                <w:b/>
                <w:i/>
                <w:szCs w:val="20"/>
                <w:lang w:eastAsia="ru-RU"/>
              </w:rPr>
            </w:pPr>
            <w:r w:rsidRPr="0066263B">
              <w:rPr>
                <w:rFonts w:ascii="Times New Roman" w:eastAsia="Times New Roman" w:hAnsi="Times New Roman" w:cs="Times New Roman"/>
                <w:b/>
                <w:i/>
                <w:szCs w:val="20"/>
                <w:lang w:eastAsia="ru-RU"/>
              </w:rPr>
              <w:t>доля, %</w:t>
            </w: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b/>
                <w:i/>
                <w:szCs w:val="20"/>
                <w:lang w:eastAsia="ru-RU"/>
              </w:rPr>
            </w:pPr>
            <w:r w:rsidRPr="0066263B">
              <w:rPr>
                <w:rFonts w:ascii="Times New Roman" w:eastAsia="Times New Roman" w:hAnsi="Times New Roman" w:cs="Times New Roman"/>
                <w:b/>
                <w:i/>
                <w:szCs w:val="20"/>
                <w:lang w:eastAsia="ru-RU"/>
              </w:rPr>
              <w:t>абс.</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b/>
                <w:i/>
                <w:szCs w:val="20"/>
                <w:lang w:eastAsia="ru-RU"/>
              </w:rPr>
            </w:pPr>
            <w:r w:rsidRPr="0066263B">
              <w:rPr>
                <w:rFonts w:ascii="Times New Roman" w:eastAsia="Times New Roman" w:hAnsi="Times New Roman" w:cs="Times New Roman"/>
                <w:b/>
                <w:i/>
                <w:szCs w:val="20"/>
                <w:lang w:eastAsia="ru-RU"/>
              </w:rPr>
              <w:t>доля, %</w:t>
            </w:r>
          </w:p>
        </w:tc>
        <w:tc>
          <w:tcPr>
            <w:tcW w:w="851" w:type="dxa"/>
            <w:vAlign w:val="center"/>
          </w:tcPr>
          <w:p w:rsidR="00324483" w:rsidRPr="0066263B" w:rsidRDefault="00324483" w:rsidP="00324483">
            <w:pPr>
              <w:spacing w:before="20" w:after="20"/>
              <w:jc w:val="center"/>
              <w:rPr>
                <w:rFonts w:ascii="Times New Roman" w:eastAsia="Times New Roman" w:hAnsi="Times New Roman" w:cs="Times New Roman"/>
                <w:b/>
                <w:i/>
                <w:szCs w:val="20"/>
                <w:lang w:eastAsia="ru-RU"/>
              </w:rPr>
            </w:pPr>
            <w:r w:rsidRPr="0066263B">
              <w:rPr>
                <w:rFonts w:ascii="Times New Roman" w:eastAsia="Times New Roman" w:hAnsi="Times New Roman" w:cs="Times New Roman"/>
                <w:b/>
                <w:i/>
                <w:szCs w:val="20"/>
                <w:lang w:eastAsia="ru-RU"/>
              </w:rPr>
              <w:t>абс.</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b/>
                <w:i/>
                <w:szCs w:val="20"/>
                <w:lang w:eastAsia="ru-RU"/>
              </w:rPr>
            </w:pPr>
            <w:r w:rsidRPr="0066263B">
              <w:rPr>
                <w:rFonts w:ascii="Times New Roman" w:eastAsia="Times New Roman" w:hAnsi="Times New Roman" w:cs="Times New Roman"/>
                <w:b/>
                <w:i/>
                <w:szCs w:val="20"/>
                <w:lang w:eastAsia="ru-RU"/>
              </w:rPr>
              <w:t>доля, %</w:t>
            </w:r>
          </w:p>
        </w:tc>
        <w:tc>
          <w:tcPr>
            <w:tcW w:w="709" w:type="dxa"/>
            <w:vAlign w:val="center"/>
          </w:tcPr>
          <w:p w:rsidR="00324483" w:rsidRPr="0066263B" w:rsidRDefault="00324483" w:rsidP="00324483">
            <w:pPr>
              <w:spacing w:before="20" w:after="20"/>
              <w:jc w:val="center"/>
              <w:rPr>
                <w:rFonts w:ascii="Times New Roman" w:eastAsia="Times New Roman" w:hAnsi="Times New Roman" w:cs="Times New Roman"/>
                <w:b/>
                <w:i/>
                <w:szCs w:val="20"/>
                <w:lang w:eastAsia="ru-RU"/>
              </w:rPr>
            </w:pPr>
            <w:r w:rsidRPr="0066263B">
              <w:rPr>
                <w:rFonts w:ascii="Times New Roman" w:eastAsia="Times New Roman" w:hAnsi="Times New Roman" w:cs="Times New Roman"/>
                <w:b/>
                <w:i/>
                <w:szCs w:val="20"/>
                <w:lang w:eastAsia="ru-RU"/>
              </w:rPr>
              <w:t>абс.</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b/>
                <w:i/>
                <w:szCs w:val="20"/>
                <w:lang w:eastAsia="ru-RU"/>
              </w:rPr>
            </w:pPr>
            <w:r w:rsidRPr="0066263B">
              <w:rPr>
                <w:rFonts w:ascii="Times New Roman" w:eastAsia="Times New Roman" w:hAnsi="Times New Roman" w:cs="Times New Roman"/>
                <w:b/>
                <w:i/>
                <w:szCs w:val="20"/>
                <w:lang w:eastAsia="ru-RU"/>
              </w:rPr>
              <w:t>доля, %</w:t>
            </w:r>
          </w:p>
        </w:tc>
      </w:tr>
      <w:tr w:rsidR="00324483" w:rsidRPr="0066263B" w:rsidTr="00C56F65">
        <w:trPr>
          <w:jc w:val="center"/>
        </w:trPr>
        <w:tc>
          <w:tcPr>
            <w:tcW w:w="836" w:type="dxa"/>
            <w:vAlign w:val="center"/>
          </w:tcPr>
          <w:p w:rsidR="00324483" w:rsidRPr="0066263B" w:rsidRDefault="00324483"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2016</w:t>
            </w:r>
          </w:p>
        </w:tc>
        <w:tc>
          <w:tcPr>
            <w:tcW w:w="1134"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42518</w:t>
            </w: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15294</w:t>
            </w:r>
          </w:p>
        </w:tc>
        <w:tc>
          <w:tcPr>
            <w:tcW w:w="993"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37,0</w:t>
            </w: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18857</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44,4</w:t>
            </w:r>
          </w:p>
        </w:tc>
        <w:tc>
          <w:tcPr>
            <w:tcW w:w="851"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7953</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18,7</w:t>
            </w:r>
          </w:p>
        </w:tc>
        <w:tc>
          <w:tcPr>
            <w:tcW w:w="709"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414</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0,97</w:t>
            </w:r>
          </w:p>
        </w:tc>
      </w:tr>
      <w:tr w:rsidR="00324483" w:rsidRPr="0066263B" w:rsidTr="00C56F65">
        <w:trPr>
          <w:jc w:val="center"/>
        </w:trPr>
        <w:tc>
          <w:tcPr>
            <w:tcW w:w="836" w:type="dxa"/>
            <w:vAlign w:val="center"/>
          </w:tcPr>
          <w:p w:rsidR="00324483" w:rsidRPr="0066263B" w:rsidRDefault="00324483"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2017</w:t>
            </w:r>
          </w:p>
        </w:tc>
        <w:tc>
          <w:tcPr>
            <w:tcW w:w="1134"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39664</w:t>
            </w: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12139</w:t>
            </w:r>
          </w:p>
        </w:tc>
        <w:tc>
          <w:tcPr>
            <w:tcW w:w="993"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30,6</w:t>
            </w: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17712</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44,7</w:t>
            </w:r>
          </w:p>
        </w:tc>
        <w:tc>
          <w:tcPr>
            <w:tcW w:w="851"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8453</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21,3</w:t>
            </w:r>
          </w:p>
        </w:tc>
        <w:tc>
          <w:tcPr>
            <w:tcW w:w="709"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1360</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w:t>
            </w:r>
          </w:p>
        </w:tc>
      </w:tr>
      <w:tr w:rsidR="00324483" w:rsidRPr="0066263B" w:rsidTr="00C56F65">
        <w:trPr>
          <w:jc w:val="center"/>
        </w:trPr>
        <w:tc>
          <w:tcPr>
            <w:tcW w:w="836" w:type="dxa"/>
            <w:vAlign w:val="center"/>
          </w:tcPr>
          <w:p w:rsidR="00324483" w:rsidRPr="0066263B" w:rsidRDefault="00324483"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1134"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81588</w:t>
            </w: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60831</w:t>
            </w:r>
          </w:p>
        </w:tc>
        <w:tc>
          <w:tcPr>
            <w:tcW w:w="993"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72,8</w:t>
            </w: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13506</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16,6</w:t>
            </w:r>
          </w:p>
        </w:tc>
        <w:tc>
          <w:tcPr>
            <w:tcW w:w="851"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7251</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8,9</w:t>
            </w:r>
          </w:p>
        </w:tc>
        <w:tc>
          <w:tcPr>
            <w:tcW w:w="709"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1427</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r>
      <w:tr w:rsidR="00324483" w:rsidRPr="0066263B" w:rsidTr="00C56F65">
        <w:trPr>
          <w:jc w:val="center"/>
        </w:trPr>
        <w:tc>
          <w:tcPr>
            <w:tcW w:w="836" w:type="dxa"/>
            <w:vAlign w:val="center"/>
          </w:tcPr>
          <w:p w:rsidR="00324483" w:rsidRPr="0066263B" w:rsidRDefault="00324483" w:rsidP="00324483">
            <w:pPr>
              <w:spacing w:before="20" w:after="20"/>
              <w:ind w:left="57"/>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1134"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57899</w:t>
            </w: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34948</w:t>
            </w:r>
          </w:p>
        </w:tc>
        <w:tc>
          <w:tcPr>
            <w:tcW w:w="993"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60,4</w:t>
            </w:r>
          </w:p>
        </w:tc>
        <w:tc>
          <w:tcPr>
            <w:tcW w:w="850"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14737</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25,5</w:t>
            </w:r>
          </w:p>
        </w:tc>
        <w:tc>
          <w:tcPr>
            <w:tcW w:w="851"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7552</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13,0</w:t>
            </w:r>
          </w:p>
        </w:tc>
        <w:tc>
          <w:tcPr>
            <w:tcW w:w="709"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662</w:t>
            </w:r>
          </w:p>
        </w:tc>
        <w:tc>
          <w:tcPr>
            <w:tcW w:w="992" w:type="dxa"/>
            <w:vAlign w:val="center"/>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r>
      <w:tr w:rsidR="00F848AF" w:rsidRPr="0066263B" w:rsidTr="00C56F65">
        <w:trPr>
          <w:jc w:val="center"/>
        </w:trPr>
        <w:tc>
          <w:tcPr>
            <w:tcW w:w="836" w:type="dxa"/>
            <w:vAlign w:val="center"/>
          </w:tcPr>
          <w:p w:rsidR="00F848AF" w:rsidRPr="0066263B" w:rsidRDefault="00F848AF" w:rsidP="00F848A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1134" w:type="dxa"/>
            <w:vAlign w:val="center"/>
          </w:tcPr>
          <w:p w:rsidR="00F848AF" w:rsidRPr="0066263B" w:rsidRDefault="00F848AF" w:rsidP="00F848A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45496</w:t>
            </w:r>
          </w:p>
        </w:tc>
        <w:tc>
          <w:tcPr>
            <w:tcW w:w="850" w:type="dxa"/>
            <w:vAlign w:val="center"/>
          </w:tcPr>
          <w:p w:rsidR="00F848AF" w:rsidRPr="0066263B" w:rsidRDefault="00F848AF" w:rsidP="00F848A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28605</w:t>
            </w:r>
          </w:p>
        </w:tc>
        <w:tc>
          <w:tcPr>
            <w:tcW w:w="993" w:type="dxa"/>
            <w:vAlign w:val="center"/>
          </w:tcPr>
          <w:p w:rsidR="00F848AF" w:rsidRPr="0066263B" w:rsidRDefault="00F848AF" w:rsidP="00F848A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62,8</w:t>
            </w:r>
          </w:p>
        </w:tc>
        <w:tc>
          <w:tcPr>
            <w:tcW w:w="850" w:type="dxa"/>
            <w:vAlign w:val="center"/>
          </w:tcPr>
          <w:p w:rsidR="00F848AF" w:rsidRPr="0066263B" w:rsidRDefault="00F848AF" w:rsidP="00F848A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10554</w:t>
            </w:r>
          </w:p>
        </w:tc>
        <w:tc>
          <w:tcPr>
            <w:tcW w:w="992" w:type="dxa"/>
            <w:vAlign w:val="center"/>
          </w:tcPr>
          <w:p w:rsidR="00F848AF" w:rsidRPr="0066263B" w:rsidRDefault="00F848AF" w:rsidP="00F848A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23,2</w:t>
            </w:r>
          </w:p>
        </w:tc>
        <w:tc>
          <w:tcPr>
            <w:tcW w:w="851" w:type="dxa"/>
            <w:vAlign w:val="center"/>
          </w:tcPr>
          <w:p w:rsidR="00F848AF" w:rsidRPr="0066263B" w:rsidRDefault="00F848AF" w:rsidP="00F848A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5312</w:t>
            </w:r>
          </w:p>
        </w:tc>
        <w:tc>
          <w:tcPr>
            <w:tcW w:w="992" w:type="dxa"/>
            <w:vAlign w:val="center"/>
          </w:tcPr>
          <w:p w:rsidR="00F848AF" w:rsidRPr="0066263B" w:rsidRDefault="00F848AF" w:rsidP="00F848A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11,7</w:t>
            </w:r>
          </w:p>
        </w:tc>
        <w:tc>
          <w:tcPr>
            <w:tcW w:w="709" w:type="dxa"/>
            <w:vAlign w:val="center"/>
          </w:tcPr>
          <w:p w:rsidR="00F848AF" w:rsidRPr="0066263B" w:rsidRDefault="00F848AF" w:rsidP="00F848A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1025</w:t>
            </w:r>
          </w:p>
        </w:tc>
        <w:tc>
          <w:tcPr>
            <w:tcW w:w="992" w:type="dxa"/>
            <w:vAlign w:val="center"/>
          </w:tcPr>
          <w:p w:rsidR="00F848AF" w:rsidRPr="0066263B" w:rsidRDefault="00F848AF" w:rsidP="00F848A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w:t>
            </w:r>
          </w:p>
        </w:tc>
      </w:tr>
      <w:tr w:rsidR="004042EA" w:rsidRPr="0066263B" w:rsidTr="00C56F65">
        <w:trPr>
          <w:jc w:val="center"/>
        </w:trPr>
        <w:tc>
          <w:tcPr>
            <w:tcW w:w="836" w:type="dxa"/>
            <w:vAlign w:val="center"/>
          </w:tcPr>
          <w:p w:rsidR="004042EA" w:rsidRPr="0066263B" w:rsidRDefault="004042EA" w:rsidP="00F848A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1134" w:type="dxa"/>
            <w:vAlign w:val="center"/>
          </w:tcPr>
          <w:p w:rsidR="004042EA" w:rsidRPr="0066263B" w:rsidRDefault="004042EA"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28777</w:t>
            </w:r>
          </w:p>
        </w:tc>
        <w:tc>
          <w:tcPr>
            <w:tcW w:w="850" w:type="dxa"/>
            <w:vAlign w:val="center"/>
          </w:tcPr>
          <w:p w:rsidR="004042EA" w:rsidRPr="0066263B" w:rsidRDefault="004042EA"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15465</w:t>
            </w:r>
          </w:p>
        </w:tc>
        <w:tc>
          <w:tcPr>
            <w:tcW w:w="993" w:type="dxa"/>
            <w:vAlign w:val="center"/>
          </w:tcPr>
          <w:p w:rsidR="004042EA" w:rsidRPr="0066263B" w:rsidRDefault="004042EA"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53,7</w:t>
            </w:r>
          </w:p>
        </w:tc>
        <w:tc>
          <w:tcPr>
            <w:tcW w:w="850" w:type="dxa"/>
            <w:vAlign w:val="center"/>
          </w:tcPr>
          <w:p w:rsidR="004042EA" w:rsidRPr="0066263B" w:rsidRDefault="004042EA"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9434</w:t>
            </w:r>
          </w:p>
        </w:tc>
        <w:tc>
          <w:tcPr>
            <w:tcW w:w="992" w:type="dxa"/>
            <w:vAlign w:val="center"/>
          </w:tcPr>
          <w:p w:rsidR="004042EA" w:rsidRPr="0066263B" w:rsidRDefault="004042EA"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32,8</w:t>
            </w:r>
          </w:p>
        </w:tc>
        <w:tc>
          <w:tcPr>
            <w:tcW w:w="851" w:type="dxa"/>
            <w:vAlign w:val="center"/>
          </w:tcPr>
          <w:p w:rsidR="004042EA" w:rsidRPr="0066263B" w:rsidRDefault="004042EA"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3121</w:t>
            </w:r>
          </w:p>
        </w:tc>
        <w:tc>
          <w:tcPr>
            <w:tcW w:w="992" w:type="dxa"/>
            <w:vAlign w:val="center"/>
          </w:tcPr>
          <w:p w:rsidR="004042EA" w:rsidRPr="0066263B" w:rsidRDefault="004042EA"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10,8</w:t>
            </w:r>
          </w:p>
        </w:tc>
        <w:tc>
          <w:tcPr>
            <w:tcW w:w="709" w:type="dxa"/>
            <w:vAlign w:val="center"/>
          </w:tcPr>
          <w:p w:rsidR="004042EA" w:rsidRPr="0066263B" w:rsidRDefault="004042EA"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757</w:t>
            </w:r>
          </w:p>
        </w:tc>
        <w:tc>
          <w:tcPr>
            <w:tcW w:w="992" w:type="dxa"/>
            <w:vAlign w:val="center"/>
          </w:tcPr>
          <w:p w:rsidR="004042EA" w:rsidRPr="0066263B" w:rsidRDefault="004042EA"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w:t>
            </w:r>
          </w:p>
        </w:tc>
      </w:tr>
    </w:tbl>
    <w:p w:rsidR="004042EA" w:rsidRPr="0066263B" w:rsidRDefault="004042EA" w:rsidP="004042EA">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295900" cy="2184400"/>
            <wp:effectExtent l="0" t="0" r="0" b="0"/>
            <wp:docPr id="91"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324483" w:rsidRPr="0066263B" w:rsidRDefault="00324483" w:rsidP="00324483">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lang w:eastAsia="ru-RU"/>
        </w:rPr>
        <w:t xml:space="preserve">Рис. </w:t>
      </w:r>
      <w:r w:rsidR="006C34E2" w:rsidRPr="0066263B">
        <w:rPr>
          <w:rFonts w:ascii="Times New Roman" w:eastAsia="Times New Roman" w:hAnsi="Times New Roman" w:cs="Times New Roman"/>
          <w:b/>
          <w:lang w:eastAsia="ru-RU"/>
        </w:rPr>
        <w:fldChar w:fldCharType="begin"/>
      </w:r>
      <w:r w:rsidRPr="0066263B">
        <w:rPr>
          <w:rFonts w:ascii="Times New Roman" w:eastAsia="Times New Roman" w:hAnsi="Times New Roman" w:cs="Times New Roman"/>
          <w:b/>
          <w:lang w:eastAsia="ru-RU"/>
        </w:rPr>
        <w:instrText xml:space="preserve"> SEQ Рис._№ \* ARABIC </w:instrText>
      </w:r>
      <w:r w:rsidR="006C34E2" w:rsidRPr="0066263B">
        <w:rPr>
          <w:rFonts w:ascii="Times New Roman" w:eastAsia="Times New Roman" w:hAnsi="Times New Roman" w:cs="Times New Roman"/>
          <w:b/>
          <w:lang w:eastAsia="ru-RU"/>
        </w:rPr>
        <w:fldChar w:fldCharType="separate"/>
      </w:r>
      <w:r w:rsidR="00EC1D99">
        <w:rPr>
          <w:rFonts w:ascii="Times New Roman" w:eastAsia="Times New Roman" w:hAnsi="Times New Roman" w:cs="Times New Roman"/>
          <w:b/>
          <w:noProof/>
          <w:lang w:eastAsia="ru-RU"/>
        </w:rPr>
        <w:t>97</w:t>
      </w:r>
      <w:r w:rsidR="006C34E2" w:rsidRPr="0066263B">
        <w:rPr>
          <w:rFonts w:ascii="Times New Roman" w:eastAsia="Times New Roman" w:hAnsi="Times New Roman" w:cs="Times New Roman"/>
          <w:b/>
          <w:lang w:eastAsia="ru-RU"/>
        </w:rPr>
        <w:fldChar w:fldCharType="end"/>
      </w:r>
      <w:r w:rsidRPr="0066263B">
        <w:rPr>
          <w:rFonts w:ascii="Times New Roman" w:eastAsia="Times New Roman" w:hAnsi="Times New Roman" w:cs="Times New Roman"/>
          <w:b/>
          <w:lang w:eastAsia="ru-RU"/>
        </w:rPr>
        <w:t>.</w:t>
      </w:r>
      <w:r w:rsidRPr="0066263B">
        <w:rPr>
          <w:rFonts w:ascii="Times New Roman" w:eastAsia="Times New Roman" w:hAnsi="Times New Roman" w:cs="Times New Roman"/>
          <w:lang w:eastAsia="ru-RU"/>
        </w:rPr>
        <w:t xml:space="preserve"> Структура санитарно-паразитологических исследований</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4042EA" w:rsidRPr="0066263B" w:rsidRDefault="004042EA" w:rsidP="004042E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структуре санитарно-паразитологических исследований преобладают смывы с объектов окружающей среды – 51,7% (2020 – 36,7%), почва – 18,7% (2020 – 29,7%), пищевые продукты и сырьё – 13,6% (2020 – 19,7%).</w:t>
      </w:r>
    </w:p>
    <w:p w:rsidR="004042EA" w:rsidRPr="0066263B" w:rsidRDefault="004042EA"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Результаты санитарно-паразитологических исследований</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
        <w:gridCol w:w="1554"/>
        <w:gridCol w:w="844"/>
        <w:gridCol w:w="714"/>
        <w:gridCol w:w="846"/>
        <w:gridCol w:w="708"/>
        <w:gridCol w:w="787"/>
        <w:gridCol w:w="767"/>
        <w:gridCol w:w="846"/>
        <w:gridCol w:w="708"/>
        <w:gridCol w:w="844"/>
        <w:gridCol w:w="454"/>
        <w:gridCol w:w="284"/>
      </w:tblGrid>
      <w:tr w:rsidR="004042EA" w:rsidRPr="0066263B" w:rsidTr="00F848AF">
        <w:trPr>
          <w:trHeight w:val="261"/>
        </w:trPr>
        <w:tc>
          <w:tcPr>
            <w:tcW w:w="878" w:type="pct"/>
            <w:gridSpan w:val="2"/>
            <w:vMerge w:val="restart"/>
            <w:tcBorders>
              <w:top w:val="single" w:sz="4" w:space="0" w:color="auto"/>
              <w:left w:val="single" w:sz="4" w:space="0" w:color="auto"/>
              <w:bottom w:val="single" w:sz="4" w:space="0" w:color="auto"/>
              <w:right w:val="single" w:sz="4" w:space="0" w:color="auto"/>
            </w:tcBorders>
          </w:tcPr>
          <w:p w:rsidR="004042EA" w:rsidRPr="0066263B" w:rsidRDefault="004042EA" w:rsidP="00F848AF">
            <w:pPr>
              <w:spacing w:before="20" w:after="20"/>
              <w:rPr>
                <w:rFonts w:ascii="Times New Roman" w:eastAsia="Times New Roman" w:hAnsi="Times New Roman" w:cs="Times New Roman"/>
                <w:lang w:eastAsia="ru-RU"/>
              </w:rPr>
            </w:pPr>
          </w:p>
        </w:tc>
        <w:tc>
          <w:tcPr>
            <w:tcW w:w="823" w:type="pct"/>
            <w:gridSpan w:val="2"/>
            <w:tcBorders>
              <w:top w:val="single" w:sz="4" w:space="0" w:color="auto"/>
              <w:left w:val="single" w:sz="4" w:space="0" w:color="auto"/>
              <w:bottom w:val="single" w:sz="4" w:space="0" w:color="auto"/>
              <w:right w:val="nil"/>
            </w:tcBorders>
            <w:vAlign w:val="center"/>
          </w:tcPr>
          <w:p w:rsidR="004042EA" w:rsidRPr="0066263B" w:rsidRDefault="004042EA" w:rsidP="003A09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2017</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821"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836" w:type="pct"/>
            <w:gridSpan w:val="3"/>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4042EA" w:rsidRPr="0066263B" w:rsidTr="00F848AF">
        <w:trPr>
          <w:trHeight w:val="145"/>
        </w:trPr>
        <w:tc>
          <w:tcPr>
            <w:tcW w:w="878" w:type="pct"/>
            <w:gridSpan w:val="2"/>
            <w:vMerge/>
            <w:tcBorders>
              <w:top w:val="single" w:sz="4" w:space="0" w:color="auto"/>
              <w:left w:val="single" w:sz="4" w:space="0" w:color="auto"/>
              <w:bottom w:val="single" w:sz="4" w:space="0" w:color="auto"/>
              <w:right w:val="single" w:sz="4" w:space="0" w:color="auto"/>
            </w:tcBorders>
          </w:tcPr>
          <w:p w:rsidR="004042EA" w:rsidRPr="0066263B" w:rsidRDefault="004042EA" w:rsidP="00F848AF">
            <w:pPr>
              <w:spacing w:before="20" w:after="20"/>
              <w:rPr>
                <w:rFonts w:ascii="Times New Roman" w:eastAsia="Times New Roman" w:hAnsi="Times New Roman" w:cs="Times New Roman"/>
                <w:lang w:eastAsia="ru-RU"/>
              </w:rPr>
            </w:pP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377" w:type="pct"/>
            <w:tcBorders>
              <w:top w:val="single" w:sz="4" w:space="0" w:color="auto"/>
              <w:left w:val="single" w:sz="4" w:space="0" w:color="auto"/>
              <w:bottom w:val="single" w:sz="4" w:space="0" w:color="auto"/>
              <w:right w:val="nil"/>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proofErr w:type="spellStart"/>
            <w:r w:rsidRPr="0066263B">
              <w:rPr>
                <w:rFonts w:ascii="Times New Roman" w:eastAsia="Times New Roman" w:hAnsi="Times New Roman" w:cs="Times New Roman"/>
                <w:b/>
                <w:i/>
                <w:lang w:eastAsia="ru-RU"/>
              </w:rPr>
              <w:t>пол</w:t>
            </w:r>
            <w:proofErr w:type="gramStart"/>
            <w:r w:rsidRPr="0066263B">
              <w:rPr>
                <w:rFonts w:ascii="Times New Roman" w:eastAsia="Times New Roman" w:hAnsi="Times New Roman" w:cs="Times New Roman"/>
                <w:b/>
                <w:i/>
                <w:lang w:eastAsia="ru-RU"/>
              </w:rPr>
              <w:t>.,%</w:t>
            </w:r>
            <w:proofErr w:type="spellEnd"/>
            <w:proofErr w:type="gramEnd"/>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proofErr w:type="spellStart"/>
            <w:r w:rsidRPr="0066263B">
              <w:rPr>
                <w:rFonts w:ascii="Times New Roman" w:eastAsia="Times New Roman" w:hAnsi="Times New Roman" w:cs="Times New Roman"/>
                <w:b/>
                <w:i/>
                <w:lang w:eastAsia="ru-RU"/>
              </w:rPr>
              <w:t>пол</w:t>
            </w:r>
            <w:proofErr w:type="gramStart"/>
            <w:r w:rsidRPr="0066263B">
              <w:rPr>
                <w:rFonts w:ascii="Times New Roman" w:eastAsia="Times New Roman" w:hAnsi="Times New Roman" w:cs="Times New Roman"/>
                <w:b/>
                <w:i/>
                <w:lang w:eastAsia="ru-RU"/>
              </w:rPr>
              <w:t>.,%</w:t>
            </w:r>
            <w:proofErr w:type="spellEnd"/>
            <w:proofErr w:type="gramEnd"/>
          </w:p>
        </w:tc>
        <w:tc>
          <w:tcPr>
            <w:tcW w:w="41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405"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proofErr w:type="spellStart"/>
            <w:r w:rsidRPr="0066263B">
              <w:rPr>
                <w:rFonts w:ascii="Times New Roman" w:eastAsia="Times New Roman" w:hAnsi="Times New Roman" w:cs="Times New Roman"/>
                <w:b/>
                <w:i/>
                <w:lang w:eastAsia="ru-RU"/>
              </w:rPr>
              <w:t>пол</w:t>
            </w:r>
            <w:proofErr w:type="gramStart"/>
            <w:r w:rsidRPr="0066263B">
              <w:rPr>
                <w:rFonts w:ascii="Times New Roman" w:eastAsia="Times New Roman" w:hAnsi="Times New Roman" w:cs="Times New Roman"/>
                <w:b/>
                <w:i/>
                <w:lang w:eastAsia="ru-RU"/>
              </w:rPr>
              <w:t>.,%</w:t>
            </w:r>
            <w:proofErr w:type="spellEnd"/>
            <w:proofErr w:type="gramEnd"/>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proofErr w:type="spellStart"/>
            <w:r w:rsidRPr="0066263B">
              <w:rPr>
                <w:rFonts w:ascii="Times New Roman" w:eastAsia="Times New Roman" w:hAnsi="Times New Roman" w:cs="Times New Roman"/>
                <w:b/>
                <w:i/>
                <w:lang w:eastAsia="ru-RU"/>
              </w:rPr>
              <w:t>пол</w:t>
            </w:r>
            <w:proofErr w:type="gramStart"/>
            <w:r w:rsidRPr="0066263B">
              <w:rPr>
                <w:rFonts w:ascii="Times New Roman" w:eastAsia="Times New Roman" w:hAnsi="Times New Roman" w:cs="Times New Roman"/>
                <w:b/>
                <w:i/>
                <w:lang w:eastAsia="ru-RU"/>
              </w:rPr>
              <w:t>.,%</w:t>
            </w:r>
            <w:proofErr w:type="spellEnd"/>
            <w:proofErr w:type="gramEnd"/>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абс.</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F848AF">
            <w:pPr>
              <w:spacing w:before="20" w:after="20"/>
              <w:jc w:val="center"/>
              <w:rPr>
                <w:rFonts w:ascii="Times New Roman" w:eastAsia="Times New Roman" w:hAnsi="Times New Roman" w:cs="Times New Roman"/>
                <w:b/>
                <w:i/>
                <w:lang w:eastAsia="ru-RU"/>
              </w:rPr>
            </w:pPr>
            <w:proofErr w:type="spellStart"/>
            <w:r w:rsidRPr="0066263B">
              <w:rPr>
                <w:rFonts w:ascii="Times New Roman" w:eastAsia="Times New Roman" w:hAnsi="Times New Roman" w:cs="Times New Roman"/>
                <w:b/>
                <w:i/>
                <w:lang w:eastAsia="ru-RU"/>
              </w:rPr>
              <w:t>пол</w:t>
            </w:r>
            <w:proofErr w:type="gramStart"/>
            <w:r w:rsidRPr="0066263B">
              <w:rPr>
                <w:rFonts w:ascii="Times New Roman" w:eastAsia="Times New Roman" w:hAnsi="Times New Roman" w:cs="Times New Roman"/>
                <w:b/>
                <w:i/>
                <w:lang w:eastAsia="ru-RU"/>
              </w:rPr>
              <w:t>.,%</w:t>
            </w:r>
            <w:proofErr w:type="spellEnd"/>
            <w:proofErr w:type="gramEnd"/>
          </w:p>
        </w:tc>
      </w:tr>
      <w:tr w:rsidR="004042EA" w:rsidRPr="0066263B" w:rsidTr="00F848AF">
        <w:trPr>
          <w:trHeight w:val="261"/>
        </w:trPr>
        <w:tc>
          <w:tcPr>
            <w:tcW w:w="878" w:type="pct"/>
            <w:gridSpan w:val="2"/>
            <w:tcBorders>
              <w:top w:val="single" w:sz="4" w:space="0" w:color="auto"/>
              <w:left w:val="single" w:sz="4" w:space="0" w:color="auto"/>
              <w:bottom w:val="single" w:sz="4" w:space="0" w:color="auto"/>
              <w:right w:val="single" w:sz="4" w:space="0" w:color="auto"/>
            </w:tcBorders>
          </w:tcPr>
          <w:p w:rsidR="004042EA" w:rsidRPr="0066263B" w:rsidRDefault="004042EA" w:rsidP="00F848A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Смывы</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10996</w:t>
            </w:r>
          </w:p>
        </w:tc>
        <w:tc>
          <w:tcPr>
            <w:tcW w:w="377" w:type="pct"/>
            <w:tcBorders>
              <w:top w:val="single" w:sz="4" w:space="0" w:color="auto"/>
              <w:left w:val="single" w:sz="4" w:space="0" w:color="auto"/>
              <w:bottom w:val="single" w:sz="4" w:space="0" w:color="auto"/>
              <w:right w:val="nil"/>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7454</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0,16</w:t>
            </w:r>
          </w:p>
        </w:tc>
        <w:tc>
          <w:tcPr>
            <w:tcW w:w="41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6603</w:t>
            </w:r>
          </w:p>
        </w:tc>
        <w:tc>
          <w:tcPr>
            <w:tcW w:w="405"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3877</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0,31</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1989</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0,95</w:t>
            </w:r>
          </w:p>
        </w:tc>
      </w:tr>
      <w:tr w:rsidR="004042EA" w:rsidRPr="0066263B" w:rsidTr="00F848AF">
        <w:trPr>
          <w:trHeight w:val="280"/>
        </w:trPr>
        <w:tc>
          <w:tcPr>
            <w:tcW w:w="878" w:type="pct"/>
            <w:gridSpan w:val="2"/>
            <w:tcBorders>
              <w:top w:val="single" w:sz="4" w:space="0" w:color="auto"/>
              <w:left w:val="single" w:sz="4" w:space="0" w:color="auto"/>
              <w:bottom w:val="single" w:sz="4" w:space="0" w:color="auto"/>
              <w:right w:val="single" w:sz="4" w:space="0" w:color="auto"/>
            </w:tcBorders>
          </w:tcPr>
          <w:p w:rsidR="004042EA" w:rsidRPr="0066263B" w:rsidRDefault="004042EA" w:rsidP="00F848A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Почва</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3492</w:t>
            </w:r>
          </w:p>
        </w:tc>
        <w:tc>
          <w:tcPr>
            <w:tcW w:w="377" w:type="pct"/>
            <w:tcBorders>
              <w:top w:val="single" w:sz="4" w:space="0" w:color="auto"/>
              <w:left w:val="single" w:sz="4" w:space="0" w:color="auto"/>
              <w:bottom w:val="single" w:sz="4" w:space="0" w:color="auto"/>
              <w:right w:val="nil"/>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0,97</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2460</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0,69</w:t>
            </w:r>
          </w:p>
        </w:tc>
        <w:tc>
          <w:tcPr>
            <w:tcW w:w="41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3054</w:t>
            </w:r>
          </w:p>
        </w:tc>
        <w:tc>
          <w:tcPr>
            <w:tcW w:w="405"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3067</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0,26</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719</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1,25</w:t>
            </w:r>
          </w:p>
        </w:tc>
      </w:tr>
      <w:tr w:rsidR="004042EA" w:rsidRPr="0066263B" w:rsidTr="00F848AF">
        <w:trPr>
          <w:trHeight w:val="261"/>
        </w:trPr>
        <w:tc>
          <w:tcPr>
            <w:tcW w:w="878" w:type="pct"/>
            <w:gridSpan w:val="2"/>
            <w:tcBorders>
              <w:top w:val="single" w:sz="4" w:space="0" w:color="auto"/>
              <w:left w:val="single" w:sz="4" w:space="0" w:color="auto"/>
              <w:bottom w:val="single" w:sz="4" w:space="0" w:color="auto"/>
              <w:right w:val="single" w:sz="4" w:space="0" w:color="auto"/>
            </w:tcBorders>
          </w:tcPr>
          <w:p w:rsidR="004042EA" w:rsidRPr="0066263B" w:rsidRDefault="004042EA" w:rsidP="00F848A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Сточная вода</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294</w:t>
            </w:r>
          </w:p>
        </w:tc>
        <w:tc>
          <w:tcPr>
            <w:tcW w:w="377" w:type="pct"/>
            <w:tcBorders>
              <w:top w:val="single" w:sz="4" w:space="0" w:color="auto"/>
              <w:left w:val="single" w:sz="4" w:space="0" w:color="auto"/>
              <w:bottom w:val="single" w:sz="4" w:space="0" w:color="auto"/>
              <w:right w:val="nil"/>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0,68</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262</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c>
          <w:tcPr>
            <w:tcW w:w="41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246</w:t>
            </w:r>
          </w:p>
        </w:tc>
        <w:tc>
          <w:tcPr>
            <w:tcW w:w="405"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313</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128</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4042EA" w:rsidRPr="0066263B" w:rsidTr="00F848AF">
        <w:trPr>
          <w:trHeight w:val="105"/>
        </w:trPr>
        <w:tc>
          <w:tcPr>
            <w:tcW w:w="878" w:type="pct"/>
            <w:gridSpan w:val="2"/>
            <w:tcBorders>
              <w:top w:val="single" w:sz="4" w:space="0" w:color="auto"/>
              <w:left w:val="single" w:sz="4" w:space="0" w:color="auto"/>
              <w:bottom w:val="single" w:sz="4" w:space="0" w:color="auto"/>
              <w:right w:val="single" w:sz="4" w:space="0" w:color="auto"/>
            </w:tcBorders>
          </w:tcPr>
          <w:p w:rsidR="004042EA" w:rsidRPr="0066263B" w:rsidRDefault="004042EA" w:rsidP="00F848A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Вода открытых водоёмов</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1466</w:t>
            </w:r>
          </w:p>
        </w:tc>
        <w:tc>
          <w:tcPr>
            <w:tcW w:w="377" w:type="pct"/>
            <w:tcBorders>
              <w:top w:val="single" w:sz="4" w:space="0" w:color="auto"/>
              <w:left w:val="single" w:sz="4" w:space="0" w:color="auto"/>
              <w:bottom w:val="single" w:sz="4" w:space="0" w:color="auto"/>
              <w:right w:val="nil"/>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928</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w:t>
            </w:r>
          </w:p>
        </w:tc>
        <w:tc>
          <w:tcPr>
            <w:tcW w:w="41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870</w:t>
            </w:r>
          </w:p>
        </w:tc>
        <w:tc>
          <w:tcPr>
            <w:tcW w:w="405"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1042</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384</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r>
      <w:tr w:rsidR="004042EA" w:rsidRPr="0066263B" w:rsidTr="00F848AF">
        <w:trPr>
          <w:trHeight w:val="124"/>
        </w:trPr>
        <w:tc>
          <w:tcPr>
            <w:tcW w:w="878" w:type="pct"/>
            <w:gridSpan w:val="2"/>
            <w:tcBorders>
              <w:top w:val="single" w:sz="4" w:space="0" w:color="auto"/>
              <w:left w:val="single" w:sz="4" w:space="0" w:color="auto"/>
              <w:bottom w:val="single" w:sz="4" w:space="0" w:color="auto"/>
              <w:right w:val="single" w:sz="4" w:space="0" w:color="auto"/>
            </w:tcBorders>
          </w:tcPr>
          <w:p w:rsidR="004042EA" w:rsidRPr="0066263B" w:rsidRDefault="004042EA" w:rsidP="00F848AF">
            <w:pPr>
              <w:spacing w:before="20" w:after="20"/>
              <w:ind w:left="57"/>
              <w:jc w:val="left"/>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Прод</w:t>
            </w:r>
            <w:proofErr w:type="spellEnd"/>
            <w:r w:rsidRPr="0066263B">
              <w:rPr>
                <w:rFonts w:ascii="Times New Roman" w:eastAsia="Times New Roman" w:hAnsi="Times New Roman" w:cs="Times New Roman"/>
                <w:lang w:eastAsia="ru-RU"/>
              </w:rPr>
              <w:t>. сырьё и пищевые продукты</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1116</w:t>
            </w:r>
          </w:p>
        </w:tc>
        <w:tc>
          <w:tcPr>
            <w:tcW w:w="377" w:type="pct"/>
            <w:tcBorders>
              <w:top w:val="single" w:sz="4" w:space="0" w:color="auto"/>
              <w:left w:val="single" w:sz="4" w:space="0" w:color="auto"/>
              <w:bottom w:val="single" w:sz="4" w:space="0" w:color="auto"/>
              <w:right w:val="nil"/>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0,36</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2132</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0,8</w:t>
            </w:r>
          </w:p>
        </w:tc>
        <w:tc>
          <w:tcPr>
            <w:tcW w:w="41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3676</w:t>
            </w:r>
          </w:p>
        </w:tc>
        <w:tc>
          <w:tcPr>
            <w:tcW w:w="405"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0,16</w:t>
            </w:r>
          </w:p>
        </w:tc>
        <w:tc>
          <w:tcPr>
            <w:tcW w:w="447"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2036</w:t>
            </w:r>
          </w:p>
        </w:tc>
        <w:tc>
          <w:tcPr>
            <w:tcW w:w="374"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w:t>
            </w:r>
          </w:p>
        </w:tc>
        <w:tc>
          <w:tcPr>
            <w:tcW w:w="446" w:type="pct"/>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523</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4042EA" w:rsidRPr="0066263B" w:rsidRDefault="004042EA"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0,38</w:t>
            </w:r>
          </w:p>
        </w:tc>
      </w:tr>
      <w:tr w:rsidR="004042EA" w:rsidRPr="0066263B" w:rsidTr="00F84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Before w:val="1"/>
          <w:gridAfter w:val="1"/>
          <w:wBefore w:w="57" w:type="pct"/>
          <w:wAfter w:w="150" w:type="pct"/>
        </w:trPr>
        <w:tc>
          <w:tcPr>
            <w:tcW w:w="4793" w:type="pct"/>
            <w:gridSpan w:val="11"/>
            <w:tcBorders>
              <w:bottom w:val="double" w:sz="18" w:space="0" w:color="auto"/>
            </w:tcBorders>
          </w:tcPr>
          <w:p w:rsidR="004042EA" w:rsidRPr="0066263B" w:rsidRDefault="004042EA" w:rsidP="00324483">
            <w:pPr>
              <w:pageBreakBefore/>
              <w:jc w:val="center"/>
              <w:outlineLvl w:val="0"/>
              <w:rPr>
                <w:rFonts w:ascii="Times New Roman" w:eastAsia="Times New Roman" w:hAnsi="Times New Roman" w:cs="Times New Roman"/>
                <w:b/>
                <w:sz w:val="28"/>
                <w:szCs w:val="28"/>
                <w:lang w:eastAsia="ru-RU"/>
              </w:rPr>
            </w:pPr>
            <w:r w:rsidRPr="0066263B">
              <w:rPr>
                <w:rFonts w:ascii="Times New Roman" w:eastAsia="Times New Roman" w:hAnsi="Times New Roman" w:cs="Times New Roman"/>
                <w:b/>
                <w:sz w:val="28"/>
                <w:szCs w:val="28"/>
                <w:lang w:eastAsia="ru-RU"/>
              </w:rPr>
              <w:lastRenderedPageBreak/>
              <w:br w:type="page"/>
            </w:r>
            <w:r w:rsidRPr="0066263B">
              <w:rPr>
                <w:rFonts w:ascii="Times New Roman" w:eastAsia="Times New Roman" w:hAnsi="Times New Roman" w:cs="Times New Roman"/>
                <w:b/>
                <w:sz w:val="28"/>
                <w:szCs w:val="28"/>
                <w:lang w:eastAsia="ru-RU"/>
              </w:rPr>
              <w:br w:type="page"/>
            </w:r>
            <w:bookmarkStart w:id="13" w:name="_Toc2253830"/>
            <w:r w:rsidRPr="0066263B">
              <w:rPr>
                <w:rFonts w:ascii="Times New Roman" w:eastAsia="Times New Roman" w:hAnsi="Times New Roman" w:cs="Times New Roman"/>
                <w:b/>
                <w:sz w:val="28"/>
                <w:szCs w:val="28"/>
                <w:lang w:eastAsia="ru-RU"/>
              </w:rPr>
              <w:t>II. </w:t>
            </w:r>
            <w:r w:rsidRPr="0066263B">
              <w:rPr>
                <w:rFonts w:ascii="Times New Roman" w:eastAsia="Times New Roman" w:hAnsi="Times New Roman" w:cs="Times New Roman" w:hint="eastAsia"/>
                <w:b/>
                <w:sz w:val="28"/>
                <w:szCs w:val="28"/>
                <w:lang w:eastAsia="ru-RU"/>
              </w:rPr>
              <w:t>Основные</w:t>
            </w:r>
            <w:r w:rsidRPr="0066263B">
              <w:rPr>
                <w:rFonts w:ascii="Times New Roman" w:eastAsia="Times New Roman" w:hAnsi="Times New Roman" w:cs="Times New Roman"/>
                <w:b/>
                <w:sz w:val="28"/>
                <w:szCs w:val="28"/>
                <w:lang w:eastAsia="ru-RU"/>
              </w:rPr>
              <w:t xml:space="preserve"> меры по улучшению состояния среды обитания</w:t>
            </w:r>
            <w:r w:rsidRPr="0066263B">
              <w:rPr>
                <w:rFonts w:ascii="Times New Roman" w:eastAsia="Times New Roman" w:hAnsi="Times New Roman" w:cs="Times New Roman"/>
                <w:b/>
                <w:sz w:val="28"/>
                <w:szCs w:val="28"/>
                <w:lang w:eastAsia="ru-RU"/>
              </w:rPr>
              <w:br/>
              <w:t>и здоровья населения</w:t>
            </w:r>
            <w:bookmarkEnd w:id="13"/>
          </w:p>
        </w:tc>
      </w:tr>
    </w:tbl>
    <w:p w:rsidR="00324483" w:rsidRPr="0066263B" w:rsidRDefault="00324483" w:rsidP="00324483">
      <w:pPr>
        <w:jc w:val="center"/>
        <w:outlineLvl w:val="1"/>
        <w:rPr>
          <w:rFonts w:ascii="Times New Roman" w:eastAsia="Times New Roman" w:hAnsi="Times New Roman" w:cs="Times New Roman"/>
          <w:b/>
          <w:bCs/>
          <w:sz w:val="26"/>
          <w:szCs w:val="26"/>
          <w:lang w:eastAsia="ru-RU"/>
        </w:rPr>
      </w:pPr>
      <w:bookmarkStart w:id="14" w:name="_Toc2253831"/>
      <w:r w:rsidRPr="0066263B">
        <w:rPr>
          <w:rFonts w:ascii="Times New Roman" w:eastAsia="Times New Roman" w:hAnsi="Times New Roman" w:cs="Times New Roman"/>
          <w:b/>
          <w:bCs/>
          <w:sz w:val="26"/>
          <w:szCs w:val="26"/>
          <w:lang w:eastAsia="ru-RU"/>
        </w:rPr>
        <w:t>2.1. Основные меры по улучшению состояния среды обитания</w:t>
      </w:r>
      <w:bookmarkEnd w:id="14"/>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В результате организационных и надзорных мероприятий в соответствии с федеральными законами № 52-ФЗ «О санитарно-эпидемиологическом благополучии населения»</w:t>
      </w:r>
      <w:r w:rsidR="000A1CD5">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0A1CD5">
        <w:rPr>
          <w:rFonts w:ascii="Times New Roman" w:eastAsia="Times New Roman" w:hAnsi="Times New Roman" w:cs="Times New Roman"/>
          <w:sz w:val="24"/>
          <w:szCs w:val="24"/>
          <w:lang w:eastAsia="ru-RU"/>
        </w:rPr>
        <w:t xml:space="preserve"> и </w:t>
      </w:r>
      <w:r w:rsidR="000A1CD5" w:rsidRPr="0066263B">
        <w:rPr>
          <w:rFonts w:ascii="Times New Roman" w:eastAsia="Times New Roman" w:hAnsi="Times New Roman" w:cs="Times New Roman"/>
          <w:sz w:val="24"/>
          <w:szCs w:val="24"/>
          <w:lang w:eastAsia="ru-RU"/>
        </w:rPr>
        <w:t>№ 248-ФЗ «О государственном контроле (надзоре) и муниципальном контроле в Российской Федерации»</w:t>
      </w:r>
      <w:r w:rsidR="000A1CD5">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в целях достижения результатов реализации государственной политики в области обеспечения санитарно-эпидемиологического благополучия населения Управления Роспотребнадзора</w:t>
      </w:r>
      <w:proofErr w:type="gramEnd"/>
      <w:r w:rsidRPr="0066263B">
        <w:rPr>
          <w:rFonts w:ascii="Times New Roman" w:eastAsia="Times New Roman" w:hAnsi="Times New Roman" w:cs="Times New Roman"/>
          <w:sz w:val="24"/>
          <w:szCs w:val="24"/>
          <w:lang w:eastAsia="ru-RU"/>
        </w:rPr>
        <w:t xml:space="preserve"> по Брянской области в 20</w:t>
      </w:r>
      <w:r w:rsidR="00544557" w:rsidRPr="0066263B">
        <w:rPr>
          <w:rFonts w:ascii="Times New Roman" w:eastAsia="Times New Roman" w:hAnsi="Times New Roman" w:cs="Times New Roman"/>
          <w:sz w:val="24"/>
          <w:szCs w:val="24"/>
          <w:lang w:eastAsia="ru-RU"/>
        </w:rPr>
        <w:t>2</w:t>
      </w:r>
      <w:r w:rsidR="0009775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w:t>
      </w:r>
    </w:p>
    <w:p w:rsidR="00324483" w:rsidRPr="0066263B" w:rsidRDefault="00324483" w:rsidP="00324483">
      <w:pPr>
        <w:numPr>
          <w:ilvl w:val="0"/>
          <w:numId w:val="3"/>
        </w:numPr>
        <w:spacing w:before="0" w:after="0"/>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Вынесено </w:t>
      </w:r>
      <w:r w:rsidR="00097757" w:rsidRPr="0066263B">
        <w:rPr>
          <w:rFonts w:ascii="Times New Roman" w:eastAsia="Times New Roman" w:hAnsi="Times New Roman" w:cs="Times New Roman"/>
          <w:sz w:val="24"/>
          <w:szCs w:val="24"/>
          <w:lang w:eastAsia="ru-RU"/>
        </w:rPr>
        <w:t>8</w:t>
      </w:r>
      <w:r w:rsidRPr="0066263B">
        <w:rPr>
          <w:rFonts w:ascii="Times New Roman" w:eastAsia="Times New Roman" w:hAnsi="Times New Roman" w:cs="Times New Roman"/>
          <w:sz w:val="24"/>
          <w:szCs w:val="24"/>
          <w:lang w:eastAsia="ru-RU"/>
        </w:rPr>
        <w:t xml:space="preserve"> постановлени</w:t>
      </w:r>
      <w:r w:rsidR="00097757" w:rsidRPr="0066263B">
        <w:rPr>
          <w:rFonts w:ascii="Times New Roman" w:eastAsia="Times New Roman" w:hAnsi="Times New Roman" w:cs="Times New Roman"/>
          <w:sz w:val="24"/>
          <w:szCs w:val="24"/>
          <w:lang w:eastAsia="ru-RU"/>
        </w:rPr>
        <w:t>й</w:t>
      </w:r>
      <w:r w:rsidRPr="0066263B">
        <w:rPr>
          <w:rFonts w:ascii="Times New Roman" w:eastAsia="Times New Roman" w:hAnsi="Times New Roman" w:cs="Times New Roman"/>
          <w:sz w:val="24"/>
          <w:szCs w:val="24"/>
          <w:lang w:eastAsia="ru-RU"/>
        </w:rPr>
        <w:t xml:space="preserve"> Главного государственного санитарного врача по Брянской области по вопросам стабилизации санитарно-эпидемиологической ситуации в том числе:</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проведении тренировочных учений по выявлению больного с подозрением на опасные инфекционные болезни» от 09.04.2021 № 1.</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мерах по предотвращению завоза и распространения циркулирующего полиовируса вакцинного происхождения типа 2 на территории Брянской области» от 14.04.202</w:t>
      </w:r>
      <w:r w:rsidR="000A1CD5">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 2.</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проведении Европейской недели иммунизации в 2021 году» от 23.04.2021 № 3.</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проведении профилактических прививок отдельным группам граждан по эпидемиологическим показаниям» 26.06.2021 № 4.</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плановых серологических исследованиях напряженности иммунитета к инфекционным заболеваниям в Брянской области в 2021 г.» 05.07.2021 № 5.</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проведении ограничительных мероприятий в МБОУ «Гимназия № 3» г. Брянска» от 02.10.2021 № 6.</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внесении изменений в Постановление Главного государственного санитарного врача Брянской области от 26.06.2021 № 4 «О проведении профилактических прививок отдельным группам граждан по эпидемиологическим показаниям» от 15.10.2021 № 7.</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внесении изменений в Постановление Главного государственного санитарного врача Брянской области от 26.06.2021 № 4 «О проведении профилактических прививок отдельным группам граждан по эпидемиологическим показаниям» от 15.10.2021 № 8.</w:t>
      </w:r>
    </w:p>
    <w:p w:rsidR="00324483" w:rsidRPr="0066263B" w:rsidRDefault="00324483" w:rsidP="00324483">
      <w:pPr>
        <w:numPr>
          <w:ilvl w:val="0"/>
          <w:numId w:val="3"/>
        </w:numPr>
        <w:spacing w:before="0" w:after="0"/>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Совместно с Департаментом здравоохранения Брянской области подготовлено </w:t>
      </w:r>
      <w:r w:rsidR="00AA73A6"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 xml:space="preserve"> приказа, в том числе:</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проведении исследований распространенности возбудителей ОРВИ, гриппа и COVID-19» от 14.01.2021 № 3/28.</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проведении всемирного Дня борьбы с туберкулёзом на территории Брянской области в 2021 году» от 23.03.2021 № 37/283.</w:t>
      </w:r>
    </w:p>
    <w:p w:rsidR="006854FF" w:rsidRPr="0066263B" w:rsidRDefault="006854FF" w:rsidP="006854FF">
      <w:pPr>
        <w:numPr>
          <w:ilvl w:val="0"/>
          <w:numId w:val="3"/>
        </w:numPr>
        <w:spacing w:before="0" w:after="0"/>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заседаниях постоянного комитета по образованию, науке, культуре и СМИ Брянской областной Думы при участии специалистов Управления рассматривались вопросы о ходе подготовки к летней оздоровительной кампании 202</w:t>
      </w:r>
      <w:r w:rsidR="00297951"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года, об итогах летней оздоровительной кампании 202</w:t>
      </w:r>
      <w:r w:rsidR="00297951"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года и </w:t>
      </w:r>
      <w:r w:rsidRPr="0066263B">
        <w:rPr>
          <w:rFonts w:ascii="Times New Roman" w:eastAsia="Times New Roman" w:hAnsi="Times New Roman" w:cs="Times New Roman"/>
          <w:sz w:val="24"/>
          <w:szCs w:val="24"/>
          <w:lang w:eastAsia="ru-RU"/>
        </w:rPr>
        <w:lastRenderedPageBreak/>
        <w:t>задачах по подготовке к сезону 202</w:t>
      </w:r>
      <w:r w:rsidR="00297951"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 xml:space="preserve"> года; об организации горячего питания учащихся общеобразовательных учреждений.</w:t>
      </w:r>
    </w:p>
    <w:p w:rsidR="006854FF" w:rsidRPr="0066263B" w:rsidRDefault="00097757" w:rsidP="006854FF">
      <w:pPr>
        <w:numPr>
          <w:ilvl w:val="0"/>
          <w:numId w:val="3"/>
        </w:numPr>
        <w:spacing w:before="0" w:after="0"/>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Специалисты Управления принимали участие в работе межведомственных коллегий и комиссий, на которых рассматривались вопросы организации летнего отдыха детей, подготовки образовательных учреждений к новому учебному году, качества питьевой воды, подаваемой населению (всего – 20 вопросов)</w:t>
      </w:r>
      <w:r w:rsidR="006854FF" w:rsidRPr="0066263B">
        <w:rPr>
          <w:rFonts w:ascii="Times New Roman" w:eastAsia="Times New Roman" w:hAnsi="Times New Roman" w:cs="Times New Roman"/>
          <w:sz w:val="24"/>
          <w:szCs w:val="24"/>
          <w:lang w:eastAsia="ru-RU"/>
        </w:rPr>
        <w:t>.</w:t>
      </w:r>
    </w:p>
    <w:p w:rsidR="006854FF" w:rsidRPr="0066263B" w:rsidRDefault="006854FF" w:rsidP="006854FF">
      <w:pPr>
        <w:numPr>
          <w:ilvl w:val="0"/>
          <w:numId w:val="3"/>
        </w:numPr>
        <w:spacing w:before="0" w:after="0"/>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заседании межведомственной комиссии по охране труда при Правительстве Брянской области было рассмотрено 4 вопроса и городской постоянно действующей комиссии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xml:space="preserve">. Брянск) – </w:t>
      </w:r>
      <w:r w:rsidR="00951F3A" w:rsidRPr="0066263B">
        <w:rPr>
          <w:rFonts w:ascii="Times New Roman" w:eastAsia="Times New Roman" w:hAnsi="Times New Roman" w:cs="Times New Roman"/>
          <w:sz w:val="24"/>
          <w:szCs w:val="24"/>
          <w:lang w:eastAsia="ru-RU"/>
        </w:rPr>
        <w:t>4</w:t>
      </w:r>
      <w:r w:rsidRPr="0066263B">
        <w:rPr>
          <w:rFonts w:ascii="Times New Roman" w:eastAsia="Times New Roman" w:hAnsi="Times New Roman" w:cs="Times New Roman"/>
          <w:sz w:val="24"/>
          <w:szCs w:val="24"/>
          <w:lang w:eastAsia="ru-RU"/>
        </w:rPr>
        <w:t xml:space="preserve"> вопрос</w:t>
      </w:r>
      <w:r w:rsidR="00951F3A" w:rsidRPr="0066263B">
        <w:rPr>
          <w:rFonts w:ascii="Times New Roman" w:eastAsia="Times New Roman" w:hAnsi="Times New Roman" w:cs="Times New Roman"/>
          <w:sz w:val="24"/>
          <w:szCs w:val="24"/>
          <w:lang w:eastAsia="ru-RU"/>
        </w:rPr>
        <w:t>а</w:t>
      </w:r>
      <w:r w:rsidRPr="0066263B">
        <w:rPr>
          <w:rFonts w:ascii="Times New Roman" w:eastAsia="Times New Roman" w:hAnsi="Times New Roman" w:cs="Times New Roman"/>
          <w:sz w:val="24"/>
          <w:szCs w:val="24"/>
          <w:lang w:eastAsia="ru-RU"/>
        </w:rPr>
        <w:t xml:space="preserve"> о соблюдении законодательства по охране труда.</w:t>
      </w:r>
    </w:p>
    <w:p w:rsidR="00324483" w:rsidRPr="0066263B" w:rsidRDefault="00324483" w:rsidP="00324483">
      <w:pPr>
        <w:numPr>
          <w:ilvl w:val="0"/>
          <w:numId w:val="3"/>
        </w:numPr>
        <w:spacing w:before="0" w:after="0"/>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обеспечения санитарно-эпидемиологического благополучия населения за 20</w:t>
      </w:r>
      <w:r w:rsidR="00AA73A6" w:rsidRPr="0066263B">
        <w:rPr>
          <w:rFonts w:ascii="Times New Roman" w:eastAsia="Times New Roman" w:hAnsi="Times New Roman" w:cs="Times New Roman"/>
          <w:sz w:val="24"/>
          <w:szCs w:val="24"/>
          <w:lang w:eastAsia="ru-RU"/>
        </w:rPr>
        <w:t>2</w:t>
      </w:r>
      <w:r w:rsidR="00097757"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 на заседаниях санитарно-противоэпидемических комиссий был</w:t>
      </w:r>
      <w:r w:rsidR="003337E9">
        <w:rPr>
          <w:rFonts w:ascii="Times New Roman" w:eastAsia="Times New Roman" w:hAnsi="Times New Roman" w:cs="Times New Roman"/>
          <w:sz w:val="24"/>
          <w:szCs w:val="24"/>
          <w:lang w:eastAsia="ru-RU"/>
        </w:rPr>
        <w:t>о</w:t>
      </w:r>
      <w:r w:rsidRPr="0066263B">
        <w:rPr>
          <w:rFonts w:ascii="Times New Roman" w:eastAsia="Times New Roman" w:hAnsi="Times New Roman" w:cs="Times New Roman"/>
          <w:sz w:val="24"/>
          <w:szCs w:val="24"/>
          <w:lang w:eastAsia="ru-RU"/>
        </w:rPr>
        <w:t xml:space="preserve"> рассмотрен</w:t>
      </w:r>
      <w:r w:rsidR="003337E9">
        <w:rPr>
          <w:rFonts w:ascii="Times New Roman" w:eastAsia="Times New Roman" w:hAnsi="Times New Roman" w:cs="Times New Roman"/>
          <w:sz w:val="24"/>
          <w:szCs w:val="24"/>
          <w:lang w:eastAsia="ru-RU"/>
        </w:rPr>
        <w:t>о</w:t>
      </w:r>
      <w:r w:rsidRPr="0066263B">
        <w:rPr>
          <w:rFonts w:ascii="Times New Roman" w:eastAsia="Times New Roman" w:hAnsi="Times New Roman" w:cs="Times New Roman"/>
          <w:sz w:val="24"/>
          <w:szCs w:val="24"/>
          <w:lang w:eastAsia="ru-RU"/>
        </w:rPr>
        <w:t xml:space="preserve"> </w:t>
      </w:r>
      <w:r w:rsidR="00097757" w:rsidRPr="0066263B">
        <w:rPr>
          <w:rFonts w:ascii="Times New Roman" w:eastAsia="Times New Roman" w:hAnsi="Times New Roman" w:cs="Times New Roman"/>
          <w:sz w:val="24"/>
          <w:szCs w:val="24"/>
          <w:lang w:eastAsia="ru-RU"/>
        </w:rPr>
        <w:t>27</w:t>
      </w:r>
      <w:r w:rsidRPr="0066263B">
        <w:rPr>
          <w:rFonts w:ascii="Times New Roman" w:eastAsia="Times New Roman" w:hAnsi="Times New Roman" w:cs="Times New Roman"/>
          <w:sz w:val="24"/>
          <w:szCs w:val="24"/>
          <w:lang w:eastAsia="ru-RU"/>
        </w:rPr>
        <w:t xml:space="preserve"> вопрос</w:t>
      </w:r>
      <w:r w:rsidR="00097757" w:rsidRPr="0066263B">
        <w:rPr>
          <w:rFonts w:ascii="Times New Roman" w:eastAsia="Times New Roman" w:hAnsi="Times New Roman" w:cs="Times New Roman"/>
          <w:sz w:val="24"/>
          <w:szCs w:val="24"/>
          <w:lang w:eastAsia="ru-RU"/>
        </w:rPr>
        <w:t>ов</w:t>
      </w:r>
      <w:r w:rsidR="00AA73A6"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с принятием соответствующих решений, из них:</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состояния водоснабжения и качества питьевой воды, подаваемой населению – 2;</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состояния периодических медицинских осмотров рабочих, занятых во вредных и опасных условиях труда – 2;</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инфекционной и паразитарной заболеваемости – 7;</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профилактики гриппа и ОРВИ – 4;</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профилактики новой коронавирусной инфекции – 7;</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состояния заболеваемости туберкулёзом и мерах по его профилактике – 1;</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предотвращения заноса возбудителей африканской чумы свиней – 2;</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профилактики бешенства – 1;</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вопросам профилактики природно-очаговых заболеваний – 1.</w:t>
      </w:r>
    </w:p>
    <w:p w:rsidR="00324483" w:rsidRPr="0066263B" w:rsidRDefault="00324483" w:rsidP="00324483">
      <w:pPr>
        <w:numPr>
          <w:ilvl w:val="0"/>
          <w:numId w:val="3"/>
        </w:numPr>
        <w:spacing w:before="0" w:after="0"/>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Специалистами территориальных отделов Управления Роспотребнадзора по Брянской области </w:t>
      </w:r>
      <w:r w:rsidR="006F776B" w:rsidRPr="0066263B">
        <w:rPr>
          <w:rFonts w:ascii="Times New Roman" w:eastAsia="Times New Roman" w:hAnsi="Times New Roman" w:cs="Times New Roman"/>
          <w:sz w:val="24"/>
          <w:szCs w:val="24"/>
          <w:lang w:eastAsia="ru-RU"/>
        </w:rPr>
        <w:t>в 202</w:t>
      </w:r>
      <w:r w:rsidR="00097757" w:rsidRPr="0066263B">
        <w:rPr>
          <w:rFonts w:ascii="Times New Roman" w:eastAsia="Times New Roman" w:hAnsi="Times New Roman" w:cs="Times New Roman"/>
          <w:sz w:val="24"/>
          <w:szCs w:val="24"/>
          <w:lang w:eastAsia="ru-RU"/>
        </w:rPr>
        <w:t>1</w:t>
      </w:r>
      <w:r w:rsidR="006F776B" w:rsidRPr="0066263B">
        <w:rPr>
          <w:rFonts w:ascii="Times New Roman" w:eastAsia="Times New Roman" w:hAnsi="Times New Roman" w:cs="Times New Roman"/>
          <w:sz w:val="24"/>
          <w:szCs w:val="24"/>
          <w:lang w:eastAsia="ru-RU"/>
        </w:rPr>
        <w:t xml:space="preserve"> году </w:t>
      </w:r>
      <w:r w:rsidRPr="0066263B">
        <w:rPr>
          <w:rFonts w:ascii="Times New Roman" w:eastAsia="Times New Roman" w:hAnsi="Times New Roman" w:cs="Times New Roman"/>
          <w:sz w:val="24"/>
          <w:szCs w:val="24"/>
          <w:lang w:eastAsia="ru-RU"/>
        </w:rPr>
        <w:t xml:space="preserve">было вынесено на рассмотрение в органы местного самоуправления </w:t>
      </w:r>
      <w:r w:rsidR="00097757" w:rsidRPr="0066263B">
        <w:rPr>
          <w:rFonts w:ascii="Times New Roman" w:eastAsia="Times New Roman" w:hAnsi="Times New Roman" w:cs="Times New Roman"/>
          <w:sz w:val="24"/>
          <w:szCs w:val="24"/>
          <w:lang w:eastAsia="ru-RU"/>
        </w:rPr>
        <w:t>17</w:t>
      </w:r>
      <w:r w:rsidRPr="0066263B">
        <w:rPr>
          <w:rFonts w:ascii="Times New Roman" w:eastAsia="Times New Roman" w:hAnsi="Times New Roman" w:cs="Times New Roman"/>
          <w:sz w:val="24"/>
          <w:szCs w:val="24"/>
          <w:lang w:eastAsia="ru-RU"/>
        </w:rPr>
        <w:t xml:space="preserve"> вопросов по обеспечению санитарно-эпидемиологического благополучия населения области, из них:</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6 вопросов по условиям труда рабочих, занятых во вредных и опасных условиях труда;</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 вопроса по качеству питьевой воды, подаваемой населению;</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5 вопросов по профилактике новой коронавирусной инфекции;</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 вопроса по профилактике гриппа и ОРВИ;</w:t>
      </w:r>
    </w:p>
    <w:p w:rsidR="00097757" w:rsidRPr="0066263B" w:rsidRDefault="00097757" w:rsidP="00160BD2">
      <w:pPr>
        <w:numPr>
          <w:ilvl w:val="0"/>
          <w:numId w:val="33"/>
        </w:numPr>
        <w:spacing w:before="0" w:after="0"/>
        <w:ind w:left="1134" w:hanging="141"/>
        <w:contextualSpacing/>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2 вопроса по подготовке общеобразовательных учреждений к новому учебному году.</w:t>
      </w:r>
    </w:p>
    <w:p w:rsidR="006F776B" w:rsidRPr="0066263B" w:rsidRDefault="006F776B" w:rsidP="00544557">
      <w:pPr>
        <w:spacing w:before="0" w:after="0"/>
        <w:ind w:firstLine="708"/>
        <w:rPr>
          <w:rFonts w:ascii="Times New Roman" w:eastAsia="Times New Roman" w:hAnsi="Times New Roman" w:cs="Times New Roman"/>
          <w:sz w:val="24"/>
          <w:szCs w:val="24"/>
          <w:lang w:eastAsia="ru-RU"/>
        </w:rPr>
      </w:pPr>
    </w:p>
    <w:p w:rsidR="00324483" w:rsidRPr="0066263B" w:rsidRDefault="00324483" w:rsidP="00544557">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целях улучшения санитарно-эпидемиологической обстановки, связанной с улучшением качества воды водных объектов Управлением Роспотребнадзора по Брянской области проведена работа по организации социально-гигиенического мониторинга за качеством воды водных объектов и почвы пляжей, используемых в рекреационных целях.</w:t>
      </w:r>
    </w:p>
    <w:p w:rsidR="00544557" w:rsidRPr="0066263B" w:rsidRDefault="00544557" w:rsidP="00544557">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Ежегодно с наступлением купального сезона Управлением Роспотребнадзора по Брянской области осуществляется мониторинг качества воды водных объектов, используемых в рекреационных целях. Эта деятельность осуществляется в координации с Главным Управлением МЧС России по Брянской области, а также с </w:t>
      </w:r>
      <w:r w:rsidRPr="0066263B">
        <w:rPr>
          <w:rFonts w:ascii="Times New Roman" w:eastAsia="Times New Roman" w:hAnsi="Times New Roman" w:cs="Times New Roman"/>
          <w:sz w:val="24"/>
          <w:szCs w:val="24"/>
          <w:lang w:eastAsia="ru-RU"/>
        </w:rPr>
        <w:lastRenderedPageBreak/>
        <w:t>органами местного самоуправления. О результатах лабораторных исследований воды водоёмов регулярно информируются органы местного самоуправления.</w:t>
      </w:r>
    </w:p>
    <w:p w:rsidR="00951F3A" w:rsidRPr="0066263B" w:rsidRDefault="00951F3A" w:rsidP="006854FF">
      <w:pPr>
        <w:spacing w:before="0" w:after="0"/>
        <w:ind w:firstLine="709"/>
        <w:rPr>
          <w:rFonts w:ascii="Times New Roman" w:eastAsia="Times New Roman" w:hAnsi="Times New Roman" w:cs="Times New Roman"/>
          <w:sz w:val="24"/>
          <w:szCs w:val="24"/>
          <w:lang w:eastAsia="ru-RU"/>
        </w:rPr>
      </w:pPr>
    </w:p>
    <w:p w:rsidR="006854FF" w:rsidRPr="0066263B" w:rsidRDefault="006854FF" w:rsidP="006854FF">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Состояние питьевого водоснабжения продолжает оставаться одной из актуальных задач по обеспечению санитарно-эпидемиологического благополучия населения Брянской области. В 202</w:t>
      </w:r>
      <w:r w:rsidR="00951F3A"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число источников питьевого централизованного водоснабжения составило – 1 865, из них не отвечало санитарным правилам и нормативам – </w:t>
      </w:r>
      <w:r w:rsidR="00331735" w:rsidRPr="0066263B">
        <w:rPr>
          <w:rFonts w:ascii="Times New Roman" w:eastAsia="Times New Roman" w:hAnsi="Times New Roman" w:cs="Times New Roman"/>
          <w:sz w:val="24"/>
          <w:szCs w:val="24"/>
          <w:lang w:eastAsia="ru-RU"/>
        </w:rPr>
        <w:t>84</w:t>
      </w:r>
      <w:r w:rsidRPr="0066263B">
        <w:rPr>
          <w:rFonts w:ascii="Times New Roman" w:eastAsia="Times New Roman" w:hAnsi="Times New Roman" w:cs="Times New Roman"/>
          <w:sz w:val="24"/>
          <w:szCs w:val="24"/>
          <w:lang w:eastAsia="ru-RU"/>
        </w:rPr>
        <w:t xml:space="preserve"> (</w:t>
      </w:r>
      <w:r w:rsidR="00331735" w:rsidRPr="0066263B">
        <w:rPr>
          <w:rFonts w:ascii="Times New Roman" w:eastAsia="Times New Roman" w:hAnsi="Times New Roman" w:cs="Times New Roman"/>
          <w:sz w:val="24"/>
          <w:szCs w:val="24"/>
          <w:lang w:eastAsia="ru-RU"/>
        </w:rPr>
        <w:t>4,5</w:t>
      </w:r>
      <w:r w:rsidRPr="0066263B">
        <w:rPr>
          <w:rFonts w:ascii="Times New Roman" w:eastAsia="Times New Roman" w:hAnsi="Times New Roman" w:cs="Times New Roman"/>
          <w:sz w:val="24"/>
          <w:szCs w:val="24"/>
          <w:lang w:eastAsia="ru-RU"/>
        </w:rPr>
        <w:t xml:space="preserve">%), в том числе из-за отсутствия зон санитарной охраны – </w:t>
      </w:r>
      <w:r w:rsidR="00331735" w:rsidRPr="0066263B">
        <w:rPr>
          <w:rFonts w:ascii="Times New Roman" w:eastAsia="Times New Roman" w:hAnsi="Times New Roman" w:cs="Times New Roman"/>
          <w:sz w:val="24"/>
          <w:szCs w:val="24"/>
          <w:lang w:eastAsia="ru-RU"/>
        </w:rPr>
        <w:t>84</w:t>
      </w:r>
      <w:r w:rsidRPr="0066263B">
        <w:rPr>
          <w:rFonts w:ascii="Times New Roman" w:eastAsia="Times New Roman" w:hAnsi="Times New Roman" w:cs="Times New Roman"/>
          <w:sz w:val="24"/>
          <w:szCs w:val="24"/>
          <w:lang w:eastAsia="ru-RU"/>
        </w:rPr>
        <w:t>.</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ходе работы по реализации Федерального закона от 07.12.2011 № 416 «О водоснабжении и водоотведении» в органы местного самоуправления и организации, осуществляющие эксплуатацию централизованных систем водоснабжения, было направлено 12 уведомлений о превышении средних уровней определяемых веществ. На согласование представлено 20 планов-мероприятий по улучшению качества питьевой воды.</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течение 2021 года в Управлении Роспотребнадзора по Брянской области рассмотрено 22 программы производственного контроля качества питьевой воды, горячей воды.</w:t>
      </w:r>
    </w:p>
    <w:p w:rsidR="00951F3A" w:rsidRPr="0066263B" w:rsidRDefault="00951F3A" w:rsidP="00951F3A">
      <w:pPr>
        <w:spacing w:before="0" w:after="0"/>
        <w:ind w:firstLine="709"/>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iCs/>
          <w:sz w:val="24"/>
          <w:szCs w:val="24"/>
          <w:lang w:eastAsia="ru-RU"/>
        </w:rPr>
        <w:t>Управлением Роспотребнадзора по Брянской области уделялось особое внимание качеству воды, подаваемой населению области, в период прохождения паводка. При этом был проведён значительный объём организационной работы:</w:t>
      </w:r>
    </w:p>
    <w:p w:rsidR="00951F3A" w:rsidRPr="0066263B" w:rsidRDefault="00951F3A" w:rsidP="00951F3A">
      <w:pPr>
        <w:numPr>
          <w:ilvl w:val="0"/>
          <w:numId w:val="52"/>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принято участие в совещаниях с главами администраций муниципальных образований, с руководителями организаций, осуществляющих эксплуатацию водопроводно-канализационных сооружений;</w:t>
      </w:r>
    </w:p>
    <w:p w:rsidR="00951F3A" w:rsidRPr="0066263B" w:rsidRDefault="00951F3A" w:rsidP="00951F3A">
      <w:pPr>
        <w:numPr>
          <w:ilvl w:val="0"/>
          <w:numId w:val="52"/>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проведён значительный объём лабораторных исследований питьевой воды и поверхностных источников;</w:t>
      </w:r>
    </w:p>
    <w:p w:rsidR="00951F3A" w:rsidRPr="0066263B" w:rsidRDefault="00951F3A" w:rsidP="00951F3A">
      <w:pPr>
        <w:numPr>
          <w:ilvl w:val="0"/>
          <w:numId w:val="52"/>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проведены проверки юридических лиц, осуществляющих эксплуатацию водопроводно-канализационных сетей.</w:t>
      </w:r>
    </w:p>
    <w:p w:rsidR="00951F3A" w:rsidRPr="0066263B" w:rsidRDefault="00951F3A" w:rsidP="00951F3A">
      <w:pPr>
        <w:spacing w:before="0" w:after="0"/>
        <w:ind w:firstLine="708"/>
        <w:rPr>
          <w:rFonts w:ascii="Times New Roman" w:eastAsia="Times New Roman" w:hAnsi="Times New Roman" w:cs="Times New Roman"/>
          <w:sz w:val="24"/>
          <w:szCs w:val="24"/>
          <w:lang w:eastAsia="ru-RU"/>
        </w:rPr>
      </w:pPr>
    </w:p>
    <w:p w:rsidR="00951F3A" w:rsidRPr="0066263B" w:rsidRDefault="00951F3A" w:rsidP="00951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Численность населения Брянской области, обеспеченного централизованными системами водоснабжения</w:t>
      </w:r>
      <w:r w:rsidR="003337E9">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в течение 2018-2021 г.г. остаётся постоянной.</w:t>
      </w:r>
    </w:p>
    <w:p w:rsidR="00951F3A" w:rsidRPr="0066263B" w:rsidRDefault="00951F3A" w:rsidP="00951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Федеральным проектом «Чистая вода» Национального проекта «Экология», одним из непосредственных участников которого является Федеральная служба по надзору в сфере защиты прав потребителей и благополучия человека, поставлена цель – повысить качество питьевой воды для населения Российской Федерации. Проектом предполагается к 2024 году увеличить долю населения Российской Федерации, обеспеченного питьевой водой, соответствующей требованиям безопасности, из централизованных систем водоснабжения до 90,8%, а городского населения – до 99,0%. В Брянской области до </w:t>
      </w:r>
      <w:r w:rsidRPr="0066263B">
        <w:rPr>
          <w:rFonts w:ascii="Times New Roman" w:eastAsia="Times New Roman" w:hAnsi="Times New Roman" w:cs="Times New Roman"/>
          <w:iCs/>
          <w:sz w:val="24"/>
          <w:szCs w:val="24"/>
          <w:lang w:eastAsia="ru-RU"/>
        </w:rPr>
        <w:t xml:space="preserve">– </w:t>
      </w:r>
      <w:r w:rsidRPr="0066263B">
        <w:rPr>
          <w:rFonts w:ascii="Times New Roman" w:eastAsia="Times New Roman" w:hAnsi="Times New Roman" w:cs="Times New Roman"/>
          <w:sz w:val="24"/>
          <w:szCs w:val="24"/>
          <w:lang w:eastAsia="ru-RU"/>
        </w:rPr>
        <w:t>89,4% и 99,6% соответственно.</w:t>
      </w:r>
    </w:p>
    <w:p w:rsidR="00951F3A" w:rsidRPr="0066263B" w:rsidRDefault="00951F3A" w:rsidP="00951F3A">
      <w:pPr>
        <w:spacing w:before="0" w:after="0"/>
        <w:ind w:firstLine="708"/>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sz w:val="24"/>
          <w:szCs w:val="24"/>
          <w:lang w:eastAsia="ru-RU"/>
        </w:rPr>
        <w:t>Реализация мероприятий Федерального проекта «Чистая вода» запланирована на 6 лет (01.10.2018 – 31.12.2024). Все мероприятия и основные количественные показатели, отражённые в нём, оперируют понятием «качественная питьевая вода». В 20</w:t>
      </w:r>
      <w:r w:rsidR="003337E9">
        <w:rPr>
          <w:rFonts w:ascii="Times New Roman" w:eastAsia="Times New Roman" w:hAnsi="Times New Roman" w:cs="Times New Roman"/>
          <w:sz w:val="24"/>
          <w:szCs w:val="24"/>
          <w:lang w:eastAsia="ru-RU"/>
        </w:rPr>
        <w:t>21</w:t>
      </w:r>
      <w:r w:rsidRPr="0066263B">
        <w:rPr>
          <w:rFonts w:ascii="Times New Roman" w:eastAsia="Times New Roman" w:hAnsi="Times New Roman" w:cs="Times New Roman"/>
          <w:sz w:val="24"/>
          <w:szCs w:val="24"/>
          <w:lang w:eastAsia="ru-RU"/>
        </w:rPr>
        <w:t xml:space="preserve"> году оценка показателей проекта проводилась по методическим рекомендациям, утверждённым 27.03.2019 «Методика по оценке повышения качества питьевой воды, подаваемой системами централизованного питьевого водоснабжения».</w:t>
      </w:r>
    </w:p>
    <w:p w:rsidR="00951F3A" w:rsidRPr="0066263B" w:rsidRDefault="00951F3A" w:rsidP="00951F3A">
      <w:pPr>
        <w:spacing w:before="0" w:after="0"/>
        <w:ind w:firstLine="709"/>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iCs/>
          <w:sz w:val="24"/>
          <w:szCs w:val="24"/>
          <w:lang w:eastAsia="ru-RU"/>
        </w:rPr>
        <w:t>Доля населения, имеющего централизованное водоснабжение и обеспеченное доброкачественной питьевой водой, составила 84,49%. Доля городского населения, имеющего централизованное водоснабжение и обеспеченное доброкачественной питьевой водой, составила 91,35%.</w:t>
      </w:r>
    </w:p>
    <w:p w:rsidR="00951F3A" w:rsidRPr="0066263B" w:rsidRDefault="00951F3A" w:rsidP="00951F3A">
      <w:pPr>
        <w:spacing w:before="0" w:after="0"/>
        <w:ind w:firstLine="709"/>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iCs/>
          <w:sz w:val="24"/>
          <w:szCs w:val="24"/>
          <w:lang w:eastAsia="ru-RU"/>
        </w:rPr>
        <w:lastRenderedPageBreak/>
        <w:t>Таким образом, в целом, отмечается улучшение качества питьевой воды, как по микробиологическим, так и по химическим показателям, несмотря на нестабильное качество воды в источниках водоснабжения.</w:t>
      </w:r>
    </w:p>
    <w:p w:rsidR="00951F3A" w:rsidRPr="0066263B" w:rsidRDefault="00951F3A" w:rsidP="00951F3A">
      <w:pPr>
        <w:spacing w:before="0" w:after="0"/>
        <w:ind w:firstLine="709"/>
        <w:rPr>
          <w:rFonts w:ascii="Times New Roman" w:eastAsia="Times New Roman" w:hAnsi="Times New Roman" w:cs="Times New Roman"/>
          <w:iCs/>
          <w:sz w:val="24"/>
          <w:szCs w:val="24"/>
          <w:lang w:eastAsia="ru-RU"/>
        </w:rPr>
      </w:pPr>
      <w:r w:rsidRPr="0066263B">
        <w:rPr>
          <w:rFonts w:ascii="Times New Roman" w:eastAsia="Times New Roman" w:hAnsi="Times New Roman" w:cs="Times New Roman"/>
          <w:iCs/>
          <w:sz w:val="24"/>
          <w:szCs w:val="24"/>
          <w:lang w:eastAsia="ru-RU"/>
        </w:rPr>
        <w:t>Однако, на отдельных административных территориях показатели проб воды не соответствующих гигиеническим нормативам как по санитарно-химическим, так и микробиологическим показателям значительно превышают среднеобластные показатели.</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Брянской области принята региональная программа по строительству новых и модернизации существующих очистных сооружений. За 5 лет предстоит построить и реконструировать 18 объектов, объём финансирования составляет почти 2 миллиарда рублей.</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течение 2021 года по вопросу соблюдения санитарного законодательства в сфере водоотведения населённых мест и работы очистных сооружений специалистами Управления Роспотребнадзора по Брянской области было проведено 6 проверок совместно с органами прокуратуры (2020 – 19; 2019 – 6; 2018 – 7).</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Информация по результатам мониторинга за состоянием атмосферного воздуха в жилой застройке для принятия управленческих решений ежегодно направляется в исполнительные органы субъекта федерации и органы местного самоуправления.</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Специалистами Управления Роспотребнадзора по Брянской области осуществляются контрольно-надзорные мероприятия по охране атмосферного воздуха планово и внепланово (по обращению граждан, запросам прокуратуры, информации МЧС).</w:t>
      </w:r>
    </w:p>
    <w:p w:rsidR="00951F3A" w:rsidRPr="0066263B" w:rsidRDefault="00951F3A" w:rsidP="00951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Надзор за организацией санитарно-защитных зон (далее – СЗЗ) предприятий сооружений и иных объектов, являющихся источниками негативного воздействия на среду обитания и здоровье человека, продолжает оставаться одним из приоритетных направлений деятельности.</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настоящее время юридическими лицами и индивидуальными предпринимателями принимаются меры по установлению санитарно-защитных зон в соответствии с Постановлением Правительства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2021 году было выдано 14 решений об установлении санитарно-защитных зон.</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Для обеспечения эффективности деятельности юридических лиц и хозяйствующих субъектов по соблюдению санитарного законодательства в сфере обращения с отходами производства и потребления на территории области действует ряд законодательных и других регламентирующих документов.</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Контроль за</w:t>
      </w:r>
      <w:proofErr w:type="gramEnd"/>
      <w:r w:rsidRPr="0066263B">
        <w:rPr>
          <w:rFonts w:ascii="Times New Roman" w:eastAsia="Times New Roman" w:hAnsi="Times New Roman" w:cs="Times New Roman"/>
          <w:sz w:val="24"/>
          <w:szCs w:val="24"/>
          <w:lang w:eastAsia="ru-RU"/>
        </w:rPr>
        <w:t xml:space="preserve"> соблюдением требований санитарного законодательства в сфере обращения с твёрдыми коммунальными отходами (далее – ТКО) является одним из важнейших направлений в деятельности Управления Роспотребнадзора по Брянской области.</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территории области утверждена территориальная схема по обращению с отходами. С 01.01.2019 начал свою деятельность региональный оператор по обращению с отходами </w:t>
      </w:r>
      <w:r w:rsidRPr="0066263B">
        <w:rPr>
          <w:rFonts w:ascii="Times New Roman" w:eastAsia="Times New Roman" w:hAnsi="Times New Roman" w:cs="Times New Roman"/>
          <w:iCs/>
          <w:sz w:val="24"/>
          <w:szCs w:val="24"/>
          <w:lang w:eastAsia="ru-RU"/>
        </w:rPr>
        <w:t>– АО «Чистая планета»</w:t>
      </w:r>
      <w:r w:rsidRPr="0066263B">
        <w:rPr>
          <w:rFonts w:ascii="Times New Roman" w:eastAsia="Times New Roman" w:hAnsi="Times New Roman" w:cs="Times New Roman"/>
          <w:sz w:val="24"/>
          <w:szCs w:val="24"/>
          <w:lang w:eastAsia="ru-RU"/>
        </w:rPr>
        <w:t>, с деятельностью которого связаны изменения в вопросах организации сбора, транспортирования, обработки, размещения, утилизации и обезвреживания отходов. Конечная цель этих преобразований следующая:</w:t>
      </w:r>
    </w:p>
    <w:p w:rsidR="00951F3A" w:rsidRPr="0066263B" w:rsidRDefault="00951F3A" w:rsidP="00951F3A">
      <w:pPr>
        <w:numPr>
          <w:ilvl w:val="0"/>
          <w:numId w:val="54"/>
        </w:numPr>
        <w:spacing w:before="0" w:after="0"/>
        <w:ind w:left="1134"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повысить процент утилизации твёрдых коммунальных отходов;</w:t>
      </w:r>
    </w:p>
    <w:p w:rsidR="00951F3A" w:rsidRPr="0066263B" w:rsidRDefault="00951F3A" w:rsidP="00951F3A">
      <w:pPr>
        <w:numPr>
          <w:ilvl w:val="0"/>
          <w:numId w:val="54"/>
        </w:numPr>
        <w:spacing w:before="0" w:after="0"/>
        <w:ind w:left="1134"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не допускать размещение на полигонах ТКО отходов, которые можно утилизировать;</w:t>
      </w:r>
    </w:p>
    <w:p w:rsidR="00951F3A" w:rsidRPr="0066263B" w:rsidRDefault="00951F3A" w:rsidP="00951F3A">
      <w:pPr>
        <w:numPr>
          <w:ilvl w:val="0"/>
          <w:numId w:val="54"/>
        </w:numPr>
        <w:spacing w:before="0" w:after="0"/>
        <w:ind w:left="1134"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ликвидировать несанкционированные свалки и навалы, и не допускать их образования.</w:t>
      </w:r>
    </w:p>
    <w:p w:rsidR="003337E9" w:rsidRDefault="003337E9" w:rsidP="00951F3A">
      <w:pPr>
        <w:spacing w:before="0" w:after="0"/>
        <w:ind w:firstLine="709"/>
        <w:rPr>
          <w:rFonts w:ascii="Times New Roman" w:eastAsia="Times New Roman" w:hAnsi="Times New Roman" w:cs="Times New Roman"/>
          <w:sz w:val="24"/>
          <w:szCs w:val="24"/>
          <w:lang w:eastAsia="ru-RU"/>
        </w:rPr>
      </w:pP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Для обезвреживания твёрдых коммунальных отходов в области действует 12 полигонов ТКО, включённых в ГРОРО. На сегодняшний день, на полигонах ТКО размещено не менее 350 000 тонн твёрдых коммунальных отходов. </w:t>
      </w:r>
      <w:proofErr w:type="gramStart"/>
      <w:r w:rsidRPr="0066263B">
        <w:rPr>
          <w:rFonts w:ascii="Times New Roman" w:eastAsia="Times New Roman" w:hAnsi="Times New Roman" w:cs="Times New Roman"/>
          <w:sz w:val="24"/>
          <w:szCs w:val="24"/>
          <w:lang w:eastAsia="ru-RU"/>
        </w:rPr>
        <w:t>До 2024 года планируется ввести ещё 5 полигонов для размещения ТКО (построены, но не введены в эксплуатацию.</w:t>
      </w:r>
      <w:proofErr w:type="gramEnd"/>
      <w:r w:rsidRPr="0066263B">
        <w:rPr>
          <w:rFonts w:ascii="Times New Roman" w:eastAsia="Times New Roman" w:hAnsi="Times New Roman" w:cs="Times New Roman"/>
          <w:sz w:val="24"/>
          <w:szCs w:val="24"/>
          <w:lang w:eastAsia="ru-RU"/>
        </w:rPr>
        <w:t xml:space="preserve"> Суммарная проектная вместимость 1 212,53 тыс.т).</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рамках реализации территориальной схемы по обращению с отходами региональным оператором принимаются меры по раздельному сбору твёрдых коммунальных отходов с целью их дальнейшей утилизации.</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Брянской области составлен реестр контейнерных площадок.</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Работа по составлению реестра продолжается, уточняются места нахождения контейнерных площадок, расположенных на территории хозяйствующих объектов. </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Ведётся работа по строительству мусоросортировочных станций за счёт внебюджетных средств. Инвестором по строительству данных объектов выступает региональный оператор по обращению с ТКО – АО «Чистая планета», которым осуществлен ввод в эксплуатацию мусоросортировочных линий в г.г. Клинцы, Новозыбкове, Жуковском, Трубчевском и Суражском районах, в </w:t>
      </w:r>
      <w:proofErr w:type="spellStart"/>
      <w:r w:rsidRPr="0066263B">
        <w:rPr>
          <w:rFonts w:ascii="Times New Roman" w:eastAsia="Times New Roman" w:hAnsi="Times New Roman" w:cs="Times New Roman"/>
          <w:sz w:val="24"/>
          <w:szCs w:val="24"/>
          <w:lang w:eastAsia="ru-RU"/>
        </w:rPr>
        <w:t>рп</w:t>
      </w:r>
      <w:proofErr w:type="spellEnd"/>
      <w:r w:rsidRPr="0066263B">
        <w:rPr>
          <w:rFonts w:ascii="Times New Roman" w:eastAsia="Times New Roman" w:hAnsi="Times New Roman" w:cs="Times New Roman"/>
          <w:sz w:val="24"/>
          <w:szCs w:val="24"/>
          <w:lang w:eastAsia="ru-RU"/>
        </w:rPr>
        <w:t>. Комаричи.</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Одним из обязательств регионального оператора является организация раздельного накопления ТКО на территории Брянской области.</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Продолжают функционировать 15 пунктов платного приёма вторичного сырья: три – в г. Брянске, а также </w:t>
      </w:r>
      <w:proofErr w:type="gramStart"/>
      <w:r w:rsidRPr="0066263B">
        <w:rPr>
          <w:rFonts w:ascii="Times New Roman" w:eastAsia="Times New Roman" w:hAnsi="Times New Roman" w:cs="Times New Roman"/>
          <w:sz w:val="24"/>
          <w:szCs w:val="24"/>
          <w:lang w:eastAsia="ru-RU"/>
        </w:rPr>
        <w:t>в</w:t>
      </w:r>
      <w:proofErr w:type="gramEnd"/>
      <w:r w:rsidRPr="0066263B">
        <w:rPr>
          <w:rFonts w:ascii="Times New Roman" w:eastAsia="Times New Roman" w:hAnsi="Times New Roman" w:cs="Times New Roman"/>
          <w:sz w:val="24"/>
          <w:szCs w:val="24"/>
          <w:lang w:eastAsia="ru-RU"/>
        </w:rPr>
        <w:t xml:space="preserve"> с. </w:t>
      </w:r>
      <w:proofErr w:type="spellStart"/>
      <w:r w:rsidRPr="0066263B">
        <w:rPr>
          <w:rFonts w:ascii="Times New Roman" w:eastAsia="Times New Roman" w:hAnsi="Times New Roman" w:cs="Times New Roman"/>
          <w:sz w:val="24"/>
          <w:szCs w:val="24"/>
          <w:lang w:eastAsia="ru-RU"/>
        </w:rPr>
        <w:t>Супонево</w:t>
      </w:r>
      <w:proofErr w:type="spell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рп</w:t>
      </w:r>
      <w:proofErr w:type="spellEnd"/>
      <w:r w:rsidRPr="0066263B">
        <w:rPr>
          <w:rFonts w:ascii="Times New Roman" w:eastAsia="Times New Roman" w:hAnsi="Times New Roman" w:cs="Times New Roman"/>
          <w:sz w:val="24"/>
          <w:szCs w:val="24"/>
          <w:lang w:eastAsia="ru-RU"/>
        </w:rPr>
        <w:t xml:space="preserve">. Комаричи, п. Суземка, </w:t>
      </w:r>
      <w:proofErr w:type="spellStart"/>
      <w:r w:rsidRPr="0066263B">
        <w:rPr>
          <w:rFonts w:ascii="Times New Roman" w:eastAsia="Times New Roman" w:hAnsi="Times New Roman" w:cs="Times New Roman"/>
          <w:sz w:val="24"/>
          <w:szCs w:val="24"/>
          <w:lang w:eastAsia="ru-RU"/>
        </w:rPr>
        <w:t>рп</w:t>
      </w:r>
      <w:proofErr w:type="spellEnd"/>
      <w:r w:rsidRPr="0066263B">
        <w:rPr>
          <w:rFonts w:ascii="Times New Roman" w:eastAsia="Times New Roman" w:hAnsi="Times New Roman" w:cs="Times New Roman"/>
          <w:sz w:val="24"/>
          <w:szCs w:val="24"/>
          <w:lang w:eastAsia="ru-RU"/>
        </w:rPr>
        <w:t xml:space="preserve">. Навля,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xml:space="preserve">. Клинцы, г. Злынка, г. Почеп, г. Дятьково, </w:t>
      </w:r>
      <w:proofErr w:type="spellStart"/>
      <w:r w:rsidRPr="0066263B">
        <w:rPr>
          <w:rFonts w:ascii="Times New Roman" w:eastAsia="Times New Roman" w:hAnsi="Times New Roman" w:cs="Times New Roman"/>
          <w:sz w:val="24"/>
          <w:szCs w:val="24"/>
          <w:lang w:eastAsia="ru-RU"/>
        </w:rPr>
        <w:t>мкр</w:t>
      </w:r>
      <w:proofErr w:type="spellEnd"/>
      <w:r w:rsidRPr="0066263B">
        <w:rPr>
          <w:rFonts w:ascii="Times New Roman" w:eastAsia="Times New Roman" w:hAnsi="Times New Roman" w:cs="Times New Roman"/>
          <w:sz w:val="24"/>
          <w:szCs w:val="24"/>
          <w:lang w:eastAsia="ru-RU"/>
        </w:rPr>
        <w:t xml:space="preserve">. Шибенец г. Фокино, </w:t>
      </w:r>
      <w:proofErr w:type="gramStart"/>
      <w:r w:rsidRPr="0066263B">
        <w:rPr>
          <w:rFonts w:ascii="Times New Roman" w:eastAsia="Times New Roman" w:hAnsi="Times New Roman" w:cs="Times New Roman"/>
          <w:sz w:val="24"/>
          <w:szCs w:val="24"/>
          <w:lang w:eastAsia="ru-RU"/>
        </w:rPr>
        <w:t>с</w:t>
      </w:r>
      <w:proofErr w:type="gramEnd"/>
      <w:r w:rsidRPr="0066263B">
        <w:rPr>
          <w:rFonts w:ascii="Times New Roman" w:eastAsia="Times New Roman" w:hAnsi="Times New Roman" w:cs="Times New Roman"/>
          <w:sz w:val="24"/>
          <w:szCs w:val="24"/>
          <w:lang w:eastAsia="ru-RU"/>
        </w:rPr>
        <w:t>. </w:t>
      </w:r>
      <w:proofErr w:type="gramStart"/>
      <w:r w:rsidRPr="0066263B">
        <w:rPr>
          <w:rFonts w:ascii="Times New Roman" w:eastAsia="Times New Roman" w:hAnsi="Times New Roman" w:cs="Times New Roman"/>
          <w:sz w:val="24"/>
          <w:szCs w:val="24"/>
          <w:lang w:eastAsia="ru-RU"/>
        </w:rPr>
        <w:t>Гордеевка</w:t>
      </w:r>
      <w:proofErr w:type="gramEnd"/>
      <w:r w:rsidRPr="0066263B">
        <w:rPr>
          <w:rFonts w:ascii="Times New Roman" w:eastAsia="Times New Roman" w:hAnsi="Times New Roman" w:cs="Times New Roman"/>
          <w:sz w:val="24"/>
          <w:szCs w:val="24"/>
          <w:lang w:eastAsia="ru-RU"/>
        </w:rPr>
        <w:t xml:space="preserve">, г. Мглин, г. Сураж. </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адрес Управления Роспотребнадзора по Брянской области поступило 76 жалоб от населения по вопросам обращения с отходами и неудовлетворительного санитарного состояния территорий населённых мест.</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Наибольшее количество жалоб, поступающих в Управление, связано с местами накопления твёрдых коммунальных отходов, т.е. с содержанием контейнерных площадок.</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По-прежнему актуальными остаются вопросы утилизации медицинских отходов. Вопросы обращения с отходами в основном решены: разработаны схемы сбора и удаления отходов, инструкции по правилам обращения, исключена возможность повторного использования инструментария. В ЛПУ приобретена одноразовая тара, контейнеры для временного хранения отходов, соблюдаются правила дезинфекции </w:t>
      </w:r>
      <w:proofErr w:type="spellStart"/>
      <w:r w:rsidRPr="0066263B">
        <w:rPr>
          <w:rFonts w:ascii="Times New Roman" w:eastAsia="Times New Roman" w:hAnsi="Times New Roman" w:cs="Times New Roman"/>
          <w:sz w:val="24"/>
          <w:szCs w:val="24"/>
          <w:lang w:eastAsia="ru-RU"/>
        </w:rPr>
        <w:t>эпидемиологически</w:t>
      </w:r>
      <w:proofErr w:type="spellEnd"/>
      <w:r w:rsidRPr="0066263B">
        <w:rPr>
          <w:rFonts w:ascii="Times New Roman" w:eastAsia="Times New Roman" w:hAnsi="Times New Roman" w:cs="Times New Roman"/>
          <w:sz w:val="24"/>
          <w:szCs w:val="24"/>
          <w:lang w:eastAsia="ru-RU"/>
        </w:rPr>
        <w:t xml:space="preserve"> опасных отходов.</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рамках работы госпиталей по лечению новой коронавирусной инфекции сбор медицинских отходов организован региональным оператором Брянской области.</w:t>
      </w:r>
    </w:p>
    <w:p w:rsidR="00951F3A" w:rsidRPr="0066263B" w:rsidRDefault="00951F3A" w:rsidP="00951F3A">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Контроль за</w:t>
      </w:r>
      <w:proofErr w:type="gramEnd"/>
      <w:r w:rsidRPr="0066263B">
        <w:rPr>
          <w:rFonts w:ascii="Times New Roman" w:eastAsia="Times New Roman" w:hAnsi="Times New Roman" w:cs="Times New Roman"/>
          <w:sz w:val="24"/>
          <w:szCs w:val="24"/>
          <w:lang w:eastAsia="ru-RU"/>
        </w:rPr>
        <w:t xml:space="preserve"> сбором, хранением и обезвреживанием медицинских отходов продолжает оставаться важной задачей.</w:t>
      </w:r>
    </w:p>
    <w:p w:rsidR="00951F3A" w:rsidRPr="0066263B" w:rsidRDefault="00951F3A" w:rsidP="006854FF">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Брянской области большое внимание уделяется вопросам летнего отдыха детей и подростков. Ежегодно на уровне Правительства Брянской области, Брянской областной Думы заслушиваются актуальные вопросы подготовки и проведения летней оздоровительной кампании (далее – ЛОК).</w:t>
      </w:r>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Проведение оздоровительной кампании 2021 года на территории региона регламентировалось Указом Губернатора Брянской области от 03.03.2021 № 27 «Об организации отдыха и оздоровления детей в Брянской области в 2021 году».</w:t>
      </w:r>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Брянской области ЛОК-2021 началась с 01.06.2021 года.</w:t>
      </w:r>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Департаментом образования и науки Брянской области был сформирован и размещён на официальном сайте региональный реестр организаций отдыха детей и их оздоровления на территории Брянской области.</w:t>
      </w:r>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учётом сложившейся эпидемиологической ситуации организационные мероприятия (совещания с балансодержателями оздоровительных учреждений, представителям надзорных ведомств) проводились дистанционно.</w:t>
      </w:r>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рамках подготовки к оздоровительному сезону 2021 года организации провели работу по подготовке территорий, улучшению их материально-технической базы, развитию инфраструктуры.</w:t>
      </w:r>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проведение ремонтных работ организациями потрачено более 32 млн. рублей (в лагерях – 10 млн. руб., в санаториях – 22 млн. руб.). </w:t>
      </w:r>
      <w:proofErr w:type="gramStart"/>
      <w:r w:rsidRPr="0066263B">
        <w:rPr>
          <w:rFonts w:ascii="Times New Roman" w:eastAsia="Times New Roman" w:hAnsi="Times New Roman" w:cs="Times New Roman"/>
          <w:sz w:val="24"/>
          <w:szCs w:val="24"/>
          <w:lang w:eastAsia="ru-RU"/>
        </w:rPr>
        <w:t>Обновлены оборудование, техника, мебель на общую сумму более 12 млн. рублей (в лагерях – 3 млн. руб., в санаториях – 9 млн. руб.).</w:t>
      </w:r>
      <w:proofErr w:type="gramEnd"/>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Бюджетная доля компенсации стоимости путёвки для категории детей, находящихся в трудной жизненной ситуации, (из расчёта продолжительности смены 21 день) составляет:</w:t>
      </w:r>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для детей, находящихся в трудной жизненной ситуации:</w:t>
      </w:r>
    </w:p>
    <w:p w:rsidR="00C35F3A" w:rsidRPr="0066263B" w:rsidRDefault="00C35F3A" w:rsidP="00BE7104">
      <w:pPr>
        <w:numPr>
          <w:ilvl w:val="0"/>
          <w:numId w:val="56"/>
        </w:numPr>
        <w:spacing w:before="0" w:after="0"/>
        <w:ind w:left="1276" w:hanging="283"/>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в лагерях санаторного типа – 17 010 руб.;</w:t>
      </w:r>
    </w:p>
    <w:p w:rsidR="00C35F3A" w:rsidRPr="0066263B" w:rsidRDefault="00C35F3A" w:rsidP="00BE7104">
      <w:pPr>
        <w:numPr>
          <w:ilvl w:val="0"/>
          <w:numId w:val="56"/>
        </w:numPr>
        <w:spacing w:before="0" w:after="0"/>
        <w:ind w:left="1276" w:hanging="283"/>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в загородных лагерях – 13 566 руб.;</w:t>
      </w:r>
    </w:p>
    <w:p w:rsidR="00C35F3A" w:rsidRPr="0066263B" w:rsidRDefault="00C35F3A" w:rsidP="00C35F3A">
      <w:pPr>
        <w:spacing w:after="0"/>
        <w:ind w:firstLine="851"/>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для всех категорий детей, не являющихся льготными (с родительской долей):</w:t>
      </w:r>
    </w:p>
    <w:p w:rsidR="00C35F3A" w:rsidRPr="0066263B" w:rsidRDefault="00C35F3A" w:rsidP="00BE7104">
      <w:pPr>
        <w:numPr>
          <w:ilvl w:val="0"/>
          <w:numId w:val="56"/>
        </w:numPr>
        <w:spacing w:before="0" w:after="0"/>
        <w:ind w:left="1276" w:hanging="283"/>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в лагерях санаторного типа – 10 215 руб.;</w:t>
      </w:r>
    </w:p>
    <w:p w:rsidR="00C35F3A" w:rsidRPr="0066263B" w:rsidRDefault="00C35F3A" w:rsidP="00BE7104">
      <w:pPr>
        <w:numPr>
          <w:ilvl w:val="0"/>
          <w:numId w:val="56"/>
        </w:numPr>
        <w:spacing w:before="0" w:after="0"/>
        <w:ind w:left="1276" w:hanging="283"/>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в загородных лагерях – 8 150 руб.</w:t>
      </w:r>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p>
    <w:p w:rsidR="00C35F3A" w:rsidRPr="0066263B" w:rsidRDefault="00C35F3A" w:rsidP="00C35F3A">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Пребывание 1 ребёнка в сутки за счёт средств бюджета составило:</w:t>
      </w:r>
    </w:p>
    <w:p w:rsidR="00C35F3A" w:rsidRPr="0066263B" w:rsidRDefault="00C35F3A" w:rsidP="00BE7104">
      <w:pPr>
        <w:numPr>
          <w:ilvl w:val="0"/>
          <w:numId w:val="56"/>
        </w:numPr>
        <w:spacing w:before="0" w:after="0"/>
        <w:ind w:left="1276" w:hanging="283"/>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в лагерях санаторного типа – 810 руб. в сутки;</w:t>
      </w:r>
    </w:p>
    <w:p w:rsidR="00C35F3A" w:rsidRPr="0066263B" w:rsidRDefault="00C35F3A" w:rsidP="00BE7104">
      <w:pPr>
        <w:numPr>
          <w:ilvl w:val="0"/>
          <w:numId w:val="56"/>
        </w:numPr>
        <w:spacing w:before="0" w:after="0"/>
        <w:ind w:left="1276" w:hanging="283"/>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в загородных лагерях – 646 руб. в сутки.</w:t>
      </w:r>
    </w:p>
    <w:p w:rsidR="00C35F3A" w:rsidRPr="0066263B" w:rsidRDefault="00C35F3A" w:rsidP="00804D3B">
      <w:pPr>
        <w:spacing w:before="0" w:after="0"/>
        <w:ind w:firstLine="708"/>
        <w:rPr>
          <w:rFonts w:ascii="Times New Roman" w:eastAsia="Times New Roman" w:hAnsi="Times New Roman" w:cs="Times New Roman"/>
          <w:sz w:val="24"/>
          <w:szCs w:val="24"/>
          <w:lang w:eastAsia="ru-RU"/>
        </w:rPr>
      </w:pP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Путёвки между муниципальными образованиями распределялись согласно поступившим в Департамент образования и науки Брянской области заявкам, а также относительно среднесписочной численности учащихся в муниципальных образованиях Брянской области.</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Среди первоочередных мер, направленных на развитие системы отдыха и оздоровления детей в Брянской области важное место занимает подготовка квалифицированных кадров.</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Работники пищеблоков организаций отдыха и оздоровления в апреле-мае 2021 года прошли обучение на семинарах, организуемых Управлением потребительского рынка Брянской области, РЭУ им. Плеханова, и гигиеническую подготовку в ФБУЗ «Центр гигиены и эпидемиологии Брянской области».</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Для медицинского персонала загородных оздоровительных организаций обучающий семинар провёл Департамент здравоохранения Брянской области.</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100 представителей педагогических отрядов средних профессиональных и высших учебных заведений </w:t>
      </w:r>
      <w:proofErr w:type="gramStart"/>
      <w:r w:rsidRPr="0066263B">
        <w:rPr>
          <w:rFonts w:ascii="Times New Roman" w:eastAsia="Times New Roman" w:hAnsi="Times New Roman" w:cs="Times New Roman"/>
          <w:sz w:val="24"/>
          <w:szCs w:val="24"/>
          <w:lang w:eastAsia="ru-RU"/>
        </w:rPr>
        <w:t>г</w:t>
      </w:r>
      <w:proofErr w:type="gramEnd"/>
      <w:r w:rsidRPr="0066263B">
        <w:rPr>
          <w:rFonts w:ascii="Times New Roman" w:eastAsia="Times New Roman" w:hAnsi="Times New Roman" w:cs="Times New Roman"/>
          <w:sz w:val="24"/>
          <w:szCs w:val="24"/>
          <w:lang w:eastAsia="ru-RU"/>
        </w:rPr>
        <w:t>. Брянска и Брянской области прошли обучение в областной школе вожатых. Всем участникам выданы сертификаты на соответствие квалификации.</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Дезинфекционные, </w:t>
      </w:r>
      <w:proofErr w:type="spellStart"/>
      <w:r w:rsidRPr="0066263B">
        <w:rPr>
          <w:rFonts w:ascii="Times New Roman" w:eastAsia="Times New Roman" w:hAnsi="Times New Roman" w:cs="Times New Roman"/>
          <w:sz w:val="24"/>
          <w:szCs w:val="24"/>
          <w:lang w:eastAsia="ru-RU"/>
        </w:rPr>
        <w:t>дератизационные</w:t>
      </w:r>
      <w:proofErr w:type="spell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акарицидные</w:t>
      </w:r>
      <w:proofErr w:type="spellEnd"/>
      <w:r w:rsidRPr="0066263B">
        <w:rPr>
          <w:rFonts w:ascii="Times New Roman" w:eastAsia="Times New Roman" w:hAnsi="Times New Roman" w:cs="Times New Roman"/>
          <w:sz w:val="24"/>
          <w:szCs w:val="24"/>
          <w:lang w:eastAsia="ru-RU"/>
        </w:rPr>
        <w:t xml:space="preserve"> мероприятия были проведены до начала работы во всех загородных оздоровительных учреждениях – 24 га, в учреждения с дневным пребыванием, зонах отдыха, используемых для досуга детей и проведения спортивных мероприятий – 45 га. При обследовании территорий оздоровительных организаций и мест отдыха, проведённых после обработки, подтверждена эффективность провед</w:t>
      </w:r>
      <w:r w:rsidR="003337E9">
        <w:rPr>
          <w:rFonts w:ascii="Times New Roman" w:eastAsia="Times New Roman" w:hAnsi="Times New Roman" w:cs="Times New Roman"/>
          <w:sz w:val="24"/>
          <w:szCs w:val="24"/>
          <w:lang w:eastAsia="ru-RU"/>
        </w:rPr>
        <w:t>ё</w:t>
      </w:r>
      <w:r w:rsidRPr="0066263B">
        <w:rPr>
          <w:rFonts w:ascii="Times New Roman" w:eastAsia="Times New Roman" w:hAnsi="Times New Roman" w:cs="Times New Roman"/>
          <w:sz w:val="24"/>
          <w:szCs w:val="24"/>
          <w:lang w:eastAsia="ru-RU"/>
        </w:rPr>
        <w:t>нных мероприятий.</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Во всех оздоровительных учреждениях области питьевой режим организован с использованием </w:t>
      </w:r>
      <w:proofErr w:type="spellStart"/>
      <w:r w:rsidRPr="0066263B">
        <w:rPr>
          <w:rFonts w:ascii="Times New Roman" w:eastAsia="Times New Roman" w:hAnsi="Times New Roman" w:cs="Times New Roman"/>
          <w:sz w:val="24"/>
          <w:szCs w:val="24"/>
          <w:lang w:eastAsia="ru-RU"/>
        </w:rPr>
        <w:t>бутилированной</w:t>
      </w:r>
      <w:proofErr w:type="spellEnd"/>
      <w:r w:rsidRPr="0066263B">
        <w:rPr>
          <w:rFonts w:ascii="Times New Roman" w:eastAsia="Times New Roman" w:hAnsi="Times New Roman" w:cs="Times New Roman"/>
          <w:sz w:val="24"/>
          <w:szCs w:val="24"/>
          <w:lang w:eastAsia="ru-RU"/>
        </w:rPr>
        <w:t xml:space="preserve"> воды, имеющей документы, подтверждающие её происхождение, качество и безопасность, а также с организацией стационарных питьевых фонтанчиков (отобранные пробы воды соответствовали гигиеническим нормативам по санитарно-химическим, микробиологическим и паразитологическим показателям).</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Весь персонал оздоровительных учреждений перед началом ЛОК прошёл медицинские осмотры, гигиеническое обучение, сотрудники пищеблоков прошли лабораторное обследование с целью определения возбудителей острых кишечных инфекций вирусной этиологии (положительных результатов не выявлено).</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Брянской области купание организованных групп детей не проводилось, в связи с отсутствием пляжей и мест отдыха вблизи загородных лагерей. Оздоровительные учреждения в ходе ЛОК-2021 не использовали водные объекты в рекреационных целях.</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3 организациях отдыха и оздоровления детей купание детей было организовано в бассейнах закрытого типа, под контролем инструкторов лечебно-оздоровительной физкультуры (санатории «Дубрава», «</w:t>
      </w:r>
      <w:proofErr w:type="spellStart"/>
      <w:r w:rsidRPr="0066263B">
        <w:rPr>
          <w:rFonts w:ascii="Times New Roman" w:eastAsia="Times New Roman" w:hAnsi="Times New Roman" w:cs="Times New Roman"/>
          <w:sz w:val="24"/>
          <w:szCs w:val="24"/>
          <w:lang w:eastAsia="ru-RU"/>
        </w:rPr>
        <w:t>Домашово</w:t>
      </w:r>
      <w:proofErr w:type="spellEnd"/>
      <w:r w:rsidRPr="0066263B">
        <w:rPr>
          <w:rFonts w:ascii="Times New Roman" w:eastAsia="Times New Roman" w:hAnsi="Times New Roman" w:cs="Times New Roman"/>
          <w:sz w:val="24"/>
          <w:szCs w:val="24"/>
          <w:lang w:eastAsia="ru-RU"/>
        </w:rPr>
        <w:t>», «</w:t>
      </w:r>
      <w:proofErr w:type="spellStart"/>
      <w:r w:rsidRPr="0066263B">
        <w:rPr>
          <w:rFonts w:ascii="Times New Roman" w:eastAsia="Times New Roman" w:hAnsi="Times New Roman" w:cs="Times New Roman"/>
          <w:sz w:val="24"/>
          <w:szCs w:val="24"/>
          <w:lang w:eastAsia="ru-RU"/>
        </w:rPr>
        <w:t>Белобережский</w:t>
      </w:r>
      <w:proofErr w:type="spellEnd"/>
      <w:r w:rsidRPr="0066263B">
        <w:rPr>
          <w:rFonts w:ascii="Times New Roman" w:eastAsia="Times New Roman" w:hAnsi="Times New Roman" w:cs="Times New Roman"/>
          <w:sz w:val="24"/>
          <w:szCs w:val="24"/>
          <w:lang w:eastAsia="ru-RU"/>
        </w:rPr>
        <w:t>»). Купание было организовано под руководством квалифицированных инструкторов по плаванию. Перед купанием в обязательном порядке с детьми проводились инструктажи и беседы по технике безопасности.</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Управление Роспотребнадзора по Брянской области поступило 416 заявлений о проведении санитарно-эпидемиологических экспертиз зданий, строений, сооружений, помещений, оборудования и иного имущества для целей лицензирования деятельности, осуществляемой организацией отдыха детей и их оздоровления о соответствии санитарно-эпидемиологическим требованиям (100% от количества запланированных к работе). К работе в ЛОК-2021 приступили 415 учреждений. 1 стационарное загородное ЛОУ санаторного типа фактически не начало работу в рамках ЛОК-2021 </w:t>
      </w:r>
      <w:r w:rsidR="00C146A4">
        <w:rPr>
          <w:rFonts w:ascii="Times New Roman" w:eastAsia="Times New Roman" w:hAnsi="Times New Roman" w:cs="Times New Roman"/>
          <w:sz w:val="24"/>
          <w:szCs w:val="24"/>
          <w:lang w:eastAsia="ru-RU"/>
        </w:rPr>
        <w:t xml:space="preserve">в связи с </w:t>
      </w:r>
      <w:r w:rsidRPr="0066263B">
        <w:rPr>
          <w:rFonts w:ascii="Times New Roman" w:eastAsia="Times New Roman" w:hAnsi="Times New Roman" w:cs="Times New Roman"/>
          <w:sz w:val="24"/>
          <w:szCs w:val="24"/>
          <w:lang w:eastAsia="ru-RU"/>
        </w:rPr>
        <w:t>приостановлением деятельности.</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Специалистами ФБУЗ «Центр гигиены и эпидемиологии в Брянской области» были проведены санитарно-эпидемиологические обследования во всех 415 организациях отдыха детей и их оздоровления. По результатам обследований 16 организациям, не соответствовавшим требованиям санитарного законодательства, были выданы отрицательные санитарно-эпидемиологические заключения. В данных организациях отдыха и оздоровления детей после устранения выявленных нарушений были проведены повторные санитарно-эпидемиологические обследования и выданы положительные санитарно-эпидемиологические заключения о соответствии санитарно-эпидемиологическим требованиям.</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01 июня 2021 года на территории Брянской области стартовала очередная летняя оздоровительная кампания, в которой приняли участие 415 организаций отдыха и оздоровления детей, из них 19 стационарных лагерей загородного типа (5 санаторного типа, 3 – детских санатория, 11 – стационарных загородных лагерей), 369 организаций с дневным пребыванием.</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учреждениях отдыха и оздоровления региона в рамках летней оздоровительной кампании отдохнуло 38 805 детей, из них:</w:t>
      </w:r>
    </w:p>
    <w:p w:rsidR="00804D3B" w:rsidRPr="0066263B" w:rsidRDefault="00804D3B" w:rsidP="00BE7104">
      <w:pPr>
        <w:numPr>
          <w:ilvl w:val="0"/>
          <w:numId w:val="62"/>
        </w:numPr>
        <w:tabs>
          <w:tab w:val="left" w:pos="2602"/>
        </w:tabs>
        <w:spacing w:before="0" w:after="0"/>
        <w:ind w:left="993" w:hanging="284"/>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6 лагерей санаторного типа, где отдохнуло 3 100 детей;</w:t>
      </w:r>
    </w:p>
    <w:p w:rsidR="00804D3B" w:rsidRPr="0066263B" w:rsidRDefault="00804D3B" w:rsidP="00BE7104">
      <w:pPr>
        <w:numPr>
          <w:ilvl w:val="0"/>
          <w:numId w:val="62"/>
        </w:numPr>
        <w:tabs>
          <w:tab w:val="left" w:pos="2602"/>
        </w:tabs>
        <w:spacing w:before="0" w:after="0"/>
        <w:ind w:left="993" w:hanging="284"/>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8 загородных оздоровительных лагерей, где отдохнуло 8 806 детей;</w:t>
      </w:r>
    </w:p>
    <w:p w:rsidR="00804D3B" w:rsidRPr="0066263B" w:rsidRDefault="00804D3B" w:rsidP="00BE7104">
      <w:pPr>
        <w:numPr>
          <w:ilvl w:val="0"/>
          <w:numId w:val="62"/>
        </w:numPr>
        <w:tabs>
          <w:tab w:val="left" w:pos="2602"/>
        </w:tabs>
        <w:spacing w:before="0" w:after="0"/>
        <w:ind w:left="993" w:hanging="284"/>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3 государственных детских санатория, где отдохнуло 910 детей;</w:t>
      </w:r>
    </w:p>
    <w:p w:rsidR="00804D3B" w:rsidRPr="0066263B" w:rsidRDefault="00804D3B" w:rsidP="00BE7104">
      <w:pPr>
        <w:numPr>
          <w:ilvl w:val="0"/>
          <w:numId w:val="62"/>
        </w:numPr>
        <w:tabs>
          <w:tab w:val="left" w:pos="2602"/>
        </w:tabs>
        <w:spacing w:before="0" w:after="0"/>
        <w:ind w:left="993" w:hanging="284"/>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369 лагерей с дневным пребыванием, где отдохнуло 25 999 детей.</w:t>
      </w:r>
    </w:p>
    <w:p w:rsidR="00C35F3A" w:rsidRPr="0066263B" w:rsidRDefault="00C35F3A" w:rsidP="00804D3B">
      <w:pPr>
        <w:spacing w:before="0" w:after="0"/>
        <w:ind w:firstLine="708"/>
        <w:rPr>
          <w:rFonts w:ascii="Times New Roman" w:eastAsia="Times New Roman" w:hAnsi="Times New Roman" w:cs="Times New Roman"/>
          <w:sz w:val="24"/>
          <w:szCs w:val="24"/>
          <w:lang w:eastAsia="ru-RU"/>
        </w:rPr>
      </w:pP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ходе поведения ЛОК-2021 несанкционированных лагерей (не имеющих СЭЗ, не входящие в реестр, не подавших уведомление), лагерей, открывшихся позже </w:t>
      </w:r>
      <w:r w:rsidRPr="0066263B">
        <w:rPr>
          <w:rFonts w:ascii="Times New Roman" w:eastAsia="Times New Roman" w:hAnsi="Times New Roman" w:cs="Times New Roman"/>
          <w:sz w:val="24"/>
          <w:szCs w:val="24"/>
          <w:lang w:eastAsia="ru-RU"/>
        </w:rPr>
        <w:lastRenderedPageBreak/>
        <w:t>намеченного срока, лагерей, не начавших свою работу по причине нереализованных путёвок, смене собственника не установлено.</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ЛОК-2021 на территории Брянской области была организована в 4 смены.</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период проведения ЛОК-2021 в лагерях с дневным пребыванием организация питания осуществлялась организациями, питающими школьников в течение учебного года, в загородных учреждениях питание осуществлялось самостоятельно.</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Количество летних оздоровительных учреждений, где питание осуществляется самостоятельно – 270.</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Количество летних оздоровительных учреждений, где питание осуществляется сторонними организациями – 145.</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Количество операторов питания в летних оздоровительных учреждениях – 9, из них специализируются на организации питания детей – 9 (организуют питание в школах, садах, лагерях и др.).</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Положительной практикой в оздоровительных организациях Брянской области является тот факт, что производителями и поставщиками продуктов питания являются местные кампании и их доля составляет 85% (для организации поставок молока, мяса, хлебобулочной, овощной продукции привлечены местные производители).</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Единый реестр поставщиков продуктов питания в Брянской области отсутствует. В каждом районе области имеется перечень поставщиков. Указанный перечень доведён органами управления образования до Управления Роспотребнадзора по Брянской области.</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Правительством Брянской области было рекомендовано заключение прямых договоров на поставку продуктов питания в организации всех типов, в соответствие с п. 4, 5 ст. 93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летний период 2021 года на территории Брянской области в лагерях дневного пребывания было организовано полноценное 2-3-х разовое питание на сумму 120 рублей в день. Питание осуществлялось на базе школьных столовых, столовых загородных ЛОУ, учреждений общепита.</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Финансирование питания детей в пришкольных лагерях осуществлялось за счёт консолидированного бюджета:</w:t>
      </w:r>
    </w:p>
    <w:p w:rsidR="00804D3B" w:rsidRPr="0066263B" w:rsidRDefault="00804D3B" w:rsidP="00BE7104">
      <w:pPr>
        <w:numPr>
          <w:ilvl w:val="0"/>
          <w:numId w:val="57"/>
        </w:numPr>
        <w:tabs>
          <w:tab w:val="left" w:pos="2602"/>
        </w:tabs>
        <w:spacing w:before="0" w:after="0"/>
        <w:ind w:left="993" w:hanging="142"/>
        <w:contextualSpacing/>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за счёт средств областного бюджета – 52 руб.,</w:t>
      </w:r>
    </w:p>
    <w:p w:rsidR="00804D3B" w:rsidRPr="0066263B" w:rsidRDefault="00804D3B" w:rsidP="00BE7104">
      <w:pPr>
        <w:numPr>
          <w:ilvl w:val="0"/>
          <w:numId w:val="57"/>
        </w:numPr>
        <w:tabs>
          <w:tab w:val="left" w:pos="2602"/>
        </w:tabs>
        <w:spacing w:before="0" w:after="0"/>
        <w:ind w:left="993" w:hanging="142"/>
        <w:contextualSpacing/>
        <w:rPr>
          <w:rFonts w:ascii="Times New Roman" w:eastAsia="Times New Roman" w:hAnsi="Times New Roman" w:cs="Times New Roman"/>
          <w:sz w:val="24"/>
          <w:szCs w:val="24"/>
        </w:rPr>
      </w:pPr>
      <w:proofErr w:type="spellStart"/>
      <w:r w:rsidRPr="0066263B">
        <w:rPr>
          <w:rFonts w:ascii="Times New Roman" w:eastAsia="Times New Roman" w:hAnsi="Times New Roman" w:cs="Times New Roman"/>
          <w:sz w:val="24"/>
          <w:szCs w:val="24"/>
        </w:rPr>
        <w:t>софинансирование</w:t>
      </w:r>
      <w:proofErr w:type="spellEnd"/>
      <w:r w:rsidRPr="0066263B">
        <w:rPr>
          <w:rFonts w:ascii="Times New Roman" w:eastAsia="Times New Roman" w:hAnsi="Times New Roman" w:cs="Times New Roman"/>
          <w:sz w:val="24"/>
          <w:szCs w:val="24"/>
        </w:rPr>
        <w:t xml:space="preserve"> местного бюджета – не менее 30% от общего объёма расходных обязательств (22,28 руб.).</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Величина родительской доли определяется органами местного самоуправления, образовательными организациями и составляет в среднем от 20 до 30 рублей.</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загородных стационарных лагерях и санаторно-оздоровительных учреждениях питание 4-х разовое на 200 рублей, санаториях – 5-6-и разовое на сумму 200 рублей в день. Существующая стоимость питания позволила обеспечить выполнение физиологических норм питания, соответствие основному набору продуктов, использование обогащённой продукции (соль, хлеб, молоко, кондитерские изделия).</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Во всех оздоровительных учреждениях проводился анализ потребляемых продуктов питания.</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Оснований для внеплановых выездных, документарных проверок учреждений отдыха и оздоровления Брянской области в ходе ЛОК-2021 не было установлено. Жалоб и обращений родителей на нарушение санитарно-противоэпидемического законодательства в Управление не поступало.</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Специалистами Управления Роспотребнадзора по Брянской области и его территориальных отделов совместно с представителями прокуратуры было </w:t>
      </w:r>
      <w:r w:rsidRPr="0066263B">
        <w:rPr>
          <w:rFonts w:ascii="Times New Roman" w:eastAsia="Times New Roman" w:hAnsi="Times New Roman" w:cs="Times New Roman"/>
          <w:sz w:val="24"/>
          <w:szCs w:val="24"/>
          <w:lang w:eastAsia="ru-RU"/>
        </w:rPr>
        <w:lastRenderedPageBreak/>
        <w:t>обследовано 415 ЛОУ (перед началом оздоровительных смен и в ходе ЛОК-2021), при обследовании 64 ЛОУ были выявлены факты нарушения санитарного законодательства.</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числе выявленных нарушений санитарного законодательства:</w:t>
      </w:r>
    </w:p>
    <w:p w:rsidR="00804D3B" w:rsidRPr="0066263B" w:rsidRDefault="00804D3B" w:rsidP="00BE7104">
      <w:pPr>
        <w:numPr>
          <w:ilvl w:val="0"/>
          <w:numId w:val="63"/>
        </w:numPr>
        <w:spacing w:before="0" w:after="0"/>
        <w:ind w:left="993" w:hanging="284"/>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нарушение требований к маркировке и хранению уборочного инвентаря;</w:t>
      </w:r>
    </w:p>
    <w:p w:rsidR="00804D3B" w:rsidRPr="0066263B" w:rsidRDefault="00804D3B" w:rsidP="00BE7104">
      <w:pPr>
        <w:numPr>
          <w:ilvl w:val="0"/>
          <w:numId w:val="63"/>
        </w:numPr>
        <w:spacing w:before="0" w:after="0"/>
        <w:ind w:left="993" w:hanging="284"/>
        <w:rPr>
          <w:rFonts w:ascii="Times New Roman" w:eastAsia="Times New Roman" w:hAnsi="Times New Roman" w:cs="Times New Roman"/>
          <w:sz w:val="24"/>
          <w:szCs w:val="24"/>
        </w:rPr>
      </w:pPr>
      <w:r w:rsidRPr="0066263B">
        <w:rPr>
          <w:rFonts w:ascii="Times New Roman" w:eastAsia="Times New Roman" w:hAnsi="Times New Roman" w:cs="Times New Roman"/>
          <w:sz w:val="24"/>
          <w:szCs w:val="24"/>
        </w:rPr>
        <w:t>несоблюдение санитарных правил, предъявляющих требования к организации работы пищеблоков лагерей.</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Для лабораторных исследований по микробиологическим показателям отобрано 203 пробы готовой продукции, по санитарно-химическим показателям – 52 пробы, на показатели калорийности отобрано 48 проб, на показатель «С</w:t>
      </w:r>
      <w:proofErr w:type="gramStart"/>
      <w:r w:rsidRPr="0066263B">
        <w:rPr>
          <w:rFonts w:ascii="Times New Roman" w:eastAsia="Times New Roman" w:hAnsi="Times New Roman" w:cs="Times New Roman"/>
          <w:sz w:val="24"/>
          <w:szCs w:val="24"/>
          <w:lang w:eastAsia="ru-RU"/>
        </w:rPr>
        <w:t>»-</w:t>
      </w:r>
      <w:proofErr w:type="gramEnd"/>
      <w:r w:rsidRPr="0066263B">
        <w:rPr>
          <w:rFonts w:ascii="Times New Roman" w:eastAsia="Times New Roman" w:hAnsi="Times New Roman" w:cs="Times New Roman"/>
          <w:sz w:val="24"/>
          <w:szCs w:val="24"/>
          <w:lang w:eastAsia="ru-RU"/>
        </w:rPr>
        <w:t>витаминизация отобран</w:t>
      </w:r>
      <w:r w:rsidR="00C146A4">
        <w:rPr>
          <w:rFonts w:ascii="Times New Roman" w:eastAsia="Times New Roman" w:hAnsi="Times New Roman" w:cs="Times New Roman"/>
          <w:sz w:val="24"/>
          <w:szCs w:val="24"/>
          <w:lang w:eastAsia="ru-RU"/>
        </w:rPr>
        <w:t>ы</w:t>
      </w:r>
      <w:r w:rsidRPr="0066263B">
        <w:rPr>
          <w:rFonts w:ascii="Times New Roman" w:eastAsia="Times New Roman" w:hAnsi="Times New Roman" w:cs="Times New Roman"/>
          <w:sz w:val="24"/>
          <w:szCs w:val="24"/>
          <w:lang w:eastAsia="ru-RU"/>
        </w:rPr>
        <w:t xml:space="preserve"> 2 пробы. Все исследованные пробы, как и в 2020 году, соответствовали гигиеническим нормативам.</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Отобрано 484 пробы воды по санитарно-химическим показателям, 22 пробы не соответствовали гигиеническим нормативам или 4,5% (2020 – 4,8%), по микробиологическим показателям отобрано 910 проб, из них не соответствовали гигиеническим нормативам 7 проб или 0,7% (2020 – 3,4%).</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Критерии оценки эффективности оздоровления в загородных ЛОУ: рост, вес, динамометрия, ЖЕЛ, отсутствие заболеваний.</w:t>
      </w:r>
      <w:proofErr w:type="gramEnd"/>
      <w:r w:rsidRPr="0066263B">
        <w:rPr>
          <w:rFonts w:ascii="Times New Roman" w:eastAsia="Times New Roman" w:hAnsi="Times New Roman" w:cs="Times New Roman"/>
          <w:sz w:val="24"/>
          <w:szCs w:val="24"/>
          <w:lang w:eastAsia="ru-RU"/>
        </w:rPr>
        <w:t xml:space="preserve"> Критерии оценки эффективности оздоровления в лагерях с дневным пребыванием: рост и вес, частично динамометрия. Оздоровительный эффект в ЛОУ в 2021 году: выраженный – 92,1%, слабый – 7,8%, отсутствует – 0,1%.</w:t>
      </w:r>
    </w:p>
    <w:p w:rsidR="00804D3B" w:rsidRPr="0066263B" w:rsidRDefault="00804D3B" w:rsidP="00804D3B">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103</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Эффективность оздоровления детей в ходе летней оздоровительной кампании</w:t>
      </w:r>
    </w:p>
    <w:p w:rsidR="00324483" w:rsidRPr="0066263B" w:rsidRDefault="00324483" w:rsidP="00324483">
      <w:pPr>
        <w:spacing w:before="0" w:after="0"/>
        <w:ind w:firstLine="709"/>
        <w:jc w:val="center"/>
        <w:rPr>
          <w:rFonts w:ascii="Times New Roman" w:eastAsia="Times New Roman" w:hAnsi="Times New Roman" w:cs="Times New Roman"/>
          <w:lang w:eastAsia="ru-RU"/>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1"/>
        <w:gridCol w:w="886"/>
        <w:gridCol w:w="885"/>
        <w:gridCol w:w="885"/>
        <w:gridCol w:w="885"/>
      </w:tblGrid>
      <w:tr w:rsidR="00804D3B" w:rsidRPr="0066263B" w:rsidTr="00804D3B">
        <w:trPr>
          <w:cantSplit/>
          <w:trHeight w:val="213"/>
        </w:trPr>
        <w:tc>
          <w:tcPr>
            <w:tcW w:w="3047" w:type="pct"/>
            <w:tcBorders>
              <w:top w:val="single" w:sz="4" w:space="0" w:color="auto"/>
              <w:left w:val="single" w:sz="4" w:space="0" w:color="auto"/>
              <w:bottom w:val="single" w:sz="4" w:space="0" w:color="auto"/>
              <w:right w:val="single" w:sz="4" w:space="0" w:color="auto"/>
            </w:tcBorders>
            <w:vAlign w:val="center"/>
          </w:tcPr>
          <w:p w:rsidR="00804D3B" w:rsidRPr="0066263B" w:rsidRDefault="00804D3B" w:rsidP="00324483">
            <w:pPr>
              <w:spacing w:before="20" w:after="20"/>
              <w:jc w:val="center"/>
              <w:outlineLvl w:val="8"/>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Показатель</w:t>
            </w:r>
          </w:p>
        </w:tc>
        <w:tc>
          <w:tcPr>
            <w:tcW w:w="488" w:type="pct"/>
            <w:tcBorders>
              <w:top w:val="single" w:sz="4" w:space="0" w:color="auto"/>
              <w:left w:val="single" w:sz="4" w:space="0" w:color="auto"/>
              <w:right w:val="single" w:sz="4" w:space="0" w:color="auto"/>
            </w:tcBorders>
            <w:vAlign w:val="center"/>
          </w:tcPr>
          <w:p w:rsidR="00804D3B" w:rsidRPr="0066263B" w:rsidRDefault="00804D3B" w:rsidP="00A70AA8">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488" w:type="pct"/>
            <w:tcBorders>
              <w:top w:val="single" w:sz="4" w:space="0" w:color="auto"/>
              <w:left w:val="single" w:sz="4" w:space="0" w:color="auto"/>
              <w:right w:val="single" w:sz="4" w:space="0" w:color="auto"/>
            </w:tcBorders>
            <w:vAlign w:val="center"/>
          </w:tcPr>
          <w:p w:rsidR="00804D3B" w:rsidRPr="0066263B" w:rsidRDefault="00804D3B" w:rsidP="00A70AA8">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488" w:type="pct"/>
            <w:tcBorders>
              <w:top w:val="single" w:sz="4" w:space="0" w:color="auto"/>
              <w:left w:val="single" w:sz="4" w:space="0" w:color="auto"/>
              <w:right w:val="single" w:sz="4" w:space="0" w:color="auto"/>
            </w:tcBorders>
            <w:vAlign w:val="center"/>
          </w:tcPr>
          <w:p w:rsidR="00804D3B" w:rsidRPr="0066263B" w:rsidRDefault="00804D3B"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488" w:type="pct"/>
            <w:tcBorders>
              <w:top w:val="single" w:sz="4" w:space="0" w:color="auto"/>
              <w:left w:val="single" w:sz="4" w:space="0" w:color="auto"/>
              <w:right w:val="single" w:sz="4" w:space="0" w:color="auto"/>
            </w:tcBorders>
          </w:tcPr>
          <w:p w:rsidR="00804D3B" w:rsidRPr="0066263B" w:rsidRDefault="00804D3B" w:rsidP="00324483">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804D3B" w:rsidRPr="0066263B" w:rsidTr="00804D3B">
        <w:trPr>
          <w:cantSplit/>
        </w:trPr>
        <w:tc>
          <w:tcPr>
            <w:tcW w:w="3047" w:type="pct"/>
            <w:tcBorders>
              <w:top w:val="single" w:sz="4" w:space="0" w:color="auto"/>
              <w:left w:val="single" w:sz="4" w:space="0" w:color="auto"/>
              <w:bottom w:val="single" w:sz="4" w:space="0" w:color="auto"/>
              <w:right w:val="single" w:sz="4" w:space="0" w:color="auto"/>
            </w:tcBorders>
          </w:tcPr>
          <w:p w:rsidR="00804D3B" w:rsidRPr="0066263B" w:rsidRDefault="00804D3B"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Количество детей с выраженным оздоровительным эффектом, чел.</w:t>
            </w:r>
          </w:p>
        </w:tc>
        <w:tc>
          <w:tcPr>
            <w:tcW w:w="488" w:type="pct"/>
            <w:tcBorders>
              <w:top w:val="single" w:sz="4" w:space="0" w:color="auto"/>
              <w:left w:val="single" w:sz="4" w:space="0" w:color="auto"/>
              <w:bottom w:val="single" w:sz="4" w:space="0" w:color="auto"/>
              <w:right w:val="single" w:sz="4" w:space="0" w:color="auto"/>
            </w:tcBorders>
            <w:vAlign w:val="center"/>
          </w:tcPr>
          <w:p w:rsidR="00804D3B" w:rsidRPr="0066263B" w:rsidRDefault="00804D3B" w:rsidP="00A70AA8">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52029</w:t>
            </w:r>
          </w:p>
        </w:tc>
        <w:tc>
          <w:tcPr>
            <w:tcW w:w="488" w:type="pct"/>
            <w:tcBorders>
              <w:top w:val="single" w:sz="4" w:space="0" w:color="auto"/>
              <w:left w:val="single" w:sz="4" w:space="0" w:color="auto"/>
              <w:bottom w:val="single" w:sz="4" w:space="0" w:color="auto"/>
              <w:right w:val="single" w:sz="4" w:space="0" w:color="auto"/>
            </w:tcBorders>
            <w:vAlign w:val="center"/>
          </w:tcPr>
          <w:p w:rsidR="00804D3B" w:rsidRPr="0066263B" w:rsidRDefault="00804D3B" w:rsidP="00A70AA8">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53027</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804D3B" w:rsidRPr="0066263B" w:rsidRDefault="00804D3B"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20556</w:t>
            </w:r>
          </w:p>
        </w:tc>
        <w:tc>
          <w:tcPr>
            <w:tcW w:w="488" w:type="pct"/>
            <w:tcBorders>
              <w:top w:val="single" w:sz="4" w:space="0" w:color="auto"/>
              <w:left w:val="single" w:sz="4" w:space="0" w:color="auto"/>
              <w:bottom w:val="single" w:sz="4" w:space="0" w:color="auto"/>
              <w:right w:val="single" w:sz="4" w:space="0" w:color="auto"/>
            </w:tcBorders>
            <w:vAlign w:val="center"/>
          </w:tcPr>
          <w:p w:rsidR="00804D3B" w:rsidRPr="0066263B" w:rsidRDefault="00804D3B" w:rsidP="006F45C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35749</w:t>
            </w:r>
          </w:p>
        </w:tc>
      </w:tr>
      <w:tr w:rsidR="00804D3B" w:rsidRPr="0066263B" w:rsidTr="00804D3B">
        <w:trPr>
          <w:cantSplit/>
        </w:trPr>
        <w:tc>
          <w:tcPr>
            <w:tcW w:w="3047" w:type="pct"/>
            <w:tcBorders>
              <w:top w:val="single" w:sz="4" w:space="0" w:color="auto"/>
              <w:left w:val="single" w:sz="4" w:space="0" w:color="auto"/>
              <w:bottom w:val="single" w:sz="4" w:space="0" w:color="auto"/>
              <w:right w:val="single" w:sz="4" w:space="0" w:color="auto"/>
            </w:tcBorders>
          </w:tcPr>
          <w:p w:rsidR="00804D3B" w:rsidRPr="0066263B" w:rsidRDefault="00804D3B"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Доля детей с выраженным оздоровительным эффектом, %</w:t>
            </w:r>
          </w:p>
        </w:tc>
        <w:tc>
          <w:tcPr>
            <w:tcW w:w="488" w:type="pct"/>
            <w:tcBorders>
              <w:top w:val="single" w:sz="4" w:space="0" w:color="auto"/>
              <w:left w:val="single" w:sz="4" w:space="0" w:color="auto"/>
              <w:bottom w:val="single" w:sz="4" w:space="0" w:color="auto"/>
              <w:right w:val="single" w:sz="4" w:space="0" w:color="auto"/>
            </w:tcBorders>
            <w:vAlign w:val="center"/>
          </w:tcPr>
          <w:p w:rsidR="00804D3B" w:rsidRPr="0066263B" w:rsidRDefault="00804D3B" w:rsidP="00A70AA8">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92,8</w:t>
            </w:r>
          </w:p>
        </w:tc>
        <w:tc>
          <w:tcPr>
            <w:tcW w:w="488" w:type="pct"/>
            <w:tcBorders>
              <w:top w:val="single" w:sz="4" w:space="0" w:color="auto"/>
              <w:left w:val="single" w:sz="4" w:space="0" w:color="auto"/>
              <w:bottom w:val="single" w:sz="4" w:space="0" w:color="auto"/>
              <w:right w:val="single" w:sz="4" w:space="0" w:color="auto"/>
            </w:tcBorders>
            <w:vAlign w:val="center"/>
          </w:tcPr>
          <w:p w:rsidR="00804D3B" w:rsidRPr="0066263B" w:rsidRDefault="00804D3B" w:rsidP="00A70AA8">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94,2</w:t>
            </w:r>
          </w:p>
        </w:tc>
        <w:tc>
          <w:tcPr>
            <w:tcW w:w="488" w:type="pct"/>
            <w:tcBorders>
              <w:top w:val="single" w:sz="4" w:space="0" w:color="auto"/>
              <w:left w:val="single" w:sz="4" w:space="0" w:color="auto"/>
              <w:bottom w:val="single" w:sz="4" w:space="0" w:color="auto"/>
              <w:right w:val="single" w:sz="4" w:space="0" w:color="auto"/>
            </w:tcBorders>
            <w:vAlign w:val="center"/>
          </w:tcPr>
          <w:p w:rsidR="00804D3B" w:rsidRPr="0066263B" w:rsidRDefault="00804D3B"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91,1</w:t>
            </w:r>
          </w:p>
        </w:tc>
        <w:tc>
          <w:tcPr>
            <w:tcW w:w="488" w:type="pct"/>
            <w:tcBorders>
              <w:top w:val="single" w:sz="4" w:space="0" w:color="auto"/>
              <w:left w:val="single" w:sz="4" w:space="0" w:color="auto"/>
              <w:bottom w:val="single" w:sz="4" w:space="0" w:color="auto"/>
              <w:right w:val="single" w:sz="4" w:space="0" w:color="auto"/>
            </w:tcBorders>
            <w:vAlign w:val="center"/>
          </w:tcPr>
          <w:p w:rsidR="00804D3B" w:rsidRPr="0066263B" w:rsidRDefault="00804D3B" w:rsidP="006F45C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92,1</w:t>
            </w:r>
          </w:p>
        </w:tc>
      </w:tr>
    </w:tbl>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В деятельности санитарного надзора по разделу «Состояние питания населения и обеспечение безопасности продуктов питания» одним из основных направлений являлся надзор за качеством и безопасностью производимого, ввозимого и реализуемого продовольственного сырья и пищевой продукции, контроль за качеством питания во исполнение Федеральных </w:t>
      </w:r>
      <w:r w:rsidR="00C146A4">
        <w:rPr>
          <w:rFonts w:ascii="Times New Roman" w:eastAsia="Times New Roman" w:hAnsi="Times New Roman" w:cs="Times New Roman"/>
          <w:sz w:val="24"/>
          <w:szCs w:val="24"/>
          <w:lang w:eastAsia="ru-RU"/>
        </w:rPr>
        <w:t>з</w:t>
      </w:r>
      <w:r w:rsidRPr="0066263B">
        <w:rPr>
          <w:rFonts w:ascii="Times New Roman" w:eastAsia="Times New Roman" w:hAnsi="Times New Roman" w:cs="Times New Roman"/>
          <w:sz w:val="24"/>
          <w:szCs w:val="24"/>
          <w:lang w:eastAsia="ru-RU"/>
        </w:rPr>
        <w:t>аконов Российской Федерации от 30.03.1999 № 52-ФЗ «О санитарно-эпидемиологическом благополучии населения», от 02.01.2000 № 29-ФЗ «О качестве и безопасности пищевых продуктов», от</w:t>
      </w:r>
      <w:proofErr w:type="gramEnd"/>
      <w:r w:rsidRPr="0066263B">
        <w:rPr>
          <w:rFonts w:ascii="Times New Roman" w:eastAsia="Times New Roman" w:hAnsi="Times New Roman" w:cs="Times New Roman"/>
          <w:sz w:val="24"/>
          <w:szCs w:val="24"/>
          <w:lang w:eastAsia="ru-RU"/>
        </w:rPr>
        <w:t xml:space="preserve">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951F3A" w:rsidRPr="0066263B">
        <w:rPr>
          <w:rFonts w:ascii="Times New Roman" w:eastAsia="Times New Roman" w:hAnsi="Times New Roman" w:cs="Times New Roman"/>
          <w:sz w:val="24"/>
          <w:szCs w:val="24"/>
          <w:lang w:eastAsia="ru-RU"/>
        </w:rPr>
        <w:t xml:space="preserve">, от 31.07.2020 № 248-ФЗ «О государственном контроле (надзоре) и муниципальном контроле в </w:t>
      </w:r>
      <w:r w:rsidR="000A1CD5" w:rsidRPr="0066263B">
        <w:rPr>
          <w:rFonts w:ascii="Times New Roman" w:eastAsia="Times New Roman" w:hAnsi="Times New Roman" w:cs="Times New Roman"/>
          <w:sz w:val="24"/>
          <w:szCs w:val="24"/>
          <w:lang w:eastAsia="ru-RU"/>
        </w:rPr>
        <w:t>Российской Федерации</w:t>
      </w:r>
      <w:r w:rsidR="00951F3A"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w:t>
      </w:r>
      <w:r w:rsidR="00845807" w:rsidRPr="0066263B">
        <w:rPr>
          <w:rFonts w:ascii="Times New Roman" w:eastAsia="Times New Roman" w:hAnsi="Times New Roman" w:cs="Times New Roman"/>
          <w:sz w:val="24"/>
          <w:szCs w:val="24"/>
          <w:lang w:eastAsia="ru-RU"/>
        </w:rPr>
        <w:t>2</w:t>
      </w:r>
      <w:r w:rsidR="00951F3A"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Управление Роспотребнадзора по Брянской области в своей деятельности по вопросам радиационной безопасности населения руководствовалось Федеральными законами: «О санитарно-эпидемиологическом благополучии населения», «О радиационной безопасности населения».</w:t>
      </w:r>
    </w:p>
    <w:p w:rsidR="00C146A4" w:rsidRDefault="00C146A4" w:rsidP="00324483">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Основными направлениями работы явились:</w:t>
      </w:r>
    </w:p>
    <w:p w:rsidR="00324483" w:rsidRPr="0066263B" w:rsidRDefault="00324483" w:rsidP="004421BA">
      <w:pPr>
        <w:numPr>
          <w:ilvl w:val="0"/>
          <w:numId w:val="14"/>
        </w:numPr>
        <w:shd w:val="clear" w:color="auto" w:fill="FFFFFF"/>
        <w:tabs>
          <w:tab w:val="num" w:pos="-1843"/>
        </w:tabs>
        <w:spacing w:before="0" w:after="0"/>
        <w:ind w:left="1134" w:hanging="141"/>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проведение радиационно-гигиенического мониторинга на территории районов Брянской области, загрязнённых вследствие аварии на ЧАЭС территориях;</w:t>
      </w:r>
    </w:p>
    <w:p w:rsidR="00324483" w:rsidRPr="0066263B" w:rsidRDefault="00324483" w:rsidP="004421BA">
      <w:pPr>
        <w:numPr>
          <w:ilvl w:val="0"/>
          <w:numId w:val="14"/>
        </w:numPr>
        <w:shd w:val="clear" w:color="auto" w:fill="FFFFFF"/>
        <w:tabs>
          <w:tab w:val="num" w:pos="-1843"/>
        </w:tabs>
        <w:spacing w:before="0" w:after="0"/>
        <w:ind w:left="1134" w:hanging="141"/>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оценка доз облучения населения от всех видов источников ионизирующего излучения в системе единой системы контроля индивидуальных доз;</w:t>
      </w:r>
    </w:p>
    <w:p w:rsidR="00324483" w:rsidRPr="0066263B" w:rsidRDefault="00324483" w:rsidP="004421BA">
      <w:pPr>
        <w:numPr>
          <w:ilvl w:val="0"/>
          <w:numId w:val="14"/>
        </w:numPr>
        <w:shd w:val="clear" w:color="auto" w:fill="FFFFFF"/>
        <w:tabs>
          <w:tab w:val="num" w:pos="-1843"/>
        </w:tabs>
        <w:spacing w:before="0" w:after="0"/>
        <w:ind w:left="1134" w:hanging="141"/>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регистрация лиц, пострадавших от радиационного воздействия;</w:t>
      </w:r>
    </w:p>
    <w:p w:rsidR="00324483" w:rsidRPr="0066263B" w:rsidRDefault="00324483" w:rsidP="004421BA">
      <w:pPr>
        <w:numPr>
          <w:ilvl w:val="0"/>
          <w:numId w:val="14"/>
        </w:numPr>
        <w:shd w:val="clear" w:color="auto" w:fill="FFFFFF"/>
        <w:tabs>
          <w:tab w:val="num" w:pos="-1843"/>
        </w:tabs>
        <w:spacing w:before="0" w:after="0"/>
        <w:ind w:left="1134" w:hanging="141"/>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радиационный контроль в учреждениях и организациях, использующих источники ионизирующего излучения</w:t>
      </w:r>
      <w:r w:rsidR="00C146A4">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в том числе лечебно-профилактических учреждениях.</w:t>
      </w:r>
    </w:p>
    <w:p w:rsidR="00304FCF" w:rsidRPr="0066263B" w:rsidRDefault="00304FCF" w:rsidP="00324483">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целях обеспечения радиационной безопасности населения Брянской области приняты постановления и приказы Главного государственного санитарного врача по Брянской области:</w:t>
      </w:r>
    </w:p>
    <w:p w:rsidR="009A1BDB" w:rsidRPr="0066263B" w:rsidRDefault="009A1BDB" w:rsidP="009A1BDB">
      <w:pPr>
        <w:numPr>
          <w:ilvl w:val="0"/>
          <w:numId w:val="3"/>
        </w:numPr>
        <w:spacing w:before="0" w:after="0"/>
        <w:ind w:hanging="29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совершенствовании организации проведения радиационно-гигиенического мониторинга пищевых продуктов на территории Брянской области, пострадавших вследствие аварии на Чернобыльской АЭС» от 11.03.2010 № 3.</w:t>
      </w:r>
    </w:p>
    <w:p w:rsidR="009A1BDB" w:rsidRPr="0066263B" w:rsidRDefault="009A1BDB" w:rsidP="009A1BDB">
      <w:pPr>
        <w:numPr>
          <w:ilvl w:val="0"/>
          <w:numId w:val="3"/>
        </w:numPr>
        <w:spacing w:before="0" w:after="0"/>
        <w:ind w:hanging="29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 организации деятельности в области обеспечения радиационной безопасности населения Брянской области» от 01.11.2011 № 15.</w:t>
      </w:r>
    </w:p>
    <w:p w:rsidR="009A1BDB" w:rsidRPr="0066263B" w:rsidRDefault="009A1BDB" w:rsidP="009A1BDB">
      <w:pPr>
        <w:numPr>
          <w:ilvl w:val="0"/>
          <w:numId w:val="3"/>
        </w:numPr>
        <w:spacing w:before="0" w:after="0"/>
        <w:ind w:hanging="29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 организации проведения радиационно-гигиенического мониторинга в рамках социально-гигиенического мониторинга на территории Брянской области, пострадавших вследствие аварии на Чернобыльской АЭС» от 14.01.2011 № 1.</w:t>
      </w:r>
    </w:p>
    <w:p w:rsidR="009A1BDB" w:rsidRPr="0066263B" w:rsidRDefault="009A1BDB" w:rsidP="009A1BDB">
      <w:pPr>
        <w:numPr>
          <w:ilvl w:val="0"/>
          <w:numId w:val="3"/>
        </w:numPr>
        <w:spacing w:before="0" w:after="0"/>
        <w:ind w:hanging="29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 усилении контроля источников централизованного питьевого водоснабжения и питьевой воды на территории Брянской области по показателям радиационной безопасности» от 21.06.2012 № 11.</w:t>
      </w:r>
    </w:p>
    <w:p w:rsidR="009A1BDB" w:rsidRPr="0066263B" w:rsidRDefault="009A1BDB" w:rsidP="009A1BDB">
      <w:pPr>
        <w:numPr>
          <w:ilvl w:val="0"/>
          <w:numId w:val="3"/>
        </w:numPr>
        <w:spacing w:before="0" w:after="0"/>
        <w:ind w:hanging="29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 ограничении облучения населения Брянской области при проведении рентгенорадиологических медицинских исследований» от 16.11.2012 № 14.</w:t>
      </w:r>
    </w:p>
    <w:p w:rsidR="009A1BDB" w:rsidRPr="0066263B" w:rsidRDefault="009A1BDB" w:rsidP="009A1BDB">
      <w:pPr>
        <w:numPr>
          <w:ilvl w:val="0"/>
          <w:numId w:val="3"/>
        </w:numPr>
        <w:spacing w:before="0" w:after="0"/>
        <w:ind w:hanging="29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«Об организации </w:t>
      </w:r>
      <w:proofErr w:type="gramStart"/>
      <w:r w:rsidRPr="0066263B">
        <w:rPr>
          <w:rFonts w:ascii="Times New Roman" w:eastAsia="Times New Roman" w:hAnsi="Times New Roman" w:cs="Times New Roman"/>
          <w:sz w:val="24"/>
          <w:szCs w:val="24"/>
          <w:lang w:eastAsia="ru-RU"/>
        </w:rPr>
        <w:t>проведения расследования лиц третьей категории учёта</w:t>
      </w:r>
      <w:proofErr w:type="gramEnd"/>
      <w:r w:rsidRPr="0066263B">
        <w:rPr>
          <w:rFonts w:ascii="Times New Roman" w:eastAsia="Times New Roman" w:hAnsi="Times New Roman" w:cs="Times New Roman"/>
          <w:sz w:val="24"/>
          <w:szCs w:val="24"/>
          <w:lang w:eastAsia="ru-RU"/>
        </w:rPr>
        <w:t xml:space="preserve"> по содержанию цезия-137 в организме» от 03.06.2013 № 17.</w:t>
      </w:r>
    </w:p>
    <w:p w:rsidR="009A1BDB" w:rsidRPr="0066263B" w:rsidRDefault="009A1BDB" w:rsidP="009A1BDB">
      <w:pPr>
        <w:numPr>
          <w:ilvl w:val="0"/>
          <w:numId w:val="3"/>
        </w:numPr>
        <w:spacing w:before="0" w:after="0"/>
        <w:ind w:hanging="29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 анализе радиационной безопасности населения» от 05.12.2013 № 30.</w:t>
      </w:r>
    </w:p>
    <w:p w:rsidR="009A1BDB" w:rsidRPr="0066263B" w:rsidRDefault="009A1BDB" w:rsidP="009A1BDB">
      <w:pPr>
        <w:numPr>
          <w:ilvl w:val="0"/>
          <w:numId w:val="3"/>
        </w:numPr>
        <w:spacing w:before="0" w:after="0"/>
        <w:ind w:hanging="29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«Об организации </w:t>
      </w:r>
      <w:proofErr w:type="gramStart"/>
      <w:r w:rsidRPr="0066263B">
        <w:rPr>
          <w:rFonts w:ascii="Times New Roman" w:eastAsia="Times New Roman" w:hAnsi="Times New Roman" w:cs="Times New Roman"/>
          <w:sz w:val="24"/>
          <w:szCs w:val="24"/>
          <w:lang w:eastAsia="ru-RU"/>
        </w:rPr>
        <w:t>проведения расследования лиц третьей категории учёта</w:t>
      </w:r>
      <w:proofErr w:type="gramEnd"/>
      <w:r w:rsidRPr="0066263B">
        <w:rPr>
          <w:rFonts w:ascii="Times New Roman" w:eastAsia="Times New Roman" w:hAnsi="Times New Roman" w:cs="Times New Roman"/>
          <w:sz w:val="24"/>
          <w:szCs w:val="24"/>
          <w:lang w:eastAsia="ru-RU"/>
        </w:rPr>
        <w:t xml:space="preserve"> по содержанию цезия-137 в организме» от 16.06.2015 № 13.</w:t>
      </w:r>
    </w:p>
    <w:p w:rsidR="009A1BDB" w:rsidRPr="0066263B" w:rsidRDefault="009A1BDB" w:rsidP="009A1BDB">
      <w:pPr>
        <w:numPr>
          <w:ilvl w:val="0"/>
          <w:numId w:val="3"/>
        </w:numPr>
        <w:spacing w:before="0" w:after="0"/>
        <w:ind w:hanging="29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 утверждении перечня населённых пунктов для РГМ» от 09.06.2018 № 116.</w:t>
      </w: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Проводится работа по подготовке отчётов государственного федерального статистического наблюдения в Единой государственной системе контроля и учёта доз облучения граждан (далее – ЕСКИД) по формам 1-ДОЗ, 2-ДОЗ, 3-ДОЗ и 4-ДОЗ от медицинских, техногенных и природных источников ионизирующего излучения. В соответствии с приказом руководителя Федеральной службы по надзору в сфере защиты прав потребителя и благополучия человека от 22.03.2007 № 0100/2872-07-34 проводилась дальнейшая работа по созданию областного банка данных 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w:t>
      </w: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учётом данных отчётов государственного федерального статистического наблюдения в Единой государственной системе контроля и учёта доз облучения граждан составлен радиационно-гигиенический паспорт территории Брянской области, который позволил оценить основные показатели радиационной безопасности и воздействие радиационного фактора на жителей, проживающих на территории нашей области.</w:t>
      </w: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Проведение мероприятий по защите населения, проживающего на пострадавших от аварии на ЧАЭС территориях, осуществляется по следующим направлениям:</w:t>
      </w:r>
    </w:p>
    <w:p w:rsidR="00324483" w:rsidRPr="0066263B" w:rsidRDefault="00324483" w:rsidP="00324483">
      <w:pPr>
        <w:numPr>
          <w:ilvl w:val="0"/>
          <w:numId w:val="9"/>
        </w:numPr>
        <w:tabs>
          <w:tab w:val="num" w:pos="-1843"/>
        </w:tabs>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радиационно-гигиенический мониторинг по содержанию радионуклидов цезия-137 и стронция-90 в продуктах питания, питьевой воде и сельскохозяйственной продукции из ЛПХ;</w:t>
      </w:r>
    </w:p>
    <w:p w:rsidR="00324483" w:rsidRPr="0066263B" w:rsidRDefault="00324483" w:rsidP="00324483">
      <w:pPr>
        <w:numPr>
          <w:ilvl w:val="0"/>
          <w:numId w:val="9"/>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мониторинг доз внешнего и внутреннего облучения населения;</w:t>
      </w:r>
    </w:p>
    <w:p w:rsidR="00324483" w:rsidRPr="0066263B" w:rsidRDefault="00324483" w:rsidP="00324483">
      <w:pPr>
        <w:numPr>
          <w:ilvl w:val="0"/>
          <w:numId w:val="9"/>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функционирования банка данных радиационно-гигиенического мониторинга.</w:t>
      </w: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Для оценки доз внешнего облучения населения на всей территории Брянской области проводится работа по измерению мощности экспозиционной дозы гамма-излучения на местности. Измерения осуществляются на территории населённых пунктов, ДДУ и школ. По результатам проведённых дозиметрических измерений в 2018-202</w:t>
      </w:r>
      <w:r w:rsidR="0063169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г.г., превышение характерного для данной местности естественного </w:t>
      </w:r>
      <w:proofErr w:type="spellStart"/>
      <w:proofErr w:type="gramStart"/>
      <w:r w:rsidRPr="0066263B">
        <w:rPr>
          <w:rFonts w:ascii="Times New Roman" w:eastAsia="Times New Roman" w:hAnsi="Times New Roman" w:cs="Times New Roman"/>
          <w:sz w:val="24"/>
          <w:szCs w:val="24"/>
          <w:lang w:eastAsia="ru-RU"/>
        </w:rPr>
        <w:t>гамма-фона</w:t>
      </w:r>
      <w:proofErr w:type="spellEnd"/>
      <w:proofErr w:type="gramEnd"/>
      <w:r w:rsidRPr="0066263B">
        <w:rPr>
          <w:rFonts w:ascii="Times New Roman" w:eastAsia="Times New Roman" w:hAnsi="Times New Roman" w:cs="Times New Roman"/>
          <w:sz w:val="24"/>
          <w:szCs w:val="24"/>
          <w:lang w:eastAsia="ru-RU"/>
        </w:rPr>
        <w:t xml:space="preserve"> на обследованных территориях Брянской области, в том числе в юго-западных районах области, пострадавших от аварии на Чернобыльской АЭС, не зафиксировано.</w:t>
      </w: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Ежедневный контроль за уровнем МЭД гамма-излучения (</w:t>
      </w:r>
      <w:proofErr w:type="spellStart"/>
      <w:proofErr w:type="gramStart"/>
      <w:r w:rsidRPr="0066263B">
        <w:rPr>
          <w:rFonts w:ascii="Times New Roman" w:eastAsia="Times New Roman" w:hAnsi="Times New Roman" w:cs="Times New Roman"/>
          <w:sz w:val="24"/>
          <w:szCs w:val="24"/>
          <w:lang w:eastAsia="ru-RU"/>
        </w:rPr>
        <w:t>гамма-фоном</w:t>
      </w:r>
      <w:proofErr w:type="spellEnd"/>
      <w:proofErr w:type="gramEnd"/>
      <w:r w:rsidRPr="0066263B">
        <w:rPr>
          <w:rFonts w:ascii="Times New Roman" w:eastAsia="Times New Roman" w:hAnsi="Times New Roman" w:cs="Times New Roman"/>
          <w:sz w:val="24"/>
          <w:szCs w:val="24"/>
          <w:lang w:eastAsia="ru-RU"/>
        </w:rPr>
        <w:t xml:space="preserve">) в </w:t>
      </w:r>
      <w:proofErr w:type="spellStart"/>
      <w:r w:rsidRPr="0066263B">
        <w:rPr>
          <w:rFonts w:ascii="Times New Roman" w:eastAsia="Times New Roman" w:hAnsi="Times New Roman" w:cs="Times New Roman"/>
          <w:sz w:val="24"/>
          <w:szCs w:val="24"/>
          <w:lang w:eastAsia="ru-RU"/>
        </w:rPr>
        <w:t>реперных</w:t>
      </w:r>
      <w:proofErr w:type="spellEnd"/>
      <w:r w:rsidRPr="0066263B">
        <w:rPr>
          <w:rFonts w:ascii="Times New Roman" w:eastAsia="Times New Roman" w:hAnsi="Times New Roman" w:cs="Times New Roman"/>
          <w:sz w:val="24"/>
          <w:szCs w:val="24"/>
          <w:lang w:eastAsia="ru-RU"/>
        </w:rPr>
        <w:t xml:space="preserve"> точках на территории Брянской области продолжается.</w:t>
      </w: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Используя результаты радиационно-гигиенического мониторинга за продуктами питания, а так же дозиметрии, проведён расчёт доз облучения жителей, проживающих на территориях, загрязнённых радионуклидами чернобыльского происхождения. Анализ данных показывает, что за последние годы отмечается постепенное уменьшение числа населённых пунктов, где дозы выше 1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 Так, по сравнению с данными расчёта СГЭД за 2001 год, число населённых пунктов, где дозы выше 1 </w:t>
      </w:r>
      <w:proofErr w:type="spellStart"/>
      <w:r w:rsidRPr="0066263B">
        <w:rPr>
          <w:rFonts w:ascii="Times New Roman" w:eastAsia="Times New Roman" w:hAnsi="Times New Roman" w:cs="Times New Roman"/>
          <w:sz w:val="24"/>
          <w:szCs w:val="24"/>
          <w:lang w:eastAsia="ru-RU"/>
        </w:rPr>
        <w:t>мЗв</w:t>
      </w:r>
      <w:proofErr w:type="spellEnd"/>
      <w:r w:rsidRPr="0066263B">
        <w:rPr>
          <w:rFonts w:ascii="Times New Roman" w:eastAsia="Times New Roman" w:hAnsi="Times New Roman" w:cs="Times New Roman"/>
          <w:sz w:val="24"/>
          <w:szCs w:val="24"/>
          <w:lang w:eastAsia="ru-RU"/>
        </w:rPr>
        <w:t>, значительно уменьшилось.</w:t>
      </w: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Распределение населённых пунктов по дозам облучения жителей Брянской области от радионуклидов чернобыльского происхождения представлено в таблице 1</w:t>
      </w:r>
      <w:r w:rsidR="00297B5B" w:rsidRPr="0066263B">
        <w:rPr>
          <w:rFonts w:ascii="Times New Roman" w:eastAsia="Times New Roman" w:hAnsi="Times New Roman" w:cs="Times New Roman"/>
          <w:sz w:val="24"/>
          <w:szCs w:val="24"/>
          <w:lang w:eastAsia="ru-RU"/>
        </w:rPr>
        <w:t>04</w:t>
      </w:r>
      <w:r w:rsidRPr="0066263B">
        <w:rPr>
          <w:rFonts w:ascii="Times New Roman" w:eastAsia="Times New Roman" w:hAnsi="Times New Roman" w:cs="Times New Roman"/>
          <w:sz w:val="24"/>
          <w:szCs w:val="24"/>
          <w:lang w:eastAsia="ru-RU"/>
        </w:rPr>
        <w:t>.</w:t>
      </w:r>
    </w:p>
    <w:p w:rsidR="00951F3A" w:rsidRPr="0066263B" w:rsidRDefault="00951F3A" w:rsidP="009A1BDB">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Распределение населённых пунктов по дозам облучения жителей Брянской области</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9"/>
        <w:gridCol w:w="1558"/>
        <w:gridCol w:w="1559"/>
        <w:gridCol w:w="1559"/>
        <w:gridCol w:w="1557"/>
      </w:tblGrid>
      <w:tr w:rsidR="00324483" w:rsidRPr="0066263B" w:rsidTr="009A1BDB">
        <w:tc>
          <w:tcPr>
            <w:tcW w:w="1565" w:type="pct"/>
            <w:tcBorders>
              <w:top w:val="single" w:sz="4" w:space="0" w:color="auto"/>
              <w:left w:val="single" w:sz="4" w:space="0" w:color="auto"/>
              <w:bottom w:val="single" w:sz="4" w:space="0" w:color="auto"/>
              <w:right w:val="single" w:sz="4" w:space="0" w:color="auto"/>
            </w:tcBorders>
          </w:tcPr>
          <w:p w:rsidR="00324483" w:rsidRPr="0066263B" w:rsidRDefault="00324483" w:rsidP="00324483">
            <w:pPr>
              <w:tabs>
                <w:tab w:val="left" w:pos="3105"/>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Диапазон доз, </w:t>
            </w:r>
            <w:proofErr w:type="spellStart"/>
            <w:r w:rsidRPr="0066263B">
              <w:rPr>
                <w:rFonts w:ascii="Times New Roman" w:eastAsia="Times New Roman" w:hAnsi="Times New Roman" w:cs="Times New Roman"/>
                <w:lang w:eastAsia="ru-RU"/>
              </w:rPr>
              <w:t>мЗв</w:t>
            </w:r>
            <w:proofErr w:type="spellEnd"/>
            <w:r w:rsidRPr="0066263B">
              <w:rPr>
                <w:rFonts w:ascii="Times New Roman" w:eastAsia="Times New Roman" w:hAnsi="Times New Roman" w:cs="Times New Roman"/>
                <w:lang w:eastAsia="ru-RU"/>
              </w:rPr>
              <w:t>/год</w:t>
            </w:r>
          </w:p>
        </w:tc>
        <w:tc>
          <w:tcPr>
            <w:tcW w:w="859" w:type="pct"/>
            <w:tcBorders>
              <w:top w:val="single" w:sz="4" w:space="0" w:color="auto"/>
              <w:left w:val="single" w:sz="4" w:space="0" w:color="auto"/>
              <w:bottom w:val="single" w:sz="4" w:space="0" w:color="auto"/>
              <w:right w:val="single" w:sz="4" w:space="0" w:color="auto"/>
            </w:tcBorders>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sym w:font="Symbol" w:char="003C"/>
            </w:r>
            <w:r w:rsidRPr="0066263B">
              <w:rPr>
                <w:rFonts w:ascii="Times New Roman" w:eastAsia="Times New Roman" w:hAnsi="Times New Roman" w:cs="Times New Roman"/>
                <w:lang w:eastAsia="ru-RU"/>
              </w:rPr>
              <w:t xml:space="preserve"> 0,3 </w:t>
            </w:r>
            <w:proofErr w:type="spellStart"/>
            <w:r w:rsidRPr="0066263B">
              <w:rPr>
                <w:rFonts w:ascii="Times New Roman" w:eastAsia="Times New Roman" w:hAnsi="Times New Roman" w:cs="Times New Roman"/>
                <w:lang w:eastAsia="ru-RU"/>
              </w:rPr>
              <w:t>мЗв</w:t>
            </w:r>
            <w:proofErr w:type="spellEnd"/>
            <w:r w:rsidRPr="0066263B">
              <w:rPr>
                <w:rFonts w:ascii="Times New Roman" w:eastAsia="Times New Roman" w:hAnsi="Times New Roman" w:cs="Times New Roman"/>
                <w:lang w:eastAsia="ru-RU"/>
              </w:rPr>
              <w:t>/год</w:t>
            </w:r>
          </w:p>
        </w:tc>
        <w:tc>
          <w:tcPr>
            <w:tcW w:w="859" w:type="pct"/>
            <w:tcBorders>
              <w:top w:val="single" w:sz="4" w:space="0" w:color="auto"/>
              <w:left w:val="single" w:sz="4" w:space="0" w:color="auto"/>
              <w:bottom w:val="single" w:sz="4" w:space="0" w:color="auto"/>
              <w:right w:val="single" w:sz="4" w:space="0" w:color="auto"/>
            </w:tcBorders>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0,3-1 </w:t>
            </w:r>
            <w:proofErr w:type="spellStart"/>
            <w:r w:rsidRPr="0066263B">
              <w:rPr>
                <w:rFonts w:ascii="Times New Roman" w:eastAsia="Times New Roman" w:hAnsi="Times New Roman" w:cs="Times New Roman"/>
                <w:lang w:eastAsia="ru-RU"/>
              </w:rPr>
              <w:t>мЗв</w:t>
            </w:r>
            <w:proofErr w:type="spellEnd"/>
            <w:r w:rsidRPr="0066263B">
              <w:rPr>
                <w:rFonts w:ascii="Times New Roman" w:eastAsia="Times New Roman" w:hAnsi="Times New Roman" w:cs="Times New Roman"/>
                <w:lang w:eastAsia="ru-RU"/>
              </w:rPr>
              <w:t>/год</w:t>
            </w:r>
          </w:p>
        </w:tc>
        <w:tc>
          <w:tcPr>
            <w:tcW w:w="859" w:type="pct"/>
            <w:tcBorders>
              <w:top w:val="single" w:sz="4" w:space="0" w:color="auto"/>
              <w:left w:val="single" w:sz="4" w:space="0" w:color="auto"/>
              <w:bottom w:val="single" w:sz="4" w:space="0" w:color="auto"/>
              <w:right w:val="single" w:sz="4" w:space="0" w:color="auto"/>
            </w:tcBorders>
          </w:tcPr>
          <w:p w:rsidR="00324483" w:rsidRPr="0066263B" w:rsidRDefault="00324483" w:rsidP="00324483">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1-5 </w:t>
            </w:r>
            <w:proofErr w:type="spellStart"/>
            <w:r w:rsidRPr="0066263B">
              <w:rPr>
                <w:rFonts w:ascii="Times New Roman" w:eastAsia="Times New Roman" w:hAnsi="Times New Roman" w:cs="Times New Roman"/>
                <w:lang w:eastAsia="ru-RU"/>
              </w:rPr>
              <w:t>мЗв</w:t>
            </w:r>
            <w:proofErr w:type="spellEnd"/>
            <w:r w:rsidRPr="0066263B">
              <w:rPr>
                <w:rFonts w:ascii="Times New Roman" w:eastAsia="Times New Roman" w:hAnsi="Times New Roman" w:cs="Times New Roman"/>
                <w:lang w:eastAsia="ru-RU"/>
              </w:rPr>
              <w:t>/год</w:t>
            </w:r>
          </w:p>
        </w:tc>
        <w:tc>
          <w:tcPr>
            <w:tcW w:w="858" w:type="pct"/>
            <w:tcBorders>
              <w:top w:val="single" w:sz="4" w:space="0" w:color="auto"/>
              <w:left w:val="single" w:sz="4" w:space="0" w:color="auto"/>
              <w:bottom w:val="single" w:sz="4" w:space="0" w:color="auto"/>
              <w:right w:val="single" w:sz="4" w:space="0" w:color="auto"/>
            </w:tcBorders>
          </w:tcPr>
          <w:p w:rsidR="00324483" w:rsidRPr="0066263B" w:rsidRDefault="00324483" w:rsidP="00324483">
            <w:pPr>
              <w:tabs>
                <w:tab w:val="left" w:pos="3105"/>
              </w:tabs>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&gt; 5 </w:t>
            </w:r>
            <w:proofErr w:type="spellStart"/>
            <w:r w:rsidRPr="0066263B">
              <w:rPr>
                <w:rFonts w:ascii="Times New Roman" w:eastAsia="Times New Roman" w:hAnsi="Times New Roman" w:cs="Times New Roman"/>
                <w:lang w:eastAsia="ru-RU"/>
              </w:rPr>
              <w:t>мЗв</w:t>
            </w:r>
            <w:proofErr w:type="spellEnd"/>
            <w:r w:rsidRPr="0066263B">
              <w:rPr>
                <w:rFonts w:ascii="Times New Roman" w:eastAsia="Times New Roman" w:hAnsi="Times New Roman" w:cs="Times New Roman"/>
                <w:lang w:eastAsia="ru-RU"/>
              </w:rPr>
              <w:t>/год</w:t>
            </w:r>
          </w:p>
        </w:tc>
      </w:tr>
      <w:tr w:rsidR="009A1BDB" w:rsidRPr="0066263B" w:rsidTr="009A1BDB">
        <w:tc>
          <w:tcPr>
            <w:tcW w:w="1565" w:type="pct"/>
            <w:tcBorders>
              <w:top w:val="single" w:sz="4" w:space="0" w:color="auto"/>
              <w:left w:val="single" w:sz="4" w:space="0" w:color="auto"/>
              <w:bottom w:val="single" w:sz="4" w:space="0" w:color="auto"/>
              <w:right w:val="single" w:sz="4" w:space="0" w:color="auto"/>
            </w:tcBorders>
          </w:tcPr>
          <w:p w:rsidR="009A1BDB" w:rsidRPr="0066263B" w:rsidRDefault="009A1BDB" w:rsidP="00324483">
            <w:pPr>
              <w:tabs>
                <w:tab w:val="left" w:pos="3105"/>
              </w:tabs>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Число населённых пунктов</w:t>
            </w:r>
          </w:p>
        </w:tc>
        <w:tc>
          <w:tcPr>
            <w:tcW w:w="859" w:type="pct"/>
            <w:tcBorders>
              <w:top w:val="single" w:sz="4" w:space="0" w:color="auto"/>
              <w:left w:val="single" w:sz="4" w:space="0" w:color="auto"/>
              <w:bottom w:val="single" w:sz="4" w:space="0" w:color="auto"/>
              <w:right w:val="single" w:sz="4" w:space="0" w:color="auto"/>
            </w:tcBorders>
            <w:vAlign w:val="center"/>
          </w:tcPr>
          <w:p w:rsidR="009A1BDB" w:rsidRPr="0066263B" w:rsidRDefault="009A1BDB" w:rsidP="009A1BDB">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390</w:t>
            </w:r>
          </w:p>
        </w:tc>
        <w:tc>
          <w:tcPr>
            <w:tcW w:w="859" w:type="pct"/>
            <w:tcBorders>
              <w:top w:val="single" w:sz="4" w:space="0" w:color="auto"/>
              <w:left w:val="single" w:sz="4" w:space="0" w:color="auto"/>
              <w:bottom w:val="single" w:sz="4" w:space="0" w:color="auto"/>
              <w:right w:val="single" w:sz="4" w:space="0" w:color="auto"/>
            </w:tcBorders>
            <w:vAlign w:val="center"/>
          </w:tcPr>
          <w:p w:rsidR="009A1BDB" w:rsidRPr="0066263B" w:rsidRDefault="009A1BDB" w:rsidP="009A1BDB">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243</w:t>
            </w:r>
          </w:p>
        </w:tc>
        <w:tc>
          <w:tcPr>
            <w:tcW w:w="859" w:type="pct"/>
            <w:tcBorders>
              <w:top w:val="single" w:sz="4" w:space="0" w:color="auto"/>
              <w:left w:val="single" w:sz="4" w:space="0" w:color="auto"/>
              <w:bottom w:val="single" w:sz="4" w:space="0" w:color="auto"/>
              <w:right w:val="single" w:sz="4" w:space="0" w:color="auto"/>
            </w:tcBorders>
            <w:vAlign w:val="center"/>
          </w:tcPr>
          <w:p w:rsidR="009A1BDB" w:rsidRPr="0066263B" w:rsidRDefault="009A1BDB" w:rsidP="009A1BDB">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114</w:t>
            </w:r>
          </w:p>
        </w:tc>
        <w:tc>
          <w:tcPr>
            <w:tcW w:w="858" w:type="pct"/>
            <w:tcBorders>
              <w:top w:val="single" w:sz="4" w:space="0" w:color="auto"/>
              <w:left w:val="single" w:sz="4" w:space="0" w:color="auto"/>
              <w:bottom w:val="single" w:sz="4" w:space="0" w:color="auto"/>
              <w:right w:val="single" w:sz="4" w:space="0" w:color="auto"/>
            </w:tcBorders>
            <w:vAlign w:val="center"/>
          </w:tcPr>
          <w:p w:rsidR="009A1BDB" w:rsidRPr="0066263B" w:rsidRDefault="009A1BDB" w:rsidP="009A1BDB">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r>
    </w:tbl>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соответствии с Постановлением Правительства РФ от 16.06.1997 № 718 «О порядке создания единой государственной системы контроля и учёта доз облучения граждан» на предприятиях и учреждениях области, работающих с источниками ионизирующего излучения, организован учёт доз облучения персонала в государственной системе контроля и учёта доз облучения населения. Охват персонала индивидуальным дозиметрическим контролем (далее – ИДК) составляет 100%. Во всех организациях, в которых используются источники ионизирующего излучения, ежегодно составляются радиационно-гигиенические паспорта.</w:t>
      </w: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При надзоре за использованием техногенных источников ионизирующего излучения специалистами Управления Роспотребнадзора по Брянской области уделяется внимание выполнению требований санитарных правил при использовании источников ионизирующего излучения на предприятиях и организациях, своевременному захоронению неиспользуемых </w:t>
      </w:r>
      <w:proofErr w:type="spellStart"/>
      <w:r w:rsidRPr="0066263B">
        <w:rPr>
          <w:rFonts w:ascii="Times New Roman" w:eastAsia="Times New Roman" w:hAnsi="Times New Roman" w:cs="Times New Roman"/>
          <w:sz w:val="24"/>
          <w:szCs w:val="24"/>
          <w:lang w:eastAsia="ru-RU"/>
        </w:rPr>
        <w:t>радионуклидных</w:t>
      </w:r>
      <w:proofErr w:type="spellEnd"/>
      <w:r w:rsidRPr="0066263B">
        <w:rPr>
          <w:rFonts w:ascii="Times New Roman" w:eastAsia="Times New Roman" w:hAnsi="Times New Roman" w:cs="Times New Roman"/>
          <w:sz w:val="24"/>
          <w:szCs w:val="24"/>
          <w:lang w:eastAsia="ru-RU"/>
        </w:rPr>
        <w:t xml:space="preserve"> источников.</w:t>
      </w: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 xml:space="preserve">Управлением Роспотребнадзора по Брянской области совместно с ФБУЗ «Центр гигиены и эпидемиологии в Брянской области» осуществляется </w:t>
      </w:r>
      <w:proofErr w:type="gramStart"/>
      <w:r w:rsidRPr="0066263B">
        <w:rPr>
          <w:rFonts w:ascii="Times New Roman" w:eastAsia="Times New Roman" w:hAnsi="Times New Roman" w:cs="Times New Roman"/>
          <w:sz w:val="24"/>
          <w:szCs w:val="24"/>
          <w:lang w:eastAsia="ru-RU"/>
        </w:rPr>
        <w:t>контроль за</w:t>
      </w:r>
      <w:proofErr w:type="gramEnd"/>
      <w:r w:rsidRPr="0066263B">
        <w:rPr>
          <w:rFonts w:ascii="Times New Roman" w:eastAsia="Times New Roman" w:hAnsi="Times New Roman" w:cs="Times New Roman"/>
          <w:sz w:val="24"/>
          <w:szCs w:val="24"/>
          <w:lang w:eastAsia="ru-RU"/>
        </w:rPr>
        <w:t xml:space="preserve"> радиационной обстановкой на территории Брянской области в режиме повышенной готовности.</w:t>
      </w:r>
    </w:p>
    <w:p w:rsidR="009A1BDB" w:rsidRPr="0066263B" w:rsidRDefault="009A1BDB" w:rsidP="009A1BDB">
      <w:pPr>
        <w:spacing w:before="0" w:after="0" w:line="225" w:lineRule="auto"/>
        <w:ind w:firstLine="708"/>
        <w:rPr>
          <w:rFonts w:ascii="Times New Roman" w:eastAsia="Times New Roman" w:hAnsi="Times New Roman" w:cs="Times New Roman"/>
          <w:b/>
          <w:sz w:val="24"/>
          <w:szCs w:val="24"/>
          <w:u w:val="single"/>
          <w:lang w:eastAsia="ru-RU"/>
        </w:rPr>
      </w:pPr>
      <w:r w:rsidRPr="0066263B">
        <w:rPr>
          <w:rFonts w:ascii="Times New Roman" w:eastAsia="Times New Roman" w:hAnsi="Times New Roman" w:cs="Times New Roman"/>
          <w:b/>
          <w:sz w:val="24"/>
          <w:szCs w:val="24"/>
          <w:u w:val="single"/>
          <w:lang w:eastAsia="ru-RU"/>
        </w:rPr>
        <w:t>2018 год</w:t>
      </w: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Во исполнение предписания Управления Роспотребнадзора по Брянской области от 13.09.2018 № 377, в связи с пожарами на территориях Погарского района, отнесённых к зоне радиоактивного загрязнения, был усилен надзор за радиационной обстановкой на территории населённых пунктов: </w:t>
      </w:r>
      <w:proofErr w:type="spellStart"/>
      <w:r w:rsidRPr="0066263B">
        <w:rPr>
          <w:rFonts w:ascii="Times New Roman" w:eastAsia="Times New Roman" w:hAnsi="Times New Roman" w:cs="Times New Roman"/>
          <w:sz w:val="24"/>
          <w:szCs w:val="24"/>
          <w:lang w:eastAsia="ru-RU"/>
        </w:rPr>
        <w:t>Нечуи</w:t>
      </w:r>
      <w:proofErr w:type="spellEnd"/>
      <w:r w:rsidRPr="0066263B">
        <w:rPr>
          <w:rFonts w:ascii="Times New Roman" w:eastAsia="Times New Roman" w:hAnsi="Times New Roman" w:cs="Times New Roman"/>
          <w:sz w:val="24"/>
          <w:szCs w:val="24"/>
          <w:lang w:eastAsia="ru-RU"/>
        </w:rPr>
        <w:t xml:space="preserve">, </w:t>
      </w:r>
      <w:proofErr w:type="spellStart"/>
      <w:r w:rsidRPr="0066263B">
        <w:rPr>
          <w:rFonts w:ascii="Times New Roman" w:eastAsia="Times New Roman" w:hAnsi="Times New Roman" w:cs="Times New Roman"/>
          <w:sz w:val="24"/>
          <w:szCs w:val="24"/>
          <w:lang w:eastAsia="ru-RU"/>
        </w:rPr>
        <w:t>Торкин</w:t>
      </w:r>
      <w:proofErr w:type="spellEnd"/>
      <w:r w:rsidRPr="0066263B">
        <w:rPr>
          <w:rFonts w:ascii="Times New Roman" w:eastAsia="Times New Roman" w:hAnsi="Times New Roman" w:cs="Times New Roman"/>
          <w:sz w:val="24"/>
          <w:szCs w:val="24"/>
          <w:lang w:eastAsia="ru-RU"/>
        </w:rPr>
        <w:t xml:space="preserve"> Хутор. По результатам проведённых 30 измерений МЭД гамма-излучения, превышение естественного </w:t>
      </w:r>
      <w:proofErr w:type="spellStart"/>
      <w:proofErr w:type="gramStart"/>
      <w:r w:rsidRPr="0066263B">
        <w:rPr>
          <w:rFonts w:ascii="Times New Roman" w:eastAsia="Times New Roman" w:hAnsi="Times New Roman" w:cs="Times New Roman"/>
          <w:sz w:val="24"/>
          <w:szCs w:val="24"/>
          <w:lang w:eastAsia="ru-RU"/>
        </w:rPr>
        <w:t>гамма-фона</w:t>
      </w:r>
      <w:proofErr w:type="spellEnd"/>
      <w:proofErr w:type="gramEnd"/>
      <w:r w:rsidRPr="0066263B">
        <w:rPr>
          <w:rFonts w:ascii="Times New Roman" w:eastAsia="Times New Roman" w:hAnsi="Times New Roman" w:cs="Times New Roman"/>
          <w:sz w:val="24"/>
          <w:szCs w:val="24"/>
          <w:lang w:eastAsia="ru-RU"/>
        </w:rPr>
        <w:t xml:space="preserve"> местности, характерного для контролируемых территорий Погарского района Брянской области не зафиксировано.</w:t>
      </w:r>
    </w:p>
    <w:p w:rsidR="009A1BDB" w:rsidRPr="0066263B" w:rsidRDefault="009A1BDB" w:rsidP="009A1BDB">
      <w:pPr>
        <w:spacing w:before="0" w:after="0" w:line="225" w:lineRule="auto"/>
        <w:ind w:firstLine="708"/>
        <w:rPr>
          <w:rFonts w:ascii="Times New Roman" w:eastAsia="Times New Roman" w:hAnsi="Times New Roman" w:cs="Times New Roman"/>
          <w:b/>
          <w:sz w:val="24"/>
          <w:szCs w:val="24"/>
          <w:u w:val="single"/>
          <w:lang w:eastAsia="ru-RU"/>
        </w:rPr>
      </w:pPr>
      <w:r w:rsidRPr="0066263B">
        <w:rPr>
          <w:rFonts w:ascii="Times New Roman" w:eastAsia="Times New Roman" w:hAnsi="Times New Roman" w:cs="Times New Roman"/>
          <w:b/>
          <w:sz w:val="24"/>
          <w:szCs w:val="24"/>
          <w:u w:val="single"/>
          <w:lang w:eastAsia="ru-RU"/>
        </w:rPr>
        <w:t>2019 год</w:t>
      </w:r>
    </w:p>
    <w:p w:rsidR="009A1BDB" w:rsidRPr="0066263B" w:rsidRDefault="009A1BDB"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Во исполнение предписания Управления Роспотребнадзора по Брянской области, в связи с информацией о взрыве неизвестного объекта был усилен надзор за радиационной обстановкой на территории населённых пунктов, расположенных в восточной части области. По результатам проведённых 86 измерений МЭД гамма-излучения превышение естественного </w:t>
      </w:r>
      <w:proofErr w:type="spellStart"/>
      <w:proofErr w:type="gramStart"/>
      <w:r w:rsidRPr="0066263B">
        <w:rPr>
          <w:rFonts w:ascii="Times New Roman" w:eastAsia="Times New Roman" w:hAnsi="Times New Roman" w:cs="Times New Roman"/>
          <w:sz w:val="24"/>
          <w:szCs w:val="24"/>
          <w:lang w:eastAsia="ru-RU"/>
        </w:rPr>
        <w:t>гамма-фона</w:t>
      </w:r>
      <w:proofErr w:type="spellEnd"/>
      <w:proofErr w:type="gramEnd"/>
      <w:r w:rsidRPr="0066263B">
        <w:rPr>
          <w:rFonts w:ascii="Times New Roman" w:eastAsia="Times New Roman" w:hAnsi="Times New Roman" w:cs="Times New Roman"/>
          <w:sz w:val="24"/>
          <w:szCs w:val="24"/>
          <w:lang w:eastAsia="ru-RU"/>
        </w:rPr>
        <w:t xml:space="preserve"> местности, характерного для контролируемых территорий Брянской области не зафиксировано.</w:t>
      </w:r>
    </w:p>
    <w:p w:rsidR="009A1BDB" w:rsidRPr="0066263B" w:rsidRDefault="009A1BDB" w:rsidP="009A1BDB">
      <w:pPr>
        <w:spacing w:before="0" w:after="0" w:line="225" w:lineRule="auto"/>
        <w:ind w:firstLine="708"/>
        <w:rPr>
          <w:rFonts w:ascii="Times New Roman" w:eastAsia="Times New Roman" w:hAnsi="Times New Roman" w:cs="Times New Roman"/>
          <w:b/>
          <w:sz w:val="24"/>
          <w:szCs w:val="24"/>
          <w:u w:val="single"/>
          <w:lang w:eastAsia="ru-RU"/>
        </w:rPr>
      </w:pPr>
      <w:r w:rsidRPr="0066263B">
        <w:rPr>
          <w:rFonts w:ascii="Times New Roman" w:eastAsia="Times New Roman" w:hAnsi="Times New Roman" w:cs="Times New Roman"/>
          <w:b/>
          <w:sz w:val="24"/>
          <w:szCs w:val="24"/>
          <w:u w:val="single"/>
          <w:lang w:eastAsia="ru-RU"/>
        </w:rPr>
        <w:t>2020 год</w:t>
      </w:r>
    </w:p>
    <w:p w:rsidR="009A1BDB" w:rsidRPr="0066263B" w:rsidRDefault="001145CE" w:rsidP="009A1BDB">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связи с пожарами в зоне отчуждения Чернобыльской атомной электростанции на Украине с</w:t>
      </w:r>
      <w:r w:rsidR="009A1BDB" w:rsidRPr="0066263B">
        <w:rPr>
          <w:rFonts w:ascii="Times New Roman" w:eastAsia="Times New Roman" w:hAnsi="Times New Roman" w:cs="Times New Roman"/>
          <w:sz w:val="24"/>
          <w:szCs w:val="24"/>
          <w:lang w:eastAsia="ru-RU"/>
        </w:rPr>
        <w:t xml:space="preserve"> 6 апреля 2020 года был усилен надзор за радиационной обстановкой на территории Брянской области. Замеры </w:t>
      </w:r>
      <w:proofErr w:type="spellStart"/>
      <w:proofErr w:type="gramStart"/>
      <w:r w:rsidR="009A1BDB" w:rsidRPr="0066263B">
        <w:rPr>
          <w:rFonts w:ascii="Times New Roman" w:eastAsia="Times New Roman" w:hAnsi="Times New Roman" w:cs="Times New Roman"/>
          <w:sz w:val="24"/>
          <w:szCs w:val="24"/>
          <w:lang w:eastAsia="ru-RU"/>
        </w:rPr>
        <w:t>гамма-фона</w:t>
      </w:r>
      <w:proofErr w:type="spellEnd"/>
      <w:proofErr w:type="gramEnd"/>
      <w:r w:rsidR="009A1BDB" w:rsidRPr="0066263B">
        <w:rPr>
          <w:rFonts w:ascii="Times New Roman" w:eastAsia="Times New Roman" w:hAnsi="Times New Roman" w:cs="Times New Roman"/>
          <w:sz w:val="24"/>
          <w:szCs w:val="24"/>
          <w:lang w:eastAsia="ru-RU"/>
        </w:rPr>
        <w:t xml:space="preserve"> проводились в г</w:t>
      </w:r>
      <w:r w:rsidRPr="0066263B">
        <w:rPr>
          <w:rFonts w:ascii="Times New Roman" w:eastAsia="Times New Roman" w:hAnsi="Times New Roman" w:cs="Times New Roman"/>
          <w:sz w:val="24"/>
          <w:szCs w:val="24"/>
          <w:lang w:eastAsia="ru-RU"/>
        </w:rPr>
        <w:t>.</w:t>
      </w:r>
      <w:r w:rsidR="009A1BDB" w:rsidRPr="0066263B">
        <w:rPr>
          <w:rFonts w:ascii="Times New Roman" w:eastAsia="Times New Roman" w:hAnsi="Times New Roman" w:cs="Times New Roman"/>
          <w:sz w:val="24"/>
          <w:szCs w:val="24"/>
          <w:lang w:eastAsia="ru-RU"/>
        </w:rPr>
        <w:t>г.</w:t>
      </w:r>
      <w:r w:rsidRPr="0066263B">
        <w:rPr>
          <w:rFonts w:ascii="Times New Roman" w:eastAsia="Times New Roman" w:hAnsi="Times New Roman" w:cs="Times New Roman"/>
          <w:sz w:val="24"/>
          <w:szCs w:val="24"/>
          <w:lang w:eastAsia="ru-RU"/>
        </w:rPr>
        <w:t> </w:t>
      </w:r>
      <w:r w:rsidR="009A1BDB" w:rsidRPr="0066263B">
        <w:rPr>
          <w:rFonts w:ascii="Times New Roman" w:eastAsia="Times New Roman" w:hAnsi="Times New Roman" w:cs="Times New Roman"/>
          <w:sz w:val="24"/>
          <w:szCs w:val="24"/>
          <w:lang w:eastAsia="ru-RU"/>
        </w:rPr>
        <w:t xml:space="preserve">Брянск, Клинцы, Новозыбков, </w:t>
      </w:r>
      <w:r w:rsidRPr="0066263B">
        <w:rPr>
          <w:rFonts w:ascii="Times New Roman" w:eastAsia="Times New Roman" w:hAnsi="Times New Roman" w:cs="Times New Roman"/>
          <w:sz w:val="24"/>
          <w:szCs w:val="24"/>
          <w:lang w:eastAsia="ru-RU"/>
        </w:rPr>
        <w:t xml:space="preserve">НП </w:t>
      </w:r>
      <w:r w:rsidR="009A1BDB" w:rsidRPr="0066263B">
        <w:rPr>
          <w:rFonts w:ascii="Times New Roman" w:eastAsia="Times New Roman" w:hAnsi="Times New Roman" w:cs="Times New Roman"/>
          <w:sz w:val="24"/>
          <w:szCs w:val="24"/>
          <w:lang w:eastAsia="ru-RU"/>
        </w:rPr>
        <w:t>Комаричи ежедневно в 9</w:t>
      </w:r>
      <w:r w:rsidRPr="0066263B">
        <w:rPr>
          <w:rFonts w:ascii="Times New Roman" w:eastAsia="Times New Roman" w:hAnsi="Times New Roman" w:cs="Times New Roman"/>
          <w:sz w:val="24"/>
          <w:szCs w:val="24"/>
          <w:lang w:eastAsia="ru-RU"/>
        </w:rPr>
        <w:t>-00</w:t>
      </w:r>
      <w:r w:rsidR="009A1BDB" w:rsidRPr="0066263B">
        <w:rPr>
          <w:rFonts w:ascii="Times New Roman" w:eastAsia="Times New Roman" w:hAnsi="Times New Roman" w:cs="Times New Roman"/>
          <w:sz w:val="24"/>
          <w:szCs w:val="24"/>
          <w:lang w:eastAsia="ru-RU"/>
        </w:rPr>
        <w:t>, 15</w:t>
      </w:r>
      <w:r w:rsidRPr="0066263B">
        <w:rPr>
          <w:rFonts w:ascii="Times New Roman" w:eastAsia="Times New Roman" w:hAnsi="Times New Roman" w:cs="Times New Roman"/>
          <w:sz w:val="24"/>
          <w:szCs w:val="24"/>
          <w:lang w:eastAsia="ru-RU"/>
        </w:rPr>
        <w:t>-00</w:t>
      </w:r>
      <w:r w:rsidR="009A1BDB" w:rsidRPr="0066263B">
        <w:rPr>
          <w:rFonts w:ascii="Times New Roman" w:eastAsia="Times New Roman" w:hAnsi="Times New Roman" w:cs="Times New Roman"/>
          <w:sz w:val="24"/>
          <w:szCs w:val="24"/>
          <w:lang w:eastAsia="ru-RU"/>
        </w:rPr>
        <w:t xml:space="preserve"> часов в рабочие дни и </w:t>
      </w:r>
      <w:r w:rsidRPr="0066263B">
        <w:rPr>
          <w:rFonts w:ascii="Times New Roman" w:eastAsia="Times New Roman" w:hAnsi="Times New Roman" w:cs="Times New Roman"/>
          <w:sz w:val="24"/>
          <w:szCs w:val="24"/>
          <w:lang w:eastAsia="ru-RU"/>
        </w:rPr>
        <w:t xml:space="preserve">в </w:t>
      </w:r>
      <w:r w:rsidR="009A1BDB" w:rsidRPr="0066263B">
        <w:rPr>
          <w:rFonts w:ascii="Times New Roman" w:eastAsia="Times New Roman" w:hAnsi="Times New Roman" w:cs="Times New Roman"/>
          <w:sz w:val="24"/>
          <w:szCs w:val="24"/>
          <w:lang w:eastAsia="ru-RU"/>
        </w:rPr>
        <w:t>9</w:t>
      </w:r>
      <w:r w:rsidRPr="0066263B">
        <w:rPr>
          <w:rFonts w:ascii="Times New Roman" w:eastAsia="Times New Roman" w:hAnsi="Times New Roman" w:cs="Times New Roman"/>
          <w:sz w:val="24"/>
          <w:szCs w:val="24"/>
          <w:lang w:eastAsia="ru-RU"/>
        </w:rPr>
        <w:t>-00</w:t>
      </w:r>
      <w:r w:rsidR="009A1BDB" w:rsidRPr="0066263B">
        <w:rPr>
          <w:rFonts w:ascii="Times New Roman" w:eastAsia="Times New Roman" w:hAnsi="Times New Roman" w:cs="Times New Roman"/>
          <w:sz w:val="24"/>
          <w:szCs w:val="24"/>
          <w:lang w:eastAsia="ru-RU"/>
        </w:rPr>
        <w:t xml:space="preserve"> часов утра в выходные. По результатам провед</w:t>
      </w:r>
      <w:r w:rsidRPr="0066263B">
        <w:rPr>
          <w:rFonts w:ascii="Times New Roman" w:eastAsia="Times New Roman" w:hAnsi="Times New Roman" w:cs="Times New Roman"/>
          <w:sz w:val="24"/>
          <w:szCs w:val="24"/>
          <w:lang w:eastAsia="ru-RU"/>
        </w:rPr>
        <w:t>ё</w:t>
      </w:r>
      <w:r w:rsidR="009A1BDB" w:rsidRPr="0066263B">
        <w:rPr>
          <w:rFonts w:ascii="Times New Roman" w:eastAsia="Times New Roman" w:hAnsi="Times New Roman" w:cs="Times New Roman"/>
          <w:sz w:val="24"/>
          <w:szCs w:val="24"/>
          <w:lang w:eastAsia="ru-RU"/>
        </w:rPr>
        <w:t>нных 1</w:t>
      </w:r>
      <w:r w:rsidRPr="0066263B">
        <w:rPr>
          <w:rFonts w:ascii="Times New Roman" w:eastAsia="Times New Roman" w:hAnsi="Times New Roman" w:cs="Times New Roman"/>
          <w:sz w:val="24"/>
          <w:szCs w:val="24"/>
          <w:lang w:eastAsia="ru-RU"/>
        </w:rPr>
        <w:t> </w:t>
      </w:r>
      <w:r w:rsidR="009A1BDB" w:rsidRPr="0066263B">
        <w:rPr>
          <w:rFonts w:ascii="Times New Roman" w:eastAsia="Times New Roman" w:hAnsi="Times New Roman" w:cs="Times New Roman"/>
          <w:sz w:val="24"/>
          <w:szCs w:val="24"/>
          <w:lang w:eastAsia="ru-RU"/>
        </w:rPr>
        <w:t xml:space="preserve">164 измерений МЭД гамма-излучения за период действия усиленного надзора, превышение естественного </w:t>
      </w:r>
      <w:proofErr w:type="spellStart"/>
      <w:proofErr w:type="gramStart"/>
      <w:r w:rsidR="009A1BDB" w:rsidRPr="0066263B">
        <w:rPr>
          <w:rFonts w:ascii="Times New Roman" w:eastAsia="Times New Roman" w:hAnsi="Times New Roman" w:cs="Times New Roman"/>
          <w:sz w:val="24"/>
          <w:szCs w:val="24"/>
          <w:lang w:eastAsia="ru-RU"/>
        </w:rPr>
        <w:t>гамма-фона</w:t>
      </w:r>
      <w:proofErr w:type="spellEnd"/>
      <w:proofErr w:type="gramEnd"/>
      <w:r w:rsidR="009A1BDB" w:rsidRPr="0066263B">
        <w:rPr>
          <w:rFonts w:ascii="Times New Roman" w:eastAsia="Times New Roman" w:hAnsi="Times New Roman" w:cs="Times New Roman"/>
          <w:sz w:val="24"/>
          <w:szCs w:val="24"/>
          <w:lang w:eastAsia="ru-RU"/>
        </w:rPr>
        <w:t xml:space="preserve"> местности, характерного для контролируемых территорий Брянской области не зафиксировано.</w:t>
      </w:r>
    </w:p>
    <w:p w:rsidR="00631694" w:rsidRPr="0066263B" w:rsidRDefault="00631694" w:rsidP="00631694">
      <w:pPr>
        <w:spacing w:before="0" w:after="0" w:line="225" w:lineRule="auto"/>
        <w:ind w:firstLine="708"/>
        <w:rPr>
          <w:rFonts w:ascii="Times New Roman" w:eastAsia="Times New Roman" w:hAnsi="Times New Roman" w:cs="Times New Roman"/>
          <w:b/>
          <w:sz w:val="24"/>
          <w:szCs w:val="24"/>
          <w:u w:val="single"/>
          <w:lang w:eastAsia="ru-RU"/>
        </w:rPr>
      </w:pPr>
      <w:r w:rsidRPr="0066263B">
        <w:rPr>
          <w:rFonts w:ascii="Times New Roman" w:eastAsia="Times New Roman" w:hAnsi="Times New Roman" w:cs="Times New Roman"/>
          <w:b/>
          <w:sz w:val="24"/>
          <w:szCs w:val="24"/>
          <w:u w:val="single"/>
          <w:lang w:eastAsia="ru-RU"/>
        </w:rPr>
        <w:t>2021 год</w:t>
      </w:r>
    </w:p>
    <w:p w:rsidR="003C6EAC" w:rsidRPr="0066263B" w:rsidRDefault="003C6EAC" w:rsidP="003C6EAC">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Надзор за радиационной обстановкой на территории Брянской области осуществлялся в режиме мониторинга.</w:t>
      </w:r>
    </w:p>
    <w:p w:rsidR="00324483" w:rsidRPr="0066263B" w:rsidRDefault="00324483" w:rsidP="00324483">
      <w:pPr>
        <w:spacing w:before="0" w:after="0"/>
        <w:jc w:val="left"/>
        <w:rPr>
          <w:rFonts w:ascii="Times New Roman" w:eastAsia="Times New Roman" w:hAnsi="Times New Roman" w:cs="Times New Roman"/>
          <w:b/>
          <w:bCs/>
          <w:sz w:val="26"/>
          <w:szCs w:val="26"/>
          <w:lang w:eastAsia="ru-RU"/>
        </w:rPr>
      </w:pPr>
      <w:r w:rsidRPr="0066263B">
        <w:rPr>
          <w:rFonts w:ascii="Times New Roman" w:eastAsia="Times New Roman" w:hAnsi="Times New Roman" w:cs="Times New Roman"/>
          <w:sz w:val="26"/>
          <w:szCs w:val="26"/>
          <w:lang w:eastAsia="ru-RU"/>
        </w:rPr>
        <w:br w:type="page"/>
      </w:r>
    </w:p>
    <w:p w:rsidR="00324483" w:rsidRPr="0066263B" w:rsidRDefault="00324483" w:rsidP="00324483">
      <w:pPr>
        <w:jc w:val="center"/>
        <w:outlineLvl w:val="1"/>
        <w:rPr>
          <w:rFonts w:ascii="Times New Roman" w:eastAsia="Times New Roman" w:hAnsi="Times New Roman" w:cs="Times New Roman"/>
          <w:b/>
          <w:bCs/>
          <w:sz w:val="26"/>
          <w:szCs w:val="26"/>
          <w:lang w:eastAsia="ru-RU"/>
        </w:rPr>
      </w:pPr>
      <w:bookmarkStart w:id="15" w:name="_Toc2253832"/>
      <w:r w:rsidRPr="0066263B">
        <w:rPr>
          <w:rFonts w:ascii="Times New Roman" w:eastAsia="Times New Roman" w:hAnsi="Times New Roman" w:cs="Times New Roman"/>
          <w:b/>
          <w:bCs/>
          <w:sz w:val="26"/>
          <w:szCs w:val="26"/>
          <w:lang w:eastAsia="ru-RU"/>
        </w:rPr>
        <w:lastRenderedPageBreak/>
        <w:t>2.2. Основные меры по профилактике массовых неинфекционных</w:t>
      </w:r>
      <w:r w:rsidRPr="0066263B">
        <w:rPr>
          <w:rFonts w:ascii="Times New Roman" w:eastAsia="Times New Roman" w:hAnsi="Times New Roman" w:cs="Times New Roman"/>
          <w:b/>
          <w:bCs/>
          <w:sz w:val="26"/>
          <w:szCs w:val="26"/>
          <w:lang w:eastAsia="ru-RU"/>
        </w:rPr>
        <w:br/>
        <w:t>(отравлений) и приоритетных заболеваний в связи с вредным воздействием факторов среды обитания</w:t>
      </w:r>
      <w:bookmarkEnd w:id="15"/>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Брянской области проводится целенаправленная работа по профилактике алкоголизма и повышению мотивации населения на соблюдение здорового образа жизни.</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Информирование населения Брянской области о факторах риска неинфекционных заболеваний и создание мотивации к ведению здорового образа жизни (пропаганда здорового образа жизни) осуществляется через средства массовой информации, с помощью центров здоровья, кабинетов/отделений профилактики поликлиник, стационаров и санаториев, а также через фельдшерско-акушерские пункты.</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целях развития профилактической направленности в работе первичного звена на освободившихся площадях ГБУЗ «Брянская городская поликлиника № 5», после перевода детского отделения в новый корпус, планируется создание областного центра медицинской профилактики. ГАУЗ «Брянский областной врачебно-физкультурный диспансер» оказывает организационно-методическую помощь по вопросам формирования здорового образа жизни.</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территории региона работает 6 центров здоровья, из них 2 детских. Кроме того, пропаганда здорового образа жизни осуществляется через региональное телевидение, сеть Интернет, печатную продукцию и средства радиовещания; посредством наружной рекламы; проведения образовательных/информационных кампаний, направленных на формирование здорового образа жизни, школ здоровья, а также посредством специализированных школ для пациентов.</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Уровень злоупотребления алкоголем остаётся на высоком уровне, в его структуре отмечаются негативные тенденции роста общей заболеваемости алкогольными психозами и употребления алкоголя с вредными последствиями. При этом темп роста регистрируемой алкоголизации женского населения превышает темп роста алкоголизации мужской части населения, что находит подтверждение в изменяющемся соотношении мужчин и женщин в контингенте больных алкоголизмом.</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проведены проверки 32 предприятий, осуществляющих продажу алкогольной продукции, проведено исследование 42 партий, 3 пробы пива не соответствовали требованиям маркировки по энергетической ценности.</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Нарушения реализации продукции установлены </w:t>
      </w:r>
      <w:r w:rsidR="00C146A4">
        <w:rPr>
          <w:rFonts w:ascii="Times New Roman" w:eastAsia="Times New Roman" w:hAnsi="Times New Roman" w:cs="Times New Roman"/>
          <w:sz w:val="24"/>
          <w:szCs w:val="24"/>
          <w:lang w:eastAsia="ru-RU"/>
        </w:rPr>
        <w:t>на</w:t>
      </w:r>
      <w:r w:rsidRPr="0066263B">
        <w:rPr>
          <w:rFonts w:ascii="Times New Roman" w:eastAsia="Times New Roman" w:hAnsi="Times New Roman" w:cs="Times New Roman"/>
          <w:sz w:val="24"/>
          <w:szCs w:val="24"/>
          <w:lang w:eastAsia="ru-RU"/>
        </w:rPr>
        <w:t xml:space="preserve"> 4 объектах. Выявлена реализация продукции с нарушением маркировки, отсутствием в сопроводительной документации информации о декларации соответствия на продукцию.</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 результатам проведённых контрольно-надзорных мероприятий на ответственных лиц составлено 6 протоколов об административных нарушениях по </w:t>
      </w:r>
      <w:proofErr w:type="gramStart"/>
      <w:r w:rsidRPr="0066263B">
        <w:rPr>
          <w:rFonts w:ascii="Times New Roman" w:eastAsia="Times New Roman" w:hAnsi="Times New Roman" w:cs="Times New Roman"/>
          <w:sz w:val="24"/>
          <w:szCs w:val="24"/>
          <w:lang w:eastAsia="ru-RU"/>
        </w:rPr>
        <w:t>ч</w:t>
      </w:r>
      <w:proofErr w:type="gramEnd"/>
      <w:r w:rsidRPr="0066263B">
        <w:rPr>
          <w:rFonts w:ascii="Times New Roman" w:eastAsia="Times New Roman" w:hAnsi="Times New Roman" w:cs="Times New Roman"/>
          <w:sz w:val="24"/>
          <w:szCs w:val="24"/>
          <w:lang w:eastAsia="ru-RU"/>
        </w:rPr>
        <w:t>. 1 ст. 14.43 КоАП РФ и по ст. 14.45 КоАП РФ.</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Управление Роспотребнадзора по Брянской области осуществляет государственный надзор за производством и оборотом табачных изделий.</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2021 год Управлением Роспотребнадзора по Брянской области проведено административное расследование в отношении объектов, осуществляющих розничную продажу табачной продукции.</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Нарушения установлены </w:t>
      </w:r>
      <w:r w:rsidR="00C146A4">
        <w:rPr>
          <w:rFonts w:ascii="Times New Roman" w:eastAsia="Times New Roman" w:hAnsi="Times New Roman" w:cs="Times New Roman"/>
          <w:sz w:val="24"/>
          <w:szCs w:val="24"/>
          <w:lang w:eastAsia="ru-RU"/>
        </w:rPr>
        <w:t>на</w:t>
      </w:r>
      <w:r w:rsidRPr="0066263B">
        <w:rPr>
          <w:rFonts w:ascii="Times New Roman" w:eastAsia="Times New Roman" w:hAnsi="Times New Roman" w:cs="Times New Roman"/>
          <w:sz w:val="24"/>
          <w:szCs w:val="24"/>
          <w:lang w:eastAsia="ru-RU"/>
        </w:rPr>
        <w:t xml:space="preserve"> 16 объектах, выявлены такие нарушения как продажа табачных изделий без маркировки средствами идентификации (QR кодами), без маркировки специальными марками установленного образца (сигареты изготовителей Р. Беларусь без марки и с маркой, не установленного образца).</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По результатам проведённых контрольно-надзорных мероприятий арестовано 2 746 пачек сигарет.</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ответственных лиц составлено 16 протоколов об административном правонарушении, из них по </w:t>
      </w:r>
      <w:proofErr w:type="gramStart"/>
      <w:r w:rsidRPr="0066263B">
        <w:rPr>
          <w:rFonts w:ascii="Times New Roman" w:eastAsia="Times New Roman" w:hAnsi="Times New Roman" w:cs="Times New Roman"/>
          <w:sz w:val="24"/>
          <w:szCs w:val="24"/>
          <w:lang w:eastAsia="ru-RU"/>
        </w:rPr>
        <w:t>ч</w:t>
      </w:r>
      <w:proofErr w:type="gramEnd"/>
      <w:r w:rsidRPr="0066263B">
        <w:rPr>
          <w:rFonts w:ascii="Times New Roman" w:eastAsia="Times New Roman" w:hAnsi="Times New Roman" w:cs="Times New Roman"/>
          <w:sz w:val="24"/>
          <w:szCs w:val="24"/>
          <w:lang w:eastAsia="ru-RU"/>
        </w:rPr>
        <w:t>. 4 ст. 15.12 КоАП РФ – 12, по ч. 1 ст. 14.53 КоАП РФ – 4.</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отношении 10 административных дел судом вынесены решения о конфискации 503 пачек сигарет и наложении штрафов на ответственных лиц на общую сумму 48 000 руб., по 2 делам решения не приняты, находятся в стадии рассмотрения.</w:t>
      </w:r>
    </w:p>
    <w:p w:rsidR="003C6EAC" w:rsidRPr="0066263B" w:rsidRDefault="003C6EAC" w:rsidP="003C6EAC">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продолжена работа по осуществлению комплекса мероприятий, направленных на реализацию государственной политики по продовольственной безопасности, здорового питания, реализацию мероприятий по совершенствованию системы школьного питания, государственной политики противодействия потреблению табака, по снижению масштабов злоупотребления алкоголем.</w:t>
      </w:r>
    </w:p>
    <w:p w:rsidR="003C6EAC" w:rsidRPr="0066263B" w:rsidRDefault="003C6EAC"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целях реализации Доктрины продовольственной безопасности Управлением Роспотребнадзора по Брянской области были обеспечены контроль и надзор за качеством и безопасностью пищевых продуктов, и реализация мер по снижению заболеваемости населения, обусловленной микронутриентной недостаточностью.</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настоящее время на территории Брянской области профилактика </w:t>
      </w:r>
      <w:proofErr w:type="spellStart"/>
      <w:r w:rsidRPr="0066263B">
        <w:rPr>
          <w:rFonts w:ascii="Times New Roman" w:eastAsia="Times New Roman" w:hAnsi="Times New Roman" w:cs="Times New Roman"/>
          <w:sz w:val="24"/>
          <w:szCs w:val="24"/>
          <w:lang w:eastAsia="ru-RU"/>
        </w:rPr>
        <w:t>йоддефицитных</w:t>
      </w:r>
      <w:proofErr w:type="spellEnd"/>
      <w:r w:rsidRPr="0066263B">
        <w:rPr>
          <w:rFonts w:ascii="Times New Roman" w:eastAsia="Times New Roman" w:hAnsi="Times New Roman" w:cs="Times New Roman"/>
          <w:sz w:val="24"/>
          <w:szCs w:val="24"/>
          <w:lang w:eastAsia="ru-RU"/>
        </w:rPr>
        <w:t xml:space="preserve"> состояний осуществляется по нескольким направлениям: использование йодированной соли, обогащение продуктов питания йодом и индивидуальная профилактика среди декретированных контингентов.</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8522CF" w:rsidRPr="0066263B" w:rsidRDefault="008522CF" w:rsidP="008522CF">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429250" cy="2667000"/>
            <wp:effectExtent l="0" t="0" r="0" b="0"/>
            <wp:docPr id="242"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522CF" w:rsidRPr="0066263B" w:rsidRDefault="008522CF" w:rsidP="008522CF">
      <w:pPr>
        <w:spacing w:before="0" w:after="0"/>
        <w:jc w:val="center"/>
        <w:rPr>
          <w:rFonts w:ascii="Times New Roman" w:eastAsia="Calibri" w:hAnsi="Times New Roman" w:cs="Times New Roman"/>
          <w:bCs/>
          <w:lang w:eastAsia="ru-RU"/>
        </w:rPr>
      </w:pPr>
      <w:r w:rsidRPr="0066263B">
        <w:rPr>
          <w:rFonts w:ascii="Times New Roman" w:eastAsia="Calibri" w:hAnsi="Times New Roman" w:cs="Times New Roman"/>
          <w:b/>
          <w:bCs/>
          <w:lang w:eastAsia="ru-RU"/>
        </w:rPr>
        <w:t xml:space="preserve">Рис. </w:t>
      </w:r>
      <w:r w:rsidR="006C34E2" w:rsidRPr="0066263B">
        <w:rPr>
          <w:rFonts w:ascii="Times New Roman" w:eastAsia="Calibri" w:hAnsi="Times New Roman" w:cs="Times New Roman"/>
          <w:b/>
          <w:bCs/>
          <w:lang w:eastAsia="ru-RU"/>
        </w:rPr>
        <w:fldChar w:fldCharType="begin"/>
      </w:r>
      <w:r w:rsidRPr="0066263B">
        <w:rPr>
          <w:rFonts w:ascii="Times New Roman" w:eastAsia="Calibri" w:hAnsi="Times New Roman" w:cs="Times New Roman"/>
          <w:b/>
          <w:bCs/>
          <w:lang w:eastAsia="ru-RU"/>
        </w:rPr>
        <w:instrText xml:space="preserve"> SEQ Рис._№ \* ARABIC </w:instrText>
      </w:r>
      <w:r w:rsidR="006C34E2" w:rsidRPr="0066263B">
        <w:rPr>
          <w:rFonts w:ascii="Times New Roman" w:eastAsia="Calibri" w:hAnsi="Times New Roman" w:cs="Times New Roman"/>
          <w:b/>
          <w:bCs/>
          <w:lang w:eastAsia="ru-RU"/>
        </w:rPr>
        <w:fldChar w:fldCharType="separate"/>
      </w:r>
      <w:r w:rsidR="00EC1D99">
        <w:rPr>
          <w:rFonts w:ascii="Times New Roman" w:eastAsia="Calibri" w:hAnsi="Times New Roman" w:cs="Times New Roman"/>
          <w:b/>
          <w:bCs/>
          <w:noProof/>
          <w:lang w:eastAsia="ru-RU"/>
        </w:rPr>
        <w:t>98</w:t>
      </w:r>
      <w:r w:rsidR="006C34E2" w:rsidRPr="0066263B">
        <w:rPr>
          <w:rFonts w:ascii="Times New Roman" w:eastAsia="Calibri" w:hAnsi="Times New Roman" w:cs="Times New Roman"/>
          <w:b/>
          <w:bCs/>
          <w:lang w:eastAsia="ru-RU"/>
        </w:rPr>
        <w:fldChar w:fldCharType="end"/>
      </w:r>
      <w:r w:rsidRPr="0066263B">
        <w:rPr>
          <w:rFonts w:ascii="Times New Roman" w:eastAsia="Calibri" w:hAnsi="Times New Roman" w:cs="Times New Roman"/>
          <w:b/>
          <w:bCs/>
          <w:lang w:eastAsia="ru-RU"/>
        </w:rPr>
        <w:t xml:space="preserve">. </w:t>
      </w:r>
      <w:r w:rsidRPr="0066263B">
        <w:rPr>
          <w:rFonts w:ascii="Times New Roman" w:eastAsia="Calibri" w:hAnsi="Times New Roman" w:cs="Times New Roman"/>
          <w:bCs/>
          <w:lang w:eastAsia="ru-RU"/>
        </w:rPr>
        <w:t>Потребление йодированной соли населением Брянской области, %</w:t>
      </w:r>
    </w:p>
    <w:p w:rsidR="00B93C7E" w:rsidRPr="0066263B" w:rsidRDefault="00B93C7E" w:rsidP="00324483">
      <w:pPr>
        <w:spacing w:before="0" w:after="0"/>
        <w:ind w:firstLine="709"/>
        <w:rPr>
          <w:rFonts w:ascii="Times New Roman" w:eastAsia="Times New Roman" w:hAnsi="Times New Roman" w:cs="Times New Roman"/>
          <w:sz w:val="24"/>
          <w:szCs w:val="24"/>
          <w:lang w:eastAsia="ru-RU"/>
        </w:rPr>
      </w:pPr>
    </w:p>
    <w:p w:rsidR="00260706" w:rsidRPr="0066263B" w:rsidRDefault="00260706"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В целях реализации постановления Главного государственного санитарного врача РФ от 28.12.1999 № 17 «О преодолении дефицита микронутриентов», постановления администрации Брянской области от 27.08.2008 № 820 «Об обеспечении населения Брянской области йодированной солью и пищевыми продуктами, обогащёнными </w:t>
      </w:r>
      <w:proofErr w:type="spellStart"/>
      <w:r w:rsidRPr="0066263B">
        <w:rPr>
          <w:rFonts w:ascii="Times New Roman" w:eastAsia="Times New Roman" w:hAnsi="Times New Roman" w:cs="Times New Roman"/>
          <w:sz w:val="24"/>
          <w:szCs w:val="24"/>
          <w:lang w:eastAsia="ru-RU"/>
        </w:rPr>
        <w:t>микронутриентами</w:t>
      </w:r>
      <w:proofErr w:type="spellEnd"/>
      <w:r w:rsidRPr="0066263B">
        <w:rPr>
          <w:rFonts w:ascii="Times New Roman" w:eastAsia="Times New Roman" w:hAnsi="Times New Roman" w:cs="Times New Roman"/>
          <w:sz w:val="24"/>
          <w:szCs w:val="24"/>
          <w:lang w:eastAsia="ru-RU"/>
        </w:rPr>
        <w:t>» на предприятиях области производится обогащение витаминами и микроэлементами молочных продуктов, безалкогольных напитков, массовых сортов хлеба и хлебобулочных изделий.</w:t>
      </w:r>
      <w:proofErr w:type="gramEnd"/>
    </w:p>
    <w:p w:rsidR="008522CF" w:rsidRPr="0066263B" w:rsidRDefault="008522CF" w:rsidP="00324483">
      <w:pPr>
        <w:spacing w:before="0" w:after="0"/>
        <w:ind w:firstLine="709"/>
        <w:rPr>
          <w:rFonts w:ascii="Times New Roman" w:eastAsia="Times New Roman" w:hAnsi="Times New Roman" w:cs="Times New Roman"/>
          <w:sz w:val="24"/>
          <w:szCs w:val="24"/>
          <w:lang w:eastAsia="ru-RU"/>
        </w:rPr>
      </w:pPr>
    </w:p>
    <w:p w:rsidR="00260706" w:rsidRPr="0066263B" w:rsidRDefault="00260706">
      <w:pPr>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br w:type="page"/>
      </w:r>
    </w:p>
    <w:p w:rsidR="003C6EAC" w:rsidRPr="0066263B" w:rsidRDefault="003C6EAC"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105</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bCs/>
          <w:lang w:eastAsia="ru-RU"/>
        </w:rPr>
        <w:t>Потребление йодированной соли населением юго-западных районов</w:t>
      </w:r>
      <w:r w:rsidRPr="0066263B">
        <w:rPr>
          <w:rFonts w:ascii="Times New Roman" w:eastAsia="Times New Roman" w:hAnsi="Times New Roman" w:cs="Times New Roman"/>
          <w:b/>
          <w:bCs/>
          <w:lang w:eastAsia="ru-RU"/>
        </w:rPr>
        <w:br/>
        <w:t>Брянской области, %</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499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1239"/>
        <w:gridCol w:w="1239"/>
        <w:gridCol w:w="1240"/>
        <w:gridCol w:w="1239"/>
        <w:gridCol w:w="1240"/>
      </w:tblGrid>
      <w:tr w:rsidR="00631694" w:rsidRPr="0066263B" w:rsidTr="003C6EAC">
        <w:trPr>
          <w:cantSplit/>
          <w:trHeight w:val="253"/>
        </w:trPr>
        <w:tc>
          <w:tcPr>
            <w:tcW w:w="3083" w:type="dxa"/>
            <w:vAlign w:val="center"/>
          </w:tcPr>
          <w:p w:rsidR="00631694" w:rsidRPr="0066263B" w:rsidRDefault="00631694" w:rsidP="008522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Территория</w:t>
            </w:r>
          </w:p>
        </w:tc>
        <w:tc>
          <w:tcPr>
            <w:tcW w:w="1239" w:type="dxa"/>
            <w:vAlign w:val="center"/>
          </w:tcPr>
          <w:p w:rsidR="00631694" w:rsidRPr="0066263B" w:rsidRDefault="00631694" w:rsidP="001F63A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2017</w:t>
            </w:r>
          </w:p>
        </w:tc>
        <w:tc>
          <w:tcPr>
            <w:tcW w:w="1239" w:type="dxa"/>
            <w:vAlign w:val="center"/>
          </w:tcPr>
          <w:p w:rsidR="00631694" w:rsidRPr="0066263B" w:rsidRDefault="00631694" w:rsidP="001F63A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2018</w:t>
            </w:r>
          </w:p>
        </w:tc>
        <w:tc>
          <w:tcPr>
            <w:tcW w:w="1240" w:type="dxa"/>
            <w:vAlign w:val="center"/>
          </w:tcPr>
          <w:p w:rsidR="00631694" w:rsidRPr="0066263B" w:rsidRDefault="00631694" w:rsidP="001F63A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1239" w:type="dxa"/>
            <w:vAlign w:val="center"/>
          </w:tcPr>
          <w:p w:rsidR="00631694" w:rsidRPr="0066263B" w:rsidRDefault="00631694" w:rsidP="001F63A5">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1240" w:type="dxa"/>
            <w:vAlign w:val="center"/>
          </w:tcPr>
          <w:p w:rsidR="00631694" w:rsidRPr="0066263B" w:rsidRDefault="00631694" w:rsidP="008522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3C6EAC" w:rsidRPr="0066263B" w:rsidTr="003C6EAC">
        <w:trPr>
          <w:cantSplit/>
          <w:trHeight w:val="301"/>
        </w:trPr>
        <w:tc>
          <w:tcPr>
            <w:tcW w:w="3083" w:type="dxa"/>
          </w:tcPr>
          <w:p w:rsidR="003C6EAC" w:rsidRPr="0066263B" w:rsidRDefault="003C6EAC"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 Клинцы</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93,2</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89,7</w:t>
            </w:r>
          </w:p>
        </w:tc>
        <w:tc>
          <w:tcPr>
            <w:tcW w:w="1240"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85,3</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85,9</w:t>
            </w:r>
          </w:p>
        </w:tc>
        <w:tc>
          <w:tcPr>
            <w:tcW w:w="1240"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89,6</w:t>
            </w:r>
          </w:p>
        </w:tc>
      </w:tr>
      <w:tr w:rsidR="003C6EAC" w:rsidRPr="0066263B" w:rsidTr="003C6EAC">
        <w:trPr>
          <w:cantSplit/>
          <w:trHeight w:val="301"/>
        </w:trPr>
        <w:tc>
          <w:tcPr>
            <w:tcW w:w="3083" w:type="dxa"/>
          </w:tcPr>
          <w:p w:rsidR="003C6EAC" w:rsidRPr="0066263B" w:rsidRDefault="003C6EAC"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Новозыбков городской округ</w:t>
            </w:r>
          </w:p>
        </w:tc>
        <w:tc>
          <w:tcPr>
            <w:tcW w:w="1239"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1239"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97,6</w:t>
            </w:r>
          </w:p>
        </w:tc>
        <w:tc>
          <w:tcPr>
            <w:tcW w:w="1240"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97,8</w:t>
            </w:r>
          </w:p>
        </w:tc>
        <w:tc>
          <w:tcPr>
            <w:tcW w:w="1239"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97,9</w:t>
            </w:r>
          </w:p>
        </w:tc>
        <w:tc>
          <w:tcPr>
            <w:tcW w:w="1240"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98,0</w:t>
            </w:r>
          </w:p>
        </w:tc>
      </w:tr>
      <w:tr w:rsidR="003C6EAC" w:rsidRPr="0066263B" w:rsidTr="003C6EAC">
        <w:trPr>
          <w:cantSplit/>
          <w:trHeight w:val="301"/>
        </w:trPr>
        <w:tc>
          <w:tcPr>
            <w:tcW w:w="3083" w:type="dxa"/>
          </w:tcPr>
          <w:p w:rsidR="003C6EAC" w:rsidRPr="0066263B" w:rsidRDefault="003C6EAC"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Клинцовский район</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94,1</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91,3</w:t>
            </w:r>
          </w:p>
        </w:tc>
        <w:tc>
          <w:tcPr>
            <w:tcW w:w="1240"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90,5</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90,5</w:t>
            </w:r>
          </w:p>
        </w:tc>
        <w:tc>
          <w:tcPr>
            <w:tcW w:w="1240"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92,6</w:t>
            </w:r>
          </w:p>
        </w:tc>
      </w:tr>
      <w:tr w:rsidR="003C6EAC" w:rsidRPr="0066263B" w:rsidTr="003C6EAC">
        <w:trPr>
          <w:cantSplit/>
          <w:trHeight w:val="301"/>
        </w:trPr>
        <w:tc>
          <w:tcPr>
            <w:tcW w:w="3083" w:type="dxa"/>
          </w:tcPr>
          <w:p w:rsidR="003C6EAC" w:rsidRPr="0066263B" w:rsidRDefault="003C6EAC"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Гордеевский район</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94,2</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92,4</w:t>
            </w:r>
          </w:p>
        </w:tc>
        <w:tc>
          <w:tcPr>
            <w:tcW w:w="1240"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91,7</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91,9</w:t>
            </w:r>
          </w:p>
        </w:tc>
        <w:tc>
          <w:tcPr>
            <w:tcW w:w="1240"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92,6</w:t>
            </w:r>
          </w:p>
        </w:tc>
      </w:tr>
      <w:tr w:rsidR="003C6EAC" w:rsidRPr="0066263B" w:rsidTr="003C6EAC">
        <w:trPr>
          <w:cantSplit/>
          <w:trHeight w:val="301"/>
        </w:trPr>
        <w:tc>
          <w:tcPr>
            <w:tcW w:w="3083" w:type="dxa"/>
          </w:tcPr>
          <w:p w:rsidR="003C6EAC" w:rsidRPr="0066263B" w:rsidRDefault="003C6EAC"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Злынковский район</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89,3</w:t>
            </w:r>
          </w:p>
        </w:tc>
        <w:tc>
          <w:tcPr>
            <w:tcW w:w="1240"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89,5</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89,5</w:t>
            </w:r>
          </w:p>
        </w:tc>
        <w:tc>
          <w:tcPr>
            <w:tcW w:w="1240"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90,0</w:t>
            </w:r>
          </w:p>
        </w:tc>
      </w:tr>
      <w:tr w:rsidR="003C6EAC" w:rsidRPr="0066263B" w:rsidTr="003C6EAC">
        <w:trPr>
          <w:cantSplit/>
          <w:trHeight w:val="301"/>
        </w:trPr>
        <w:tc>
          <w:tcPr>
            <w:tcW w:w="3083" w:type="dxa"/>
          </w:tcPr>
          <w:p w:rsidR="003C6EAC" w:rsidRPr="0066263B" w:rsidRDefault="003C6EAC"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Климовский район</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93,7</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90,1</w:t>
            </w:r>
          </w:p>
        </w:tc>
        <w:tc>
          <w:tcPr>
            <w:tcW w:w="1240"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90,0</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90,0</w:t>
            </w:r>
          </w:p>
        </w:tc>
        <w:tc>
          <w:tcPr>
            <w:tcW w:w="1240"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90,0</w:t>
            </w:r>
          </w:p>
        </w:tc>
      </w:tr>
      <w:tr w:rsidR="003C6EAC" w:rsidRPr="0066263B" w:rsidTr="003C6EAC">
        <w:trPr>
          <w:cantSplit/>
          <w:trHeight w:val="301"/>
        </w:trPr>
        <w:tc>
          <w:tcPr>
            <w:tcW w:w="3083" w:type="dxa"/>
          </w:tcPr>
          <w:p w:rsidR="003C6EAC" w:rsidRPr="0066263B" w:rsidRDefault="003C6EAC"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Красногорский район</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97,2</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94,4</w:t>
            </w:r>
          </w:p>
        </w:tc>
        <w:tc>
          <w:tcPr>
            <w:tcW w:w="1240"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93,5</w:t>
            </w:r>
          </w:p>
        </w:tc>
        <w:tc>
          <w:tcPr>
            <w:tcW w:w="1239" w:type="dxa"/>
            <w:vAlign w:val="center"/>
          </w:tcPr>
          <w:p w:rsidR="003C6EAC" w:rsidRPr="0066263B" w:rsidRDefault="003C6EAC" w:rsidP="001F63A5">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93,8</w:t>
            </w:r>
          </w:p>
        </w:tc>
        <w:tc>
          <w:tcPr>
            <w:tcW w:w="1240" w:type="dxa"/>
            <w:vAlign w:val="center"/>
          </w:tcPr>
          <w:p w:rsidR="003C6EAC" w:rsidRPr="0066263B" w:rsidRDefault="003C6EAC"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94,0</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Данные о качестве йодированной соли, реализуемой на территории Брянской области, представлены в таблице 1</w:t>
      </w:r>
      <w:r w:rsidR="00260706" w:rsidRPr="0066263B">
        <w:rPr>
          <w:rFonts w:ascii="Times New Roman" w:eastAsia="Times New Roman" w:hAnsi="Times New Roman" w:cs="Times New Roman"/>
          <w:sz w:val="24"/>
          <w:szCs w:val="24"/>
          <w:lang w:eastAsia="ru-RU"/>
        </w:rPr>
        <w:t>06</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106</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Лабораторные исследования йодированной соли на территории</w:t>
      </w:r>
      <w:r w:rsidRPr="0066263B">
        <w:rPr>
          <w:rFonts w:ascii="Times New Roman" w:eastAsia="Times New Roman" w:hAnsi="Times New Roman" w:cs="Times New Roman"/>
          <w:b/>
          <w:bCs/>
          <w:lang w:eastAsia="ru-RU"/>
        </w:rPr>
        <w:br/>
        <w:t>Брянской области</w:t>
      </w:r>
    </w:p>
    <w:p w:rsidR="00324483" w:rsidRPr="0066263B" w:rsidRDefault="00324483" w:rsidP="00324483">
      <w:pPr>
        <w:spacing w:before="0" w:after="0"/>
        <w:jc w:val="center"/>
        <w:rPr>
          <w:rFonts w:ascii="Times New Roman" w:eastAsia="Times New Roman" w:hAnsi="Times New Roman" w:cs="Times New Roman"/>
          <w:b/>
          <w:bCs/>
          <w:lang w:eastAsia="ru-RU"/>
        </w:rPr>
      </w:pPr>
    </w:p>
    <w:tbl>
      <w:tblPr>
        <w:tblW w:w="93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2"/>
        <w:gridCol w:w="4111"/>
        <w:gridCol w:w="3827"/>
      </w:tblGrid>
      <w:tr w:rsidR="008522CF" w:rsidRPr="0066263B" w:rsidTr="00631694">
        <w:tc>
          <w:tcPr>
            <w:tcW w:w="1382" w:type="dxa"/>
            <w:vAlign w:val="center"/>
          </w:tcPr>
          <w:p w:rsidR="008522CF" w:rsidRPr="0066263B" w:rsidRDefault="008522CF" w:rsidP="008522C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Год</w:t>
            </w:r>
          </w:p>
        </w:tc>
        <w:tc>
          <w:tcPr>
            <w:tcW w:w="4111" w:type="dxa"/>
            <w:vAlign w:val="center"/>
          </w:tcPr>
          <w:p w:rsidR="008522CF" w:rsidRPr="0066263B" w:rsidRDefault="008522CF" w:rsidP="008522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Количество проведённых исследований</w:t>
            </w:r>
          </w:p>
        </w:tc>
        <w:tc>
          <w:tcPr>
            <w:tcW w:w="3827" w:type="dxa"/>
            <w:vAlign w:val="center"/>
          </w:tcPr>
          <w:p w:rsidR="008522CF" w:rsidRPr="0066263B" w:rsidRDefault="008522CF" w:rsidP="008522CF">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Не соответствуют нормативам, %</w:t>
            </w:r>
          </w:p>
        </w:tc>
      </w:tr>
      <w:tr w:rsidR="008522CF" w:rsidRPr="0066263B" w:rsidTr="00631694">
        <w:tc>
          <w:tcPr>
            <w:tcW w:w="1382"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2016</w:t>
            </w:r>
          </w:p>
        </w:tc>
        <w:tc>
          <w:tcPr>
            <w:tcW w:w="4111"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151</w:t>
            </w:r>
          </w:p>
        </w:tc>
        <w:tc>
          <w:tcPr>
            <w:tcW w:w="3827"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522CF" w:rsidRPr="0066263B" w:rsidTr="00631694">
        <w:tc>
          <w:tcPr>
            <w:tcW w:w="1382"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2017</w:t>
            </w:r>
          </w:p>
        </w:tc>
        <w:tc>
          <w:tcPr>
            <w:tcW w:w="4111"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160</w:t>
            </w:r>
          </w:p>
        </w:tc>
        <w:tc>
          <w:tcPr>
            <w:tcW w:w="3827"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522CF" w:rsidRPr="0066263B" w:rsidTr="00631694">
        <w:tc>
          <w:tcPr>
            <w:tcW w:w="1382"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2018</w:t>
            </w:r>
          </w:p>
        </w:tc>
        <w:tc>
          <w:tcPr>
            <w:tcW w:w="4111"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176</w:t>
            </w:r>
          </w:p>
        </w:tc>
        <w:tc>
          <w:tcPr>
            <w:tcW w:w="3827"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522CF" w:rsidRPr="0066263B" w:rsidTr="00631694">
        <w:tc>
          <w:tcPr>
            <w:tcW w:w="1382"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2019</w:t>
            </w:r>
          </w:p>
        </w:tc>
        <w:tc>
          <w:tcPr>
            <w:tcW w:w="4111"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130</w:t>
            </w:r>
          </w:p>
        </w:tc>
        <w:tc>
          <w:tcPr>
            <w:tcW w:w="3827"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522CF" w:rsidRPr="0066263B" w:rsidTr="00631694">
        <w:tc>
          <w:tcPr>
            <w:tcW w:w="1382"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2020</w:t>
            </w:r>
          </w:p>
        </w:tc>
        <w:tc>
          <w:tcPr>
            <w:tcW w:w="4111"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w:t>
            </w:r>
          </w:p>
        </w:tc>
        <w:tc>
          <w:tcPr>
            <w:tcW w:w="3827" w:type="dxa"/>
          </w:tcPr>
          <w:p w:rsidR="008522CF" w:rsidRPr="0066263B" w:rsidRDefault="008522CF"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631694" w:rsidRPr="0066263B" w:rsidTr="00631694">
        <w:tc>
          <w:tcPr>
            <w:tcW w:w="1382" w:type="dxa"/>
          </w:tcPr>
          <w:p w:rsidR="00631694" w:rsidRPr="0066263B" w:rsidRDefault="00631694"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2021</w:t>
            </w:r>
          </w:p>
        </w:tc>
        <w:tc>
          <w:tcPr>
            <w:tcW w:w="4111" w:type="dxa"/>
          </w:tcPr>
          <w:p w:rsidR="00631694" w:rsidRPr="0066263B" w:rsidRDefault="00631694"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239</w:t>
            </w:r>
          </w:p>
        </w:tc>
        <w:tc>
          <w:tcPr>
            <w:tcW w:w="3827" w:type="dxa"/>
          </w:tcPr>
          <w:p w:rsidR="00631694" w:rsidRPr="0066263B" w:rsidRDefault="00631694" w:rsidP="008522CF">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8A3178" w:rsidRPr="0066263B" w:rsidRDefault="008A3178" w:rsidP="008A317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Исследованные в 2016-2020 г</w:t>
      </w:r>
      <w:r w:rsidR="00D66BEA">
        <w:rPr>
          <w:rFonts w:ascii="Times New Roman" w:eastAsia="Times New Roman" w:hAnsi="Times New Roman" w:cs="Times New Roman"/>
          <w:sz w:val="24"/>
          <w:szCs w:val="24"/>
          <w:lang w:eastAsia="ru-RU"/>
        </w:rPr>
        <w:t>.г.</w:t>
      </w:r>
      <w:r w:rsidRPr="0066263B">
        <w:rPr>
          <w:rFonts w:ascii="Times New Roman" w:eastAsia="Times New Roman" w:hAnsi="Times New Roman" w:cs="Times New Roman"/>
          <w:sz w:val="24"/>
          <w:szCs w:val="24"/>
          <w:lang w:eastAsia="ru-RU"/>
        </w:rPr>
        <w:t xml:space="preserve"> пробы йодированной соли соответствовали требованиям гигиенических нормативов.</w:t>
      </w:r>
      <w:r w:rsidR="00260706"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В 2021 году 2 пробы (0,8%) не соответствовали требованиям гигиенических нормативов по содержанию йода.</w:t>
      </w:r>
    </w:p>
    <w:p w:rsidR="008A3178" w:rsidRPr="0066263B" w:rsidRDefault="008A3178" w:rsidP="008A317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детских и лечебно-профилактических учреждениях отобрано и исследовано 210 проб, пробы соответствовали требованиям гигиенических нормативов.</w:t>
      </w:r>
    </w:p>
    <w:p w:rsidR="008A3178" w:rsidRPr="0066263B" w:rsidRDefault="008A3178" w:rsidP="008A3178">
      <w:pPr>
        <w:spacing w:before="0" w:after="0"/>
        <w:ind w:firstLine="709"/>
        <w:rPr>
          <w:rFonts w:ascii="Times New Roman" w:eastAsia="Times New Roman" w:hAnsi="Times New Roman" w:cs="Times New Roman"/>
          <w:sz w:val="24"/>
          <w:szCs w:val="24"/>
          <w:lang w:eastAsia="ru-RU"/>
        </w:rPr>
      </w:pPr>
    </w:p>
    <w:p w:rsidR="00324483" w:rsidRPr="0066263B" w:rsidRDefault="008A3178"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2021 году зарегистрировано 3 случая пищевых отравлений </w:t>
      </w:r>
      <w:proofErr w:type="spellStart"/>
      <w:r w:rsidRPr="0066263B">
        <w:rPr>
          <w:rFonts w:ascii="Times New Roman" w:eastAsia="Times New Roman" w:hAnsi="Times New Roman" w:cs="Times New Roman"/>
          <w:sz w:val="24"/>
          <w:szCs w:val="24"/>
          <w:lang w:eastAsia="ru-RU"/>
        </w:rPr>
        <w:t>небактериального</w:t>
      </w:r>
      <w:proofErr w:type="spellEnd"/>
      <w:r w:rsidRPr="0066263B">
        <w:rPr>
          <w:rFonts w:ascii="Times New Roman" w:eastAsia="Times New Roman" w:hAnsi="Times New Roman" w:cs="Times New Roman"/>
          <w:sz w:val="24"/>
          <w:szCs w:val="24"/>
          <w:lang w:eastAsia="ru-RU"/>
        </w:rPr>
        <w:t xml:space="preserve"> происхождения с числом пострадавших 196 человек, связанных с продукцией пищеблоков общеобразовательных организаций (</w:t>
      </w:r>
      <w:r w:rsidR="008522CF" w:rsidRPr="0066263B">
        <w:rPr>
          <w:rFonts w:ascii="Times New Roman" w:eastAsia="Times New Roman" w:hAnsi="Times New Roman" w:cs="Times New Roman"/>
          <w:sz w:val="24"/>
          <w:szCs w:val="24"/>
          <w:lang w:eastAsia="ru-RU"/>
        </w:rPr>
        <w:t xml:space="preserve">2020 </w:t>
      </w:r>
      <w:r w:rsidRPr="0066263B">
        <w:rPr>
          <w:rFonts w:ascii="Times New Roman" w:eastAsia="Times New Roman" w:hAnsi="Times New Roman" w:cs="Times New Roman"/>
          <w:sz w:val="24"/>
          <w:szCs w:val="24"/>
          <w:lang w:eastAsia="ru-RU"/>
        </w:rPr>
        <w:t>–</w:t>
      </w:r>
      <w:r w:rsidR="008522CF" w:rsidRPr="0066263B">
        <w:rPr>
          <w:rFonts w:ascii="Times New Roman" w:eastAsia="Times New Roman" w:hAnsi="Times New Roman" w:cs="Times New Roman"/>
          <w:sz w:val="24"/>
          <w:szCs w:val="24"/>
          <w:lang w:eastAsia="ru-RU"/>
        </w:rPr>
        <w:t>1 случай пищевого отравления бактериального происхождения с числом пострадавших 16 человек, связанный с продукцией общественного питания</w:t>
      </w:r>
      <w:r w:rsidRPr="0066263B">
        <w:rPr>
          <w:rFonts w:ascii="Times New Roman" w:eastAsia="Times New Roman" w:hAnsi="Times New Roman" w:cs="Times New Roman"/>
          <w:sz w:val="24"/>
          <w:szCs w:val="24"/>
          <w:lang w:eastAsia="ru-RU"/>
        </w:rPr>
        <w:t>;</w:t>
      </w:r>
      <w:r w:rsidR="008522CF" w:rsidRPr="0066263B">
        <w:rPr>
          <w:rFonts w:ascii="Times New Roman" w:eastAsia="Times New Roman" w:hAnsi="Times New Roman" w:cs="Times New Roman"/>
          <w:sz w:val="24"/>
          <w:szCs w:val="24"/>
          <w:lang w:eastAsia="ru-RU"/>
        </w:rPr>
        <w:t xml:space="preserve"> </w:t>
      </w:r>
      <w:proofErr w:type="gramStart"/>
      <w:r w:rsidR="00324483" w:rsidRPr="0066263B">
        <w:rPr>
          <w:rFonts w:ascii="Times New Roman" w:eastAsia="Times New Roman" w:hAnsi="Times New Roman" w:cs="Times New Roman"/>
          <w:sz w:val="24"/>
          <w:szCs w:val="24"/>
          <w:lang w:eastAsia="ru-RU"/>
        </w:rPr>
        <w:t xml:space="preserve">2019 </w:t>
      </w:r>
      <w:r w:rsidR="008522CF"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 xml:space="preserve">3 случая бактериального происхождения с числом пострадавших 40 человек, из них 1 случай с числом пострадавших 12 человек связан с продукцией предприятия пищевой промышленности, 2 случая с числом пострадавших 28 человек </w:t>
      </w:r>
      <w:r w:rsidR="008522CF"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с продукцией предприятий общественного питания</w:t>
      </w:r>
      <w:r w:rsidR="008522CF" w:rsidRPr="0066263B">
        <w:rPr>
          <w:rFonts w:ascii="Times New Roman" w:eastAsia="Times New Roman" w:hAnsi="Times New Roman" w:cs="Times New Roman"/>
          <w:sz w:val="24"/>
          <w:szCs w:val="24"/>
          <w:lang w:eastAsia="ru-RU"/>
        </w:rPr>
        <w:t xml:space="preserve">; </w:t>
      </w:r>
      <w:r w:rsidR="00324483" w:rsidRPr="0066263B">
        <w:rPr>
          <w:rFonts w:ascii="Times New Roman" w:eastAsia="Times New Roman" w:hAnsi="Times New Roman" w:cs="Times New Roman"/>
          <w:sz w:val="24"/>
          <w:szCs w:val="24"/>
          <w:lang w:eastAsia="ru-RU"/>
        </w:rPr>
        <w:t>2018 – 1 случай бактериального происхождения с числом пострадавших 9 человек, связанный с продукцией общественного питания).</w:t>
      </w:r>
      <w:proofErr w:type="gramEnd"/>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t>Удельный вес забракованных пищевых продуктов</w:t>
      </w:r>
    </w:p>
    <w:p w:rsidR="008522CF" w:rsidRPr="0066263B" w:rsidRDefault="008522CF" w:rsidP="008522CF">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По результатам контроля происхождения, качества и безопасности пищевой продукции, находившейся в 202</w:t>
      </w:r>
      <w:r w:rsidR="008A3178"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на потребительском рынке области, Управлением Роспотребнадзора по Брянской области забраковано </w:t>
      </w:r>
      <w:r w:rsidR="008A3178" w:rsidRPr="0066263B">
        <w:rPr>
          <w:rFonts w:ascii="Times New Roman" w:eastAsia="Times New Roman" w:hAnsi="Times New Roman" w:cs="Times New Roman"/>
          <w:sz w:val="24"/>
          <w:szCs w:val="24"/>
          <w:lang w:eastAsia="ru-RU"/>
        </w:rPr>
        <w:t xml:space="preserve">26 партий продукции </w:t>
      </w:r>
      <w:r w:rsidR="008A3178" w:rsidRPr="0066263B">
        <w:rPr>
          <w:rFonts w:ascii="Times New Roman" w:eastAsia="Times New Roman" w:hAnsi="Times New Roman" w:cs="Times New Roman"/>
          <w:sz w:val="24"/>
          <w:szCs w:val="24"/>
          <w:lang w:eastAsia="ru-RU"/>
        </w:rPr>
        <w:lastRenderedPageBreak/>
        <w:t xml:space="preserve">объёмом 197,3 кг </w:t>
      </w:r>
      <w:r w:rsidRPr="0066263B">
        <w:rPr>
          <w:rFonts w:ascii="Times New Roman" w:eastAsia="Times New Roman" w:hAnsi="Times New Roman" w:cs="Times New Roman"/>
          <w:sz w:val="24"/>
          <w:szCs w:val="24"/>
          <w:lang w:eastAsia="ru-RU"/>
        </w:rPr>
        <w:t>(</w:t>
      </w:r>
      <w:r w:rsidR="008A3178" w:rsidRPr="0066263B">
        <w:rPr>
          <w:rFonts w:ascii="Times New Roman" w:eastAsia="Times New Roman" w:hAnsi="Times New Roman" w:cs="Times New Roman"/>
          <w:sz w:val="24"/>
          <w:szCs w:val="24"/>
          <w:lang w:eastAsia="ru-RU"/>
        </w:rPr>
        <w:t xml:space="preserve">2020 – 55 партий продукции объёмом 1 776,7 кг; </w:t>
      </w:r>
      <w:r w:rsidRPr="0066263B">
        <w:rPr>
          <w:rFonts w:ascii="Times New Roman" w:eastAsia="Times New Roman" w:hAnsi="Times New Roman" w:cs="Times New Roman"/>
          <w:sz w:val="24"/>
          <w:szCs w:val="24"/>
          <w:lang w:eastAsia="ru-RU"/>
        </w:rPr>
        <w:t>2019 – 946 партий объёмом 6 644,2 кг; 2018 – 412 партий объёмом 4 511,427 кг).</w:t>
      </w:r>
      <w:proofErr w:type="gramEnd"/>
    </w:p>
    <w:p w:rsidR="008A3178" w:rsidRPr="0066263B" w:rsidRDefault="008A3178" w:rsidP="008A317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Наибольшее количество партий в 2021 году забраковано в следующих группах продуктов: «молоко и молочные продукты» (5); «рыба, нерыбные объекты промысла и продукты, вырабатываемые из них» (4), «кондитерские изделия» (4). В 2020 году – «мясо и мясные продукты» (16), «кондитерские изделия» (15); «плодоовощная продукция» (9), «птица, яйца и продукты их переработки» (2), «рыба, нерыбные объекты промысла и продукты, вырабатываемые из них» (3), «молоко и молочные продукты» (7).</w:t>
      </w:r>
    </w:p>
    <w:p w:rsidR="008A3178" w:rsidRPr="0066263B" w:rsidRDefault="008A3178" w:rsidP="008A3178">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107</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Количество партий продовольственного сырья и пищевых продуктов,</w:t>
      </w:r>
      <w:r w:rsidRPr="0066263B">
        <w:rPr>
          <w:rFonts w:ascii="Times New Roman" w:eastAsia="Times New Roman" w:hAnsi="Times New Roman" w:cs="Times New Roman"/>
          <w:b/>
          <w:lang w:eastAsia="ru-RU"/>
        </w:rPr>
        <w:br/>
        <w:t>изъятых из оборота, ед.</w:t>
      </w:r>
    </w:p>
    <w:p w:rsidR="00324483" w:rsidRPr="0066263B" w:rsidRDefault="00324483" w:rsidP="00324483">
      <w:pPr>
        <w:spacing w:before="0" w:after="0"/>
        <w:jc w:val="center"/>
        <w:rPr>
          <w:rFonts w:ascii="Times New Roman" w:eastAsia="Times New Roman" w:hAnsi="Times New Roman" w:cs="Times New Roman"/>
          <w:b/>
          <w:lang w:eastAsia="ru-RU"/>
        </w:rPr>
      </w:pPr>
    </w:p>
    <w:tbl>
      <w:tblPr>
        <w:tblW w:w="5002"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2"/>
        <w:gridCol w:w="942"/>
        <w:gridCol w:w="942"/>
        <w:gridCol w:w="942"/>
        <w:gridCol w:w="942"/>
      </w:tblGrid>
      <w:tr w:rsidR="008A3178" w:rsidRPr="0066263B" w:rsidTr="008A3178">
        <w:trPr>
          <w:jc w:val="center"/>
        </w:trPr>
        <w:tc>
          <w:tcPr>
            <w:tcW w:w="2972" w:type="pct"/>
            <w:vAlign w:val="center"/>
          </w:tcPr>
          <w:p w:rsidR="008A3178" w:rsidRPr="0066263B" w:rsidRDefault="008A3178" w:rsidP="008522C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Продовольственное сырьё и пищевые продукты</w:t>
            </w:r>
          </w:p>
        </w:tc>
        <w:tc>
          <w:tcPr>
            <w:tcW w:w="507" w:type="pct"/>
          </w:tcPr>
          <w:p w:rsidR="008A3178" w:rsidRPr="0066263B" w:rsidRDefault="008A3178" w:rsidP="001F63A5">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507" w:type="pct"/>
          </w:tcPr>
          <w:p w:rsidR="008A3178" w:rsidRPr="0066263B" w:rsidRDefault="008A3178" w:rsidP="001F63A5">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507" w:type="pct"/>
            <w:vAlign w:val="center"/>
          </w:tcPr>
          <w:p w:rsidR="008A3178" w:rsidRPr="0066263B" w:rsidRDefault="008A3178" w:rsidP="001F63A5">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507" w:type="pct"/>
            <w:vAlign w:val="center"/>
          </w:tcPr>
          <w:p w:rsidR="008A3178" w:rsidRPr="0066263B" w:rsidRDefault="008A3178" w:rsidP="008522C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412</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946</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Мясо и мясные продукты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449</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Птица, яйца и продукты их переработки</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106</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Молоко и молочные продукты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Масложировая продукция</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Рыба, нерыбные объекты промысла и продукты,</w:t>
            </w:r>
            <w:r w:rsidRPr="0066263B">
              <w:rPr>
                <w:rFonts w:ascii="Times New Roman" w:eastAsia="Times New Roman" w:hAnsi="Times New Roman" w:cs="Times New Roman"/>
                <w:lang w:eastAsia="ru-RU"/>
              </w:rPr>
              <w:br/>
              <w:t>вырабатываемые из них</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38</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8A3178">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Кулинарные изделия</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в т. ч. вырабатываемые по нетрадиционной</w:t>
            </w:r>
            <w:r w:rsidRPr="0066263B">
              <w:rPr>
                <w:rFonts w:ascii="Times New Roman" w:eastAsia="Times New Roman" w:hAnsi="Times New Roman" w:cs="Times New Roman"/>
                <w:lang w:eastAsia="ru-RU"/>
              </w:rPr>
              <w:br/>
              <w:t>технологии</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кулинарные изделия цехов и предприятий общественного питания, реализующих свою продукцию через торговую сеть</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продукция предприятий общественного питания</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Мукомольно-крупяные изделия</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Сахар</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импортируемый</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Кондитерские изделия</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26</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94</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в том числе </w:t>
            </w:r>
            <w:proofErr w:type="gramStart"/>
            <w:r w:rsidRPr="0066263B">
              <w:rPr>
                <w:rFonts w:ascii="Times New Roman" w:eastAsia="Times New Roman" w:hAnsi="Times New Roman" w:cs="Times New Roman"/>
                <w:lang w:eastAsia="ru-RU"/>
              </w:rPr>
              <w:t>кремовые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Плодовоовощная продукция</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70</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145</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т.ч. овощи</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34</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68</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бахчевые культуры</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B93C7E" w:rsidRPr="0066263B" w:rsidRDefault="00B93C7E" w:rsidP="00B93C7E">
      <w:pPr>
        <w:spacing w:before="0" w:after="0"/>
        <w:ind w:firstLine="709"/>
        <w:jc w:val="right"/>
        <w:rPr>
          <w:rFonts w:ascii="Times New Roman" w:eastAsia="Times New Roman" w:hAnsi="Times New Roman" w:cs="Times New Roman"/>
          <w:sz w:val="24"/>
          <w:szCs w:val="24"/>
          <w:lang w:eastAsia="ru-RU"/>
        </w:rPr>
      </w:pPr>
    </w:p>
    <w:p w:rsidR="00B93C7E" w:rsidRPr="0066263B" w:rsidRDefault="00B93C7E" w:rsidP="00B93C7E">
      <w:pPr>
        <w:spacing w:before="0" w:after="60"/>
        <w:ind w:firstLine="709"/>
        <w:jc w:val="righ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продолжение таблицы 1</w:t>
      </w:r>
      <w:r w:rsidR="00260706" w:rsidRPr="0066263B">
        <w:rPr>
          <w:rFonts w:ascii="Times New Roman" w:eastAsia="Times New Roman" w:hAnsi="Times New Roman" w:cs="Times New Roman"/>
          <w:sz w:val="24"/>
          <w:szCs w:val="24"/>
          <w:lang w:eastAsia="ru-RU"/>
        </w:rPr>
        <w:t>07</w:t>
      </w:r>
    </w:p>
    <w:tbl>
      <w:tblPr>
        <w:tblW w:w="5002"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2"/>
        <w:gridCol w:w="942"/>
        <w:gridCol w:w="942"/>
        <w:gridCol w:w="942"/>
        <w:gridCol w:w="942"/>
      </w:tblGrid>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столовая зелень</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плоды и ягоды</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35</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76</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Грибы</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Масличное сырьё и жировые продукты</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Безалкогольные напитки</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Соки, нектары, </w:t>
            </w:r>
            <w:proofErr w:type="spellStart"/>
            <w:r w:rsidRPr="0066263B">
              <w:rPr>
                <w:rFonts w:ascii="Times New Roman" w:eastAsia="Times New Roman" w:hAnsi="Times New Roman" w:cs="Times New Roman"/>
                <w:lang w:eastAsia="ru-RU"/>
              </w:rPr>
              <w:t>сокосодержащие</w:t>
            </w:r>
            <w:proofErr w:type="spellEnd"/>
            <w:r w:rsidRPr="0066263B">
              <w:rPr>
                <w:rFonts w:ascii="Times New Roman" w:eastAsia="Times New Roman" w:hAnsi="Times New Roman" w:cs="Times New Roman"/>
                <w:lang w:eastAsia="ru-RU"/>
              </w:rPr>
              <w:t xml:space="preserve"> напитки</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Алкогольные напитки </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импортируемые</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том числе пиво</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импортируемое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Мёд и продукты пчеловодства</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Продукты детского питания</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Консервы</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Зерно (семена)</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Минеральные воды</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Биологически активные добавки к пище</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Соль</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Прочие</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w:t>
            </w:r>
          </w:p>
        </w:tc>
      </w:tr>
      <w:tr w:rsidR="008A3178" w:rsidRPr="0066263B" w:rsidTr="008A3178">
        <w:trPr>
          <w:jc w:val="center"/>
        </w:trPr>
        <w:tc>
          <w:tcPr>
            <w:tcW w:w="2972"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tcBorders>
              <w:top w:val="single" w:sz="4" w:space="0" w:color="auto"/>
              <w:left w:val="single" w:sz="4" w:space="0" w:color="auto"/>
              <w:bottom w:val="single" w:sz="4" w:space="0" w:color="auto"/>
              <w:right w:val="single" w:sz="4" w:space="0" w:color="auto"/>
            </w:tcBorders>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8A3178" w:rsidRPr="0066263B" w:rsidRDefault="008A3178" w:rsidP="008A3178">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Наибольший объём забракованной продукции в 2021 году был в следующих группах пищевых продуктов: «масложировая продукция» (0,06 т) и «молоко и молочные продукты» (0,053 т). В 2020 году – «плодоовощная продукция» (0,195 т) «молоко и молочные продукты» (1,498 т).</w:t>
      </w:r>
    </w:p>
    <w:p w:rsidR="008522CF" w:rsidRPr="0066263B" w:rsidRDefault="008522CF" w:rsidP="00324483">
      <w:pPr>
        <w:spacing w:before="0" w:after="0"/>
        <w:ind w:firstLine="709"/>
        <w:rPr>
          <w:rFonts w:ascii="Times New Roman" w:eastAsia="Times New Roman" w:hAnsi="Times New Roman" w:cs="Times New Roman"/>
          <w:sz w:val="24"/>
          <w:szCs w:val="24"/>
          <w:lang w:eastAsia="ru-RU"/>
        </w:rPr>
      </w:pPr>
    </w:p>
    <w:p w:rsidR="00B93C7E" w:rsidRPr="0066263B" w:rsidRDefault="00B93C7E">
      <w:pPr>
        <w:rPr>
          <w:rFonts w:ascii="Times New Roman" w:eastAsia="Calibri" w:hAnsi="Times New Roman" w:cs="Times New Roman"/>
        </w:rPr>
      </w:pPr>
      <w:r w:rsidRPr="0066263B">
        <w:rPr>
          <w:rFonts w:ascii="Times New Roman" w:eastAsia="Calibri" w:hAnsi="Times New Roman" w:cs="Times New Roman"/>
        </w:rPr>
        <w:br w:type="page"/>
      </w: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lastRenderedPageBreak/>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108</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Объём партий продовольственного сырья и пищевых продуктов,</w:t>
      </w:r>
      <w:r w:rsidRPr="0066263B">
        <w:rPr>
          <w:rFonts w:ascii="Times New Roman" w:eastAsia="Times New Roman" w:hAnsi="Times New Roman" w:cs="Times New Roman"/>
          <w:b/>
          <w:lang w:eastAsia="ru-RU"/>
        </w:rPr>
        <w:br/>
        <w:t xml:space="preserve">изъятых из оборота, </w:t>
      </w:r>
      <w:proofErr w:type="gramStart"/>
      <w:r w:rsidRPr="0066263B">
        <w:rPr>
          <w:rFonts w:ascii="Times New Roman" w:eastAsia="Times New Roman" w:hAnsi="Times New Roman" w:cs="Times New Roman"/>
          <w:b/>
          <w:lang w:eastAsia="ru-RU"/>
        </w:rPr>
        <w:t>т</w:t>
      </w:r>
      <w:proofErr w:type="gramEnd"/>
    </w:p>
    <w:p w:rsidR="00324483" w:rsidRPr="0066263B" w:rsidRDefault="00324483" w:rsidP="00324483">
      <w:pPr>
        <w:spacing w:before="0" w:after="0"/>
        <w:jc w:val="center"/>
        <w:rPr>
          <w:rFonts w:ascii="Times New Roman" w:eastAsia="Times New Roman" w:hAnsi="Times New Roman" w:cs="Times New Roman"/>
          <w:b/>
          <w:lang w:eastAsia="ru-RU"/>
        </w:rPr>
      </w:pPr>
    </w:p>
    <w:tbl>
      <w:tblPr>
        <w:tblW w:w="5002"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2"/>
        <w:gridCol w:w="942"/>
        <w:gridCol w:w="942"/>
        <w:gridCol w:w="942"/>
        <w:gridCol w:w="942"/>
      </w:tblGrid>
      <w:tr w:rsidR="008A3178" w:rsidRPr="0066263B" w:rsidTr="008A3178">
        <w:trPr>
          <w:jc w:val="center"/>
        </w:trPr>
        <w:tc>
          <w:tcPr>
            <w:tcW w:w="2972" w:type="pct"/>
            <w:vAlign w:val="center"/>
          </w:tcPr>
          <w:p w:rsidR="008A3178" w:rsidRPr="0066263B" w:rsidRDefault="008A3178" w:rsidP="008522C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Продовольственное сырьё и пищевые продукты</w:t>
            </w:r>
          </w:p>
        </w:tc>
        <w:tc>
          <w:tcPr>
            <w:tcW w:w="507" w:type="pct"/>
          </w:tcPr>
          <w:p w:rsidR="008A3178" w:rsidRPr="0066263B" w:rsidRDefault="008A3178" w:rsidP="001F63A5">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2018</w:t>
            </w:r>
          </w:p>
        </w:tc>
        <w:tc>
          <w:tcPr>
            <w:tcW w:w="507" w:type="pct"/>
          </w:tcPr>
          <w:p w:rsidR="008A3178" w:rsidRPr="0066263B" w:rsidRDefault="008A3178" w:rsidP="001F63A5">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2019</w:t>
            </w:r>
          </w:p>
        </w:tc>
        <w:tc>
          <w:tcPr>
            <w:tcW w:w="507" w:type="pct"/>
            <w:vAlign w:val="center"/>
          </w:tcPr>
          <w:p w:rsidR="008A3178" w:rsidRPr="0066263B" w:rsidRDefault="008A3178" w:rsidP="001F63A5">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2020</w:t>
            </w:r>
          </w:p>
        </w:tc>
        <w:tc>
          <w:tcPr>
            <w:tcW w:w="507" w:type="pct"/>
            <w:vAlign w:val="center"/>
          </w:tcPr>
          <w:p w:rsidR="008A3178" w:rsidRPr="0066263B" w:rsidRDefault="008A3178" w:rsidP="008522CF">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2021</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4,511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6,644</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1,777</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0,197</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0,244</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0,239</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Мясо и мясные продукты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0,506</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1,368</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0,044</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Птица, яйца и продукты их переработки</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0,446</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0,017</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0,011</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Молоко и молочные продукты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0,371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0,169</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1,498</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0,053</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0,017</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Масложировая продукция</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0,07</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0,014</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0,06</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Рыба, нерыбные объекты промысла и продукты,</w:t>
            </w:r>
            <w:r w:rsidRPr="0066263B">
              <w:rPr>
                <w:rFonts w:ascii="Times New Roman" w:eastAsia="Times New Roman" w:hAnsi="Times New Roman" w:cs="Times New Roman"/>
                <w:lang w:eastAsia="ru-RU"/>
              </w:rPr>
              <w:br/>
              <w:t>вырабатываемые из них</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1,410</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0,164</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0,006</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0,013</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Кулинарные изделия</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0,155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0,001</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в т. ч. вырабатываемые по нетрадиционной</w:t>
            </w:r>
            <w:r w:rsidRPr="0066263B">
              <w:rPr>
                <w:rFonts w:ascii="Times New Roman" w:eastAsia="Times New Roman" w:hAnsi="Times New Roman" w:cs="Times New Roman"/>
                <w:lang w:eastAsia="ru-RU"/>
              </w:rPr>
              <w:br/>
              <w:t>технологии</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0,001</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кулинарные изделия цехов и предприятий общественного питания, реализующих свою продукцию через торговую сеть</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0,039</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продукция предприятий общественного питания</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Мукомольно-крупяные изделия </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0,013</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Сахар</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импортируемый</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0,114</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Кондитерские изделия</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0,124</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0,018</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в том числе </w:t>
            </w:r>
            <w:proofErr w:type="gramStart"/>
            <w:r w:rsidRPr="0066263B">
              <w:rPr>
                <w:rFonts w:ascii="Times New Roman" w:eastAsia="Times New Roman" w:hAnsi="Times New Roman" w:cs="Times New Roman"/>
                <w:lang w:eastAsia="ru-RU"/>
              </w:rPr>
              <w:t>кремовые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1,501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Плодовоовощная продукция</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0,163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0,526</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0,195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1,118</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0,211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т.ч. овощи</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0,087</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0,278</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0,195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0,140</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бахчевые культуры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столовая зелень</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0,002</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импортируемая</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0,38</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плоды и ягоды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0,076</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0,246</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0,071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грибы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Масличное сырьё и жировые продукты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Безалкогольные напитки</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B93C7E" w:rsidRPr="0066263B" w:rsidRDefault="00B93C7E" w:rsidP="00B93C7E">
      <w:pPr>
        <w:spacing w:before="0" w:after="60"/>
        <w:ind w:firstLine="709"/>
        <w:jc w:val="right"/>
        <w:rPr>
          <w:rFonts w:ascii="Times New Roman" w:eastAsia="Times New Roman" w:hAnsi="Times New Roman" w:cs="Times New Roman"/>
          <w:sz w:val="24"/>
          <w:szCs w:val="24"/>
          <w:lang w:eastAsia="ru-RU"/>
        </w:rPr>
      </w:pPr>
    </w:p>
    <w:p w:rsidR="00B93C7E" w:rsidRPr="0066263B" w:rsidRDefault="00B93C7E" w:rsidP="00B93C7E">
      <w:pPr>
        <w:spacing w:before="0" w:after="60"/>
        <w:ind w:firstLine="709"/>
        <w:jc w:val="righ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продолжение таблицы 1</w:t>
      </w:r>
      <w:r w:rsidR="00260706" w:rsidRPr="0066263B">
        <w:rPr>
          <w:rFonts w:ascii="Times New Roman" w:eastAsia="Times New Roman" w:hAnsi="Times New Roman" w:cs="Times New Roman"/>
          <w:sz w:val="24"/>
          <w:szCs w:val="24"/>
          <w:lang w:eastAsia="ru-RU"/>
        </w:rPr>
        <w:t>08</w:t>
      </w:r>
    </w:p>
    <w:tbl>
      <w:tblPr>
        <w:tblW w:w="5002"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2"/>
        <w:gridCol w:w="942"/>
        <w:gridCol w:w="942"/>
        <w:gridCol w:w="942"/>
        <w:gridCol w:w="942"/>
      </w:tblGrid>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Соки, нектары, </w:t>
            </w:r>
            <w:proofErr w:type="spellStart"/>
            <w:r w:rsidRPr="0066263B">
              <w:rPr>
                <w:rFonts w:ascii="Times New Roman" w:eastAsia="Times New Roman" w:hAnsi="Times New Roman" w:cs="Times New Roman"/>
                <w:lang w:eastAsia="ru-RU"/>
              </w:rPr>
              <w:t>сокосодержащие</w:t>
            </w:r>
            <w:proofErr w:type="spellEnd"/>
            <w:r w:rsidRPr="0066263B">
              <w:rPr>
                <w:rFonts w:ascii="Times New Roman" w:eastAsia="Times New Roman" w:hAnsi="Times New Roman" w:cs="Times New Roman"/>
                <w:lang w:eastAsia="ru-RU"/>
              </w:rPr>
              <w:t xml:space="preserve"> напитки</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Алкогольные напитки </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0,133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0,215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0,019</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0,002</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4421BA">
            <w:pPr>
              <w:numPr>
                <w:ilvl w:val="0"/>
                <w:numId w:val="13"/>
              </w:numPr>
              <w:spacing w:before="20" w:after="20"/>
              <w:ind w:left="426"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том числе пиво</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0,110</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0,211</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из них </w:t>
            </w:r>
            <w:proofErr w:type="gramStart"/>
            <w:r w:rsidRPr="0066263B">
              <w:rPr>
                <w:rFonts w:ascii="Times New Roman" w:eastAsia="Times New Roman" w:hAnsi="Times New Roman" w:cs="Times New Roman"/>
                <w:lang w:eastAsia="ru-RU"/>
              </w:rPr>
              <w:t>импортируемое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0,002</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Мёд и продукты пчеловодства</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Продукты детского питания</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Консервы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0,008</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3,319</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0,004</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0,011</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0,009</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Зерно (семена)</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Минеральные воды</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0,004</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Биологически активные добавки к пище</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16" w:after="16"/>
              <w:ind w:left="284"/>
              <w:contextualSpacing/>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Соль</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r w:rsidR="008A3178" w:rsidRPr="0066263B" w:rsidTr="008A3178">
        <w:trPr>
          <w:jc w:val="center"/>
        </w:trPr>
        <w:tc>
          <w:tcPr>
            <w:tcW w:w="2972" w:type="pct"/>
            <w:vAlign w:val="center"/>
          </w:tcPr>
          <w:p w:rsidR="008A3178" w:rsidRPr="0066263B" w:rsidRDefault="008A3178" w:rsidP="008522CF">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Прочие</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0,530</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0,003</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0,017</w:t>
            </w:r>
          </w:p>
        </w:tc>
      </w:tr>
      <w:tr w:rsidR="008A3178" w:rsidRPr="0066263B" w:rsidTr="008A3178">
        <w:trPr>
          <w:jc w:val="center"/>
        </w:trPr>
        <w:tc>
          <w:tcPr>
            <w:tcW w:w="2972" w:type="pct"/>
            <w:vAlign w:val="center"/>
          </w:tcPr>
          <w:p w:rsidR="008A3178" w:rsidRPr="0066263B" w:rsidRDefault="008A3178" w:rsidP="008522CF">
            <w:pPr>
              <w:numPr>
                <w:ilvl w:val="0"/>
                <w:numId w:val="7"/>
              </w:numPr>
              <w:spacing w:before="16" w:after="16"/>
              <w:ind w:left="284" w:hanging="142"/>
              <w:contextualSpacing/>
              <w:jc w:val="left"/>
              <w:rPr>
                <w:rFonts w:ascii="Times New Roman" w:eastAsia="Times New Roman" w:hAnsi="Times New Roman" w:cs="Times New Roman"/>
                <w:lang w:eastAsia="ru-RU"/>
              </w:rPr>
            </w:pPr>
            <w:proofErr w:type="gramStart"/>
            <w:r w:rsidRPr="0066263B">
              <w:rPr>
                <w:rFonts w:ascii="Times New Roman" w:eastAsia="Times New Roman" w:hAnsi="Times New Roman" w:cs="Times New Roman"/>
                <w:lang w:eastAsia="ru-RU"/>
              </w:rPr>
              <w:t>из них импортируемые</w:t>
            </w:r>
            <w:proofErr w:type="gramEnd"/>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0,525</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1F63A5">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507" w:type="pct"/>
            <w:vAlign w:val="center"/>
          </w:tcPr>
          <w:p w:rsidR="008A3178" w:rsidRPr="0066263B" w:rsidRDefault="008A3178" w:rsidP="008522CF">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r>
    </w:tbl>
    <w:p w:rsidR="00324483" w:rsidRPr="0066263B" w:rsidRDefault="00324483" w:rsidP="00324483">
      <w:pPr>
        <w:spacing w:before="0" w:after="0"/>
        <w:jc w:val="left"/>
        <w:rPr>
          <w:rFonts w:ascii="Times New Roman" w:eastAsia="Times New Roman" w:hAnsi="Times New Roman" w:cs="Times New Roman"/>
          <w:b/>
          <w:bCs/>
          <w:sz w:val="26"/>
          <w:szCs w:val="26"/>
          <w:lang w:eastAsia="ru-RU"/>
        </w:rPr>
      </w:pPr>
    </w:p>
    <w:p w:rsidR="00324483" w:rsidRPr="0066263B" w:rsidRDefault="00324483" w:rsidP="00324483">
      <w:pPr>
        <w:jc w:val="center"/>
        <w:outlineLvl w:val="1"/>
        <w:rPr>
          <w:rFonts w:ascii="Times New Roman" w:eastAsia="Times New Roman" w:hAnsi="Times New Roman" w:cs="Times New Roman"/>
          <w:b/>
          <w:bCs/>
          <w:sz w:val="26"/>
          <w:szCs w:val="26"/>
          <w:lang w:eastAsia="ru-RU"/>
        </w:rPr>
      </w:pPr>
      <w:bookmarkStart w:id="16" w:name="_Toc2253833"/>
      <w:r w:rsidRPr="0066263B">
        <w:rPr>
          <w:rFonts w:ascii="Times New Roman" w:eastAsia="Times New Roman" w:hAnsi="Times New Roman" w:cs="Times New Roman"/>
          <w:b/>
          <w:bCs/>
          <w:sz w:val="26"/>
          <w:szCs w:val="26"/>
          <w:lang w:eastAsia="ru-RU"/>
        </w:rPr>
        <w:t>2.3. Основные меры по профилактике инфекционной</w:t>
      </w:r>
      <w:r w:rsidRPr="0066263B">
        <w:rPr>
          <w:rFonts w:ascii="Times New Roman" w:eastAsia="Times New Roman" w:hAnsi="Times New Roman" w:cs="Times New Roman"/>
          <w:b/>
          <w:bCs/>
          <w:sz w:val="26"/>
          <w:szCs w:val="26"/>
          <w:lang w:eastAsia="ru-RU"/>
        </w:rPr>
        <w:br/>
        <w:t>и паразитарной заболеваемости</w:t>
      </w:r>
      <w:bookmarkEnd w:id="16"/>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 xml:space="preserve">В результате организационных и надзорных мероприятий в соответствии с федеральными законами </w:t>
      </w:r>
      <w:r w:rsidR="00CE054F" w:rsidRPr="0066263B">
        <w:rPr>
          <w:rFonts w:ascii="Times New Roman" w:eastAsia="Times New Roman" w:hAnsi="Times New Roman" w:cs="Times New Roman"/>
          <w:sz w:val="24"/>
          <w:szCs w:val="24"/>
          <w:lang w:eastAsia="ru-RU"/>
        </w:rPr>
        <w:t xml:space="preserve">от 30.03.1999 </w:t>
      </w:r>
      <w:r w:rsidRPr="0066263B">
        <w:rPr>
          <w:rFonts w:ascii="Times New Roman" w:eastAsia="Times New Roman" w:hAnsi="Times New Roman" w:cs="Times New Roman"/>
          <w:sz w:val="24"/>
          <w:szCs w:val="24"/>
          <w:lang w:eastAsia="ru-RU"/>
        </w:rPr>
        <w:t>№ 52-ФЗ «О санитарно-эпидемиологическом благополучии населения»</w:t>
      </w:r>
      <w:r w:rsidR="0055753D"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w:t>
      </w:r>
      <w:r w:rsidR="00CE054F" w:rsidRPr="0066263B">
        <w:rPr>
          <w:rFonts w:ascii="Times New Roman" w:eastAsia="Times New Roman" w:hAnsi="Times New Roman" w:cs="Times New Roman"/>
          <w:sz w:val="24"/>
          <w:szCs w:val="24"/>
          <w:lang w:eastAsia="ru-RU"/>
        </w:rPr>
        <w:t xml:space="preserve">от 26.12.2008 </w:t>
      </w:r>
      <w:r w:rsidRPr="0066263B">
        <w:rPr>
          <w:rFonts w:ascii="Times New Roman" w:eastAsia="Times New Roman" w:hAnsi="Times New Roman" w:cs="Times New Roman"/>
          <w:sz w:val="24"/>
          <w:szCs w:val="24"/>
          <w:lang w:eastAsia="ru-RU"/>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55753D" w:rsidRPr="0066263B">
        <w:rPr>
          <w:rFonts w:ascii="Times New Roman" w:eastAsia="Times New Roman" w:hAnsi="Times New Roman" w:cs="Times New Roman"/>
          <w:sz w:val="24"/>
          <w:szCs w:val="24"/>
          <w:lang w:eastAsia="ru-RU"/>
        </w:rPr>
        <w:t xml:space="preserve"> и Федерального закона от 31.07.2020 № 248-ФЗ «О государственном контроле (надзоре) и муниципальном контроле в </w:t>
      </w:r>
      <w:r w:rsidR="000A1CD5" w:rsidRPr="0066263B">
        <w:rPr>
          <w:rFonts w:ascii="Times New Roman" w:eastAsia="Times New Roman" w:hAnsi="Times New Roman" w:cs="Times New Roman"/>
          <w:sz w:val="24"/>
          <w:szCs w:val="24"/>
          <w:lang w:eastAsia="ru-RU"/>
        </w:rPr>
        <w:t>Российской Федерации</w:t>
      </w:r>
      <w:r w:rsidR="0055753D" w:rsidRPr="0066263B">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в целях достижения результатов реализации государственной политики</w:t>
      </w:r>
      <w:proofErr w:type="gramEnd"/>
      <w:r w:rsidRPr="0066263B">
        <w:rPr>
          <w:rFonts w:ascii="Times New Roman" w:eastAsia="Times New Roman" w:hAnsi="Times New Roman" w:cs="Times New Roman"/>
          <w:sz w:val="24"/>
          <w:szCs w:val="24"/>
          <w:lang w:eastAsia="ru-RU"/>
        </w:rPr>
        <w:t xml:space="preserve"> в области предупреждения и снижения уровня инфекционных болезней Управления Роспотребнадзора по Брянской области в 20</w:t>
      </w:r>
      <w:r w:rsidR="001145CE" w:rsidRPr="0066263B">
        <w:rPr>
          <w:rFonts w:ascii="Times New Roman" w:eastAsia="Times New Roman" w:hAnsi="Times New Roman" w:cs="Times New Roman"/>
          <w:sz w:val="24"/>
          <w:szCs w:val="24"/>
          <w:lang w:eastAsia="ru-RU"/>
        </w:rPr>
        <w:t>2</w:t>
      </w:r>
      <w:r w:rsidR="00331AF4"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подготовлено 6 постановлений Главного государственного санитарного врача по Брянской области: </w:t>
      </w:r>
      <w:r w:rsidR="00D66BEA">
        <w:rPr>
          <w:rFonts w:ascii="Times New Roman" w:eastAsia="Times New Roman" w:hAnsi="Times New Roman" w:cs="Times New Roman"/>
          <w:sz w:val="24"/>
          <w:szCs w:val="24"/>
          <w:lang w:eastAsia="ru-RU"/>
        </w:rPr>
        <w:t xml:space="preserve">по </w:t>
      </w:r>
      <w:r w:rsidR="00D66BEA" w:rsidRPr="0066263B">
        <w:rPr>
          <w:rFonts w:ascii="Times New Roman" w:eastAsia="Times New Roman" w:hAnsi="Times New Roman" w:cs="Times New Roman"/>
          <w:sz w:val="24"/>
          <w:szCs w:val="24"/>
          <w:lang w:eastAsia="ru-RU"/>
        </w:rPr>
        <w:t xml:space="preserve">профилактике полиомиелита, проведению Европейской недели иммунизации, проведению </w:t>
      </w:r>
      <w:proofErr w:type="spellStart"/>
      <w:r w:rsidR="00D66BEA" w:rsidRPr="0066263B">
        <w:rPr>
          <w:rFonts w:ascii="Times New Roman" w:eastAsia="Times New Roman" w:hAnsi="Times New Roman" w:cs="Times New Roman"/>
          <w:sz w:val="24"/>
          <w:szCs w:val="24"/>
          <w:lang w:eastAsia="ru-RU"/>
        </w:rPr>
        <w:t>профпрививок</w:t>
      </w:r>
      <w:proofErr w:type="spellEnd"/>
      <w:r w:rsidR="00D66BEA" w:rsidRPr="0066263B">
        <w:rPr>
          <w:rFonts w:ascii="Times New Roman" w:eastAsia="Times New Roman" w:hAnsi="Times New Roman" w:cs="Times New Roman"/>
          <w:sz w:val="24"/>
          <w:szCs w:val="24"/>
          <w:lang w:eastAsia="ru-RU"/>
        </w:rPr>
        <w:t xml:space="preserve"> по </w:t>
      </w:r>
      <w:proofErr w:type="spellStart"/>
      <w:r w:rsidR="00D66BEA" w:rsidRPr="0066263B">
        <w:rPr>
          <w:rFonts w:ascii="Times New Roman" w:eastAsia="Times New Roman" w:hAnsi="Times New Roman" w:cs="Times New Roman"/>
          <w:sz w:val="24"/>
          <w:szCs w:val="24"/>
          <w:lang w:eastAsia="ru-RU"/>
        </w:rPr>
        <w:t>эпидпоказаниям</w:t>
      </w:r>
      <w:proofErr w:type="spellEnd"/>
      <w:r w:rsidR="00D66BEA" w:rsidRPr="0066263B">
        <w:rPr>
          <w:rFonts w:ascii="Times New Roman" w:eastAsia="Times New Roman" w:hAnsi="Times New Roman" w:cs="Times New Roman"/>
          <w:sz w:val="24"/>
          <w:szCs w:val="24"/>
          <w:lang w:eastAsia="ru-RU"/>
        </w:rPr>
        <w:t>, проведению серологических исследований напряжённости иммунитета</w:t>
      </w:r>
      <w:r w:rsidR="00D66BEA">
        <w:rPr>
          <w:rFonts w:ascii="Times New Roman" w:eastAsia="Times New Roman" w:hAnsi="Times New Roman" w:cs="Times New Roman"/>
          <w:sz w:val="24"/>
          <w:szCs w:val="24"/>
          <w:lang w:eastAsia="ru-RU"/>
        </w:rPr>
        <w:t>;</w:t>
      </w:r>
      <w:r w:rsidR="00D66BEA"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проведению тренировочных учений по выявлению больного с подозрением на ООИ;</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подготовлено 2 приказа совместно с Департаментом здравоохранения Брянской области: по профилактике туберкулёза, по гриппу и ОРВИ;</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 заседаниях санитарно-противоэпидемических комиссий городов и районов по разделу эпидемиологического надзора заслушано 23</w:t>
      </w:r>
      <w:r w:rsidR="000870FF"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вопроса;</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ежемесячном режиме направляется информация в приграничные территории по инфекционной и паразитарной заболеваемости.</w:t>
      </w:r>
    </w:p>
    <w:p w:rsidR="0055753D" w:rsidRPr="0066263B" w:rsidRDefault="0055753D" w:rsidP="0055753D">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С целью снижения уровня заболеваемости гриппом и ОРВИ в эпидсезон 2020-2021 г.г. была проведена организационно-методическая работа и контрольно-надзорные мероприятия:</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Проведены проверки ЛПУ, ДДУ, школ, коммунальных объектов по соблюдению необходимого температурного режима в помещениях, соблюдению противоэпидемического режима, в том числе масочного.</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Разработан план мероприятий по проведению прививочной кампании против гриппа в эпидсезон 2020-2021 г.г., уточнено количество контингентов групп риска.</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Подготовлен совместный приказ с Департаментом здравоохранения Брянской области «Об усилении мероприятий по организации мониторинга за циркуляцией вирусов гриппа и ОРВИ на территории Брянской области в </w:t>
      </w:r>
      <w:proofErr w:type="spellStart"/>
      <w:r w:rsidRPr="0066263B">
        <w:rPr>
          <w:rFonts w:ascii="Times New Roman" w:eastAsia="Times New Roman" w:hAnsi="Times New Roman" w:cs="Times New Roman"/>
          <w:sz w:val="24"/>
          <w:szCs w:val="24"/>
          <w:lang w:eastAsia="ru-RU"/>
        </w:rPr>
        <w:t>межэпидемический</w:t>
      </w:r>
      <w:proofErr w:type="spellEnd"/>
      <w:r w:rsidRPr="0066263B">
        <w:rPr>
          <w:rFonts w:ascii="Times New Roman" w:eastAsia="Times New Roman" w:hAnsi="Times New Roman" w:cs="Times New Roman"/>
          <w:sz w:val="24"/>
          <w:szCs w:val="24"/>
          <w:lang w:eastAsia="ru-RU"/>
        </w:rPr>
        <w:t xml:space="preserve"> и эпидемический периоды».</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Направлена информация руководителям служб и ведомств «Об организации мероприятий по профилактике гриппа и ОРВИ» (ОАО «РЖД», Управление Брянского отделения «Сбербанк России», УВД, УФСИН, Брянская таможня и др.).</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Подготовлен «Анализ итогов эпидсезона заболеваемости гриппом и ОРВИ в эпидсезон 2020-2021 г.г. и задачах на предстоящий эпидсезон 2021-2022 г.г.» для главных врачей медицинских организаций городов и районов области.</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Пересмотрен Комплексный план основных организационных, санитарно-гигиенических и противоэпидемических мероприятий по профилактике гриппа и острых респираторных вирусных заболеваний в Брянской области на 2020-2021 г.г.</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Проведены расчёты потребности в профилактических и лечебных препаратах, оборудовании, имуществе, средствах индивидуальной защиты и </w:t>
      </w:r>
      <w:proofErr w:type="spellStart"/>
      <w:r w:rsidRPr="0066263B">
        <w:rPr>
          <w:rFonts w:ascii="Times New Roman" w:eastAsia="Times New Roman" w:hAnsi="Times New Roman" w:cs="Times New Roman"/>
          <w:sz w:val="24"/>
          <w:szCs w:val="24"/>
          <w:lang w:eastAsia="ru-RU"/>
        </w:rPr>
        <w:t>дезсредствах</w:t>
      </w:r>
      <w:proofErr w:type="spellEnd"/>
      <w:r w:rsidRPr="0066263B">
        <w:rPr>
          <w:rFonts w:ascii="Times New Roman" w:eastAsia="Times New Roman" w:hAnsi="Times New Roman" w:cs="Times New Roman"/>
          <w:sz w:val="24"/>
          <w:szCs w:val="24"/>
          <w:lang w:eastAsia="ru-RU"/>
        </w:rPr>
        <w:t xml:space="preserve"> в соответствии с МР 3.1.2.0004-10 (утверждено приложением №№ 2-4 к Комплексному плану).</w:t>
      </w:r>
    </w:p>
    <w:p w:rsidR="0055753D" w:rsidRPr="0066263B" w:rsidRDefault="0055753D" w:rsidP="0055753D">
      <w:pPr>
        <w:spacing w:before="0" w:after="0"/>
        <w:ind w:left="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 профилактике распространения </w:t>
      </w:r>
      <w:r w:rsidRPr="0066263B">
        <w:rPr>
          <w:rFonts w:ascii="Times New Roman" w:eastAsia="Times New Roman" w:hAnsi="Times New Roman" w:cs="Times New Roman"/>
          <w:sz w:val="24"/>
          <w:szCs w:val="24"/>
          <w:lang w:val="en-US" w:eastAsia="ru-RU"/>
        </w:rPr>
        <w:t>COVID</w:t>
      </w:r>
      <w:r w:rsidRPr="0066263B">
        <w:rPr>
          <w:rFonts w:ascii="Times New Roman" w:eastAsia="Times New Roman" w:hAnsi="Times New Roman" w:cs="Times New Roman"/>
          <w:sz w:val="24"/>
          <w:szCs w:val="24"/>
          <w:lang w:eastAsia="ru-RU"/>
        </w:rPr>
        <w:t>-19 на территории Брянской области  были проведены следующие мероприятия:</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Откорректирован план организационных санитарно-противоэпидемических (профилактических) мероприятий по предупреждению завоза и распространения новой коронавирусной инфекции, вызванной SARS-CoV-2 на территории Брянской области.</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Выдано 25 210 уведомлений о соблюдении режима изоляции.</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Выдано 15 725 предписаний о проведении профилактических и противоэпидемических мероприятий.</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Осуществлялся контроль сведений об обследовании прибывших из за рубежа – 25 849 граждан.</w:t>
      </w:r>
      <w:proofErr w:type="gramEnd"/>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Подготовлено 1 230 информаций в организации и ведомства о проведении профилактических и противоэпидемических мероприятий.</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Согласовано 1 838 мероприятий.</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Составлено 150 протоколов по </w:t>
      </w:r>
      <w:proofErr w:type="gramStart"/>
      <w:r w:rsidRPr="0066263B">
        <w:rPr>
          <w:rFonts w:ascii="Times New Roman" w:eastAsia="Times New Roman" w:hAnsi="Times New Roman" w:cs="Times New Roman"/>
          <w:sz w:val="24"/>
          <w:szCs w:val="24"/>
          <w:lang w:eastAsia="ru-RU"/>
        </w:rPr>
        <w:t>ч</w:t>
      </w:r>
      <w:proofErr w:type="gramEnd"/>
      <w:r w:rsidRPr="0066263B">
        <w:rPr>
          <w:rFonts w:ascii="Times New Roman" w:eastAsia="Times New Roman" w:hAnsi="Times New Roman" w:cs="Times New Roman"/>
          <w:sz w:val="24"/>
          <w:szCs w:val="24"/>
          <w:lang w:eastAsia="ru-RU"/>
        </w:rPr>
        <w:t>. 2 ст. 6.3 КоАП РФ.</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Проинспектировано 32 предприятия торговли на предмет соблюдения масочного режима.</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Подготовлена памятка для потребителей.</w:t>
      </w:r>
    </w:p>
    <w:p w:rsidR="0055753D" w:rsidRPr="0066263B" w:rsidRDefault="0055753D" w:rsidP="0055753D">
      <w:pPr>
        <w:numPr>
          <w:ilvl w:val="0"/>
          <w:numId w:val="3"/>
        </w:numPr>
        <w:tabs>
          <w:tab w:val="clear" w:pos="720"/>
          <w:tab w:val="num" w:pos="-1276"/>
          <w:tab w:val="num" w:pos="78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период с момента введения режима «Повышенной готовности» вследствие пандемии COVID-19 было организовано 6 «горячих линий» по всем разделам деятельности Управления Роспотребнадзора по Брянской области. Всего за прошедшее время по телефонам «горячих линий» было принято более 20 000 звонков.</w:t>
      </w:r>
    </w:p>
    <w:tbl>
      <w:tblPr>
        <w:tblW w:w="9072" w:type="dxa"/>
        <w:tblInd w:w="108" w:type="dxa"/>
        <w:tblLook w:val="01E0"/>
      </w:tblPr>
      <w:tblGrid>
        <w:gridCol w:w="9072"/>
      </w:tblGrid>
      <w:tr w:rsidR="00324483" w:rsidRPr="0066263B" w:rsidTr="00C56F65">
        <w:tc>
          <w:tcPr>
            <w:tcW w:w="9072" w:type="dxa"/>
            <w:tcBorders>
              <w:bottom w:val="double" w:sz="12" w:space="0" w:color="auto"/>
            </w:tcBorders>
          </w:tcPr>
          <w:p w:rsidR="00324483" w:rsidRPr="0066263B" w:rsidRDefault="00324483" w:rsidP="00324483">
            <w:pPr>
              <w:pageBreakBefore/>
              <w:jc w:val="center"/>
              <w:outlineLvl w:val="0"/>
              <w:rPr>
                <w:rFonts w:ascii="Times New Roman" w:eastAsia="Times New Roman" w:hAnsi="Times New Roman" w:cs="Times New Roman"/>
                <w:b/>
                <w:sz w:val="28"/>
                <w:szCs w:val="28"/>
                <w:lang w:eastAsia="ru-RU"/>
              </w:rPr>
            </w:pPr>
            <w:r w:rsidRPr="0066263B">
              <w:rPr>
                <w:rFonts w:ascii="Times New Roman" w:eastAsia="Times New Roman" w:hAnsi="Times New Roman" w:cs="Times New Roman"/>
                <w:sz w:val="24"/>
                <w:szCs w:val="24"/>
                <w:lang w:eastAsia="ru-RU"/>
              </w:rPr>
              <w:lastRenderedPageBreak/>
              <w:br w:type="page"/>
            </w:r>
            <w:r w:rsidRPr="0066263B">
              <w:rPr>
                <w:rFonts w:ascii="Times New Roman" w:eastAsia="Times New Roman" w:hAnsi="Times New Roman" w:cs="Times New Roman"/>
                <w:sz w:val="24"/>
                <w:szCs w:val="24"/>
                <w:lang w:eastAsia="ru-RU"/>
              </w:rPr>
              <w:br w:type="page"/>
            </w:r>
            <w:r w:rsidRPr="0066263B">
              <w:rPr>
                <w:rFonts w:ascii="Times New Roman" w:eastAsia="Times New Roman" w:hAnsi="Times New Roman" w:cs="Times New Roman"/>
                <w:sz w:val="24"/>
                <w:szCs w:val="24"/>
                <w:lang w:eastAsia="ru-RU"/>
              </w:rPr>
              <w:br w:type="page"/>
            </w:r>
            <w:r w:rsidRPr="0066263B">
              <w:rPr>
                <w:rFonts w:ascii="Times New Roman" w:eastAsia="Times New Roman" w:hAnsi="Times New Roman" w:cs="Times New Roman"/>
                <w:sz w:val="24"/>
                <w:szCs w:val="24"/>
                <w:lang w:eastAsia="ru-RU"/>
              </w:rPr>
              <w:br w:type="page"/>
            </w:r>
            <w:bookmarkStart w:id="17" w:name="_Toc2253834"/>
            <w:r w:rsidRPr="0066263B">
              <w:rPr>
                <w:rFonts w:ascii="Times New Roman" w:eastAsia="Times New Roman" w:hAnsi="Times New Roman" w:cs="Times New Roman"/>
                <w:b/>
                <w:sz w:val="28"/>
                <w:szCs w:val="28"/>
                <w:lang w:eastAsia="ru-RU"/>
              </w:rPr>
              <w:t>III. Достигнутые результаты улучшения санитарно-эпидемиологической обстановки в Брянской области,</w:t>
            </w:r>
            <w:r w:rsidRPr="0066263B">
              <w:rPr>
                <w:rFonts w:ascii="Times New Roman" w:eastAsia="Times New Roman" w:hAnsi="Times New Roman" w:cs="Times New Roman"/>
                <w:b/>
                <w:sz w:val="28"/>
                <w:szCs w:val="28"/>
                <w:lang w:eastAsia="ru-RU"/>
              </w:rPr>
              <w:br/>
              <w:t>имеющиеся проблемные вопросы при обеспечении</w:t>
            </w:r>
            <w:r w:rsidRPr="0066263B">
              <w:rPr>
                <w:rFonts w:ascii="Times New Roman" w:eastAsia="Times New Roman" w:hAnsi="Times New Roman" w:cs="Times New Roman"/>
                <w:b/>
                <w:sz w:val="28"/>
                <w:szCs w:val="28"/>
                <w:lang w:eastAsia="ru-RU"/>
              </w:rPr>
              <w:br/>
              <w:t>санитарно-эпидемиологического благополучия</w:t>
            </w:r>
            <w:r w:rsidRPr="0066263B">
              <w:rPr>
                <w:rFonts w:ascii="Times New Roman" w:eastAsia="Times New Roman" w:hAnsi="Times New Roman" w:cs="Times New Roman"/>
                <w:b/>
                <w:sz w:val="28"/>
                <w:szCs w:val="28"/>
                <w:lang w:eastAsia="ru-RU"/>
              </w:rPr>
              <w:br/>
              <w:t>и намечаемые меры по их решению</w:t>
            </w:r>
            <w:bookmarkEnd w:id="17"/>
          </w:p>
        </w:tc>
      </w:tr>
    </w:tbl>
    <w:p w:rsidR="00324483" w:rsidRPr="0066263B" w:rsidRDefault="00324483" w:rsidP="00324483">
      <w:pPr>
        <w:jc w:val="center"/>
        <w:outlineLvl w:val="1"/>
        <w:rPr>
          <w:rFonts w:ascii="Times New Roman" w:eastAsia="Times New Roman" w:hAnsi="Times New Roman" w:cs="Times New Roman"/>
          <w:b/>
          <w:bCs/>
          <w:sz w:val="26"/>
          <w:szCs w:val="26"/>
          <w:lang w:eastAsia="ru-RU"/>
        </w:rPr>
      </w:pPr>
      <w:bookmarkStart w:id="18" w:name="_Toc2253835"/>
      <w:r w:rsidRPr="0066263B">
        <w:rPr>
          <w:rFonts w:ascii="Times New Roman" w:eastAsia="Times New Roman" w:hAnsi="Times New Roman" w:cs="Times New Roman"/>
          <w:b/>
          <w:bCs/>
          <w:sz w:val="26"/>
          <w:szCs w:val="26"/>
          <w:lang w:eastAsia="ru-RU"/>
        </w:rPr>
        <w:t>3.1. Анализ и оценка эффективности достижения индикативных</w:t>
      </w:r>
      <w:r w:rsidRPr="0066263B">
        <w:rPr>
          <w:rFonts w:ascii="Times New Roman" w:eastAsia="Times New Roman" w:hAnsi="Times New Roman" w:cs="Times New Roman"/>
          <w:b/>
          <w:bCs/>
          <w:sz w:val="26"/>
          <w:szCs w:val="26"/>
          <w:lang w:eastAsia="ru-RU"/>
        </w:rPr>
        <w:br/>
        <w:t>показателей деятельности по улучшению санитарно-эпидемиологического</w:t>
      </w:r>
      <w:r w:rsidRPr="0066263B">
        <w:rPr>
          <w:rFonts w:ascii="Times New Roman" w:eastAsia="Times New Roman" w:hAnsi="Times New Roman" w:cs="Times New Roman"/>
          <w:b/>
          <w:bCs/>
          <w:sz w:val="26"/>
          <w:szCs w:val="26"/>
          <w:lang w:eastAsia="ru-RU"/>
        </w:rPr>
        <w:br/>
        <w:t>благополучия населения Брянской области</w:t>
      </w:r>
      <w:bookmarkEnd w:id="18"/>
    </w:p>
    <w:p w:rsidR="00324483" w:rsidRPr="0066263B" w:rsidRDefault="00324483" w:rsidP="00324483">
      <w:pPr>
        <w:spacing w:before="0" w:after="0"/>
        <w:ind w:firstLine="709"/>
        <w:rPr>
          <w:rFonts w:ascii="Times New Roman" w:eastAsia="Times New Roman" w:hAnsi="Times New Roman" w:cs="Times New Roman"/>
          <w:b/>
          <w:sz w:val="24"/>
          <w:szCs w:val="24"/>
          <w:lang w:eastAsia="ru-RU"/>
        </w:rPr>
      </w:pPr>
      <w:r w:rsidRPr="0066263B">
        <w:rPr>
          <w:rFonts w:ascii="Times New Roman" w:eastAsia="Times New Roman" w:hAnsi="Times New Roman" w:cs="Times New Roman"/>
          <w:sz w:val="24"/>
          <w:szCs w:val="24"/>
          <w:lang w:eastAsia="ru-RU"/>
        </w:rPr>
        <w:t>В результате проведённых организационных и надзорных мероприятий, в целях обеспечения санитарно-эпидемиологического благополучия населения, предупреждения и снижения уровня инфекционных болезней в 20</w:t>
      </w:r>
      <w:r w:rsidR="00845807" w:rsidRPr="0066263B">
        <w:rPr>
          <w:rFonts w:ascii="Times New Roman" w:eastAsia="Times New Roman" w:hAnsi="Times New Roman" w:cs="Times New Roman"/>
          <w:sz w:val="24"/>
          <w:szCs w:val="24"/>
          <w:lang w:eastAsia="ru-RU"/>
        </w:rPr>
        <w:t>2</w:t>
      </w:r>
      <w:r w:rsidR="0047786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достигнуты следующие результаты:</w:t>
      </w:r>
    </w:p>
    <w:p w:rsidR="00EA11E0" w:rsidRPr="0066263B" w:rsidRDefault="00EA11E0" w:rsidP="00EA11E0">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Санитарно-эпидемиологическая ситуация в 202</w:t>
      </w:r>
      <w:r w:rsidR="0047786E" w:rsidRPr="0066263B">
        <w:rPr>
          <w:rFonts w:ascii="Times New Roman" w:eastAsia="Times New Roman" w:hAnsi="Times New Roman" w:cs="Times New Roman"/>
          <w:sz w:val="24"/>
          <w:szCs w:val="24"/>
          <w:lang w:eastAsia="ru-RU"/>
        </w:rPr>
        <w:t>1</w:t>
      </w:r>
      <w:r w:rsidRPr="0066263B">
        <w:rPr>
          <w:rFonts w:ascii="Times New Roman" w:eastAsia="Times New Roman" w:hAnsi="Times New Roman" w:cs="Times New Roman"/>
          <w:sz w:val="24"/>
          <w:szCs w:val="24"/>
          <w:lang w:eastAsia="ru-RU"/>
        </w:rPr>
        <w:t xml:space="preserve"> году на территории Брянской области была стабильная, за исключением значительного роста заболеваемости внебольничными пневмониями, эпидемии (пандемии) </w:t>
      </w:r>
      <w:r w:rsidRPr="0066263B">
        <w:rPr>
          <w:rFonts w:ascii="Times New Roman" w:eastAsia="Times New Roman" w:hAnsi="Times New Roman" w:cs="Times New Roman"/>
          <w:sz w:val="24"/>
          <w:szCs w:val="24"/>
          <w:lang w:val="en-US" w:eastAsia="ru-RU"/>
        </w:rPr>
        <w:t>COVID</w:t>
      </w:r>
      <w:r w:rsidRPr="0066263B">
        <w:rPr>
          <w:rFonts w:ascii="Times New Roman" w:eastAsia="Times New Roman" w:hAnsi="Times New Roman" w:cs="Times New Roman"/>
          <w:sz w:val="24"/>
          <w:szCs w:val="24"/>
          <w:lang w:eastAsia="ru-RU"/>
        </w:rPr>
        <w:t>-19.</w:t>
      </w:r>
    </w:p>
    <w:p w:rsidR="00260706" w:rsidRPr="0066263B" w:rsidRDefault="00260706" w:rsidP="00260706">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Стабильным остаётся качество питьевой воды, подаваемой населению области.</w:t>
      </w:r>
    </w:p>
    <w:p w:rsidR="00260706" w:rsidRPr="0066263B" w:rsidRDefault="00260706" w:rsidP="00260706">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Стабильным остаётся незначительный удельный вес проб атмосферного воздуха, имеющих превышения ПДК вредных веществ.</w:t>
      </w:r>
    </w:p>
    <w:p w:rsidR="00260706" w:rsidRPr="0066263B" w:rsidRDefault="00260706" w:rsidP="00260706">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Проводимый мониторинг качества и безопасности продовольственного сырья и пищевых продуктов свидетельствует о снижении уровня химической загрязнённости продовольственного сырья и пищевых продуктов.</w:t>
      </w:r>
    </w:p>
    <w:p w:rsidR="00260706" w:rsidRPr="0066263B" w:rsidRDefault="00260706" w:rsidP="00260706">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Проводимые мероприятия позволили обеспечить охват горячим школьным питанием в 2020-2021 учебном году до 99,5%.</w:t>
      </w: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109</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Выполнение индикативных показателей</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5"/>
        <w:gridCol w:w="1278"/>
        <w:gridCol w:w="1699"/>
        <w:gridCol w:w="1664"/>
      </w:tblGrid>
      <w:tr w:rsidR="00260706" w:rsidRPr="0066263B" w:rsidTr="006C3961">
        <w:trPr>
          <w:cantSplit/>
          <w:trHeight w:val="263"/>
        </w:trPr>
        <w:tc>
          <w:tcPr>
            <w:tcW w:w="2501" w:type="pct"/>
            <w:vMerge w:val="restart"/>
            <w:tcBorders>
              <w:top w:val="single" w:sz="4" w:space="0" w:color="auto"/>
              <w:left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Показатель, характеризующий</w:t>
            </w:r>
            <w:r w:rsidRPr="0066263B">
              <w:rPr>
                <w:rFonts w:ascii="Times New Roman" w:eastAsia="Times New Roman" w:hAnsi="Times New Roman" w:cs="Times New Roman"/>
                <w:b/>
                <w:i/>
                <w:lang w:eastAsia="ru-RU"/>
              </w:rPr>
              <w:br/>
              <w:t>планируемый уровень достижения</w:t>
            </w:r>
          </w:p>
        </w:tc>
        <w:tc>
          <w:tcPr>
            <w:tcW w:w="688" w:type="pct"/>
            <w:vMerge w:val="restart"/>
            <w:tcBorders>
              <w:top w:val="single" w:sz="4" w:space="0" w:color="auto"/>
              <w:left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Единица измерения</w:t>
            </w:r>
          </w:p>
        </w:tc>
        <w:tc>
          <w:tcPr>
            <w:tcW w:w="1811" w:type="pct"/>
            <w:gridSpan w:val="2"/>
            <w:tcBorders>
              <w:top w:val="single" w:sz="4" w:space="0" w:color="auto"/>
              <w:left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Индикативные показатели</w:t>
            </w:r>
          </w:p>
        </w:tc>
      </w:tr>
      <w:tr w:rsidR="00260706" w:rsidRPr="0066263B" w:rsidTr="006C3961">
        <w:trPr>
          <w:cantSplit/>
          <w:trHeight w:val="263"/>
        </w:trPr>
        <w:tc>
          <w:tcPr>
            <w:tcW w:w="2501" w:type="pct"/>
            <w:vMerge/>
            <w:tcBorders>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p>
        </w:tc>
        <w:tc>
          <w:tcPr>
            <w:tcW w:w="688" w:type="pct"/>
            <w:vMerge/>
            <w:tcBorders>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p>
        </w:tc>
        <w:tc>
          <w:tcPr>
            <w:tcW w:w="915" w:type="pct"/>
            <w:tcBorders>
              <w:top w:val="single" w:sz="4" w:space="0" w:color="auto"/>
              <w:left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Планируемые</w:t>
            </w:r>
          </w:p>
        </w:tc>
        <w:tc>
          <w:tcPr>
            <w:tcW w:w="896" w:type="pct"/>
            <w:tcBorders>
              <w:top w:val="single" w:sz="4" w:space="0" w:color="auto"/>
              <w:left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Фактические</w:t>
            </w:r>
          </w:p>
        </w:tc>
      </w:tr>
      <w:tr w:rsidR="00260706" w:rsidRPr="0066263B" w:rsidTr="006C3961">
        <w:trPr>
          <w:cantSplit/>
        </w:trPr>
        <w:tc>
          <w:tcPr>
            <w:tcW w:w="2501" w:type="pct"/>
            <w:tcBorders>
              <w:top w:val="single" w:sz="4" w:space="0" w:color="auto"/>
              <w:left w:val="single" w:sz="4" w:space="0" w:color="auto"/>
              <w:bottom w:val="dotted" w:sz="4" w:space="0" w:color="auto"/>
              <w:right w:val="single" w:sz="4" w:space="0" w:color="auto"/>
            </w:tcBorders>
            <w:vAlign w:val="center"/>
          </w:tcPr>
          <w:p w:rsidR="00260706" w:rsidRPr="0066263B" w:rsidRDefault="00260706" w:rsidP="006C396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Удельный вес проб пищевых продуктов,</w:t>
            </w:r>
            <w:r w:rsidRPr="0066263B">
              <w:rPr>
                <w:rFonts w:ascii="Times New Roman" w:eastAsia="Times New Roman" w:hAnsi="Times New Roman" w:cs="Times New Roman"/>
                <w:lang w:eastAsia="ru-RU"/>
              </w:rPr>
              <w:br/>
              <w:t>не соответствующих гигиеническим нормативам</w:t>
            </w:r>
          </w:p>
        </w:tc>
        <w:tc>
          <w:tcPr>
            <w:tcW w:w="688" w:type="pct"/>
            <w:vMerge w:val="restart"/>
            <w:tcBorders>
              <w:top w:val="single" w:sz="4" w:space="0" w:color="auto"/>
              <w:left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15" w:type="pct"/>
            <w:tcBorders>
              <w:top w:val="single" w:sz="4" w:space="0" w:color="auto"/>
              <w:left w:val="single" w:sz="4" w:space="0" w:color="auto"/>
              <w:bottom w:val="dotted" w:sz="4" w:space="0" w:color="auto"/>
              <w:right w:val="single" w:sz="4" w:space="0" w:color="auto"/>
            </w:tcBorders>
            <w:vAlign w:val="center"/>
          </w:tcPr>
          <w:p w:rsidR="00260706" w:rsidRPr="0066263B" w:rsidRDefault="00260706" w:rsidP="006C3961">
            <w:pPr>
              <w:spacing w:before="0" w:after="0"/>
              <w:jc w:val="center"/>
              <w:rPr>
                <w:rFonts w:ascii="Times New Roman" w:eastAsia="Times New Roman" w:hAnsi="Times New Roman" w:cs="Times New Roman"/>
                <w:lang w:eastAsia="ru-RU"/>
              </w:rPr>
            </w:pPr>
          </w:p>
        </w:tc>
        <w:tc>
          <w:tcPr>
            <w:tcW w:w="896" w:type="pct"/>
            <w:tcBorders>
              <w:top w:val="single" w:sz="4" w:space="0" w:color="auto"/>
              <w:left w:val="single" w:sz="4" w:space="0" w:color="auto"/>
              <w:bottom w:val="dotted"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p>
        </w:tc>
      </w:tr>
      <w:tr w:rsidR="00260706" w:rsidRPr="0066263B" w:rsidTr="006C3961">
        <w:trPr>
          <w:cantSplit/>
        </w:trPr>
        <w:tc>
          <w:tcPr>
            <w:tcW w:w="2501" w:type="pct"/>
            <w:tcBorders>
              <w:top w:val="dotted" w:sz="4" w:space="0" w:color="auto"/>
              <w:left w:val="single" w:sz="4" w:space="0" w:color="auto"/>
              <w:bottom w:val="dotted" w:sz="4" w:space="0" w:color="auto"/>
              <w:right w:val="single" w:sz="4" w:space="0" w:color="auto"/>
            </w:tcBorders>
            <w:vAlign w:val="center"/>
          </w:tcPr>
          <w:p w:rsidR="00260706" w:rsidRPr="0066263B" w:rsidRDefault="00260706" w:rsidP="006C3961">
            <w:pPr>
              <w:numPr>
                <w:ilvl w:val="0"/>
                <w:numId w:val="12"/>
              </w:numPr>
              <w:spacing w:before="20" w:after="20"/>
              <w:ind w:left="426" w:hanging="142"/>
              <w:contextualSpacing/>
              <w:jc w:val="left"/>
              <w:rPr>
                <w:rFonts w:ascii="Times New Roman" w:eastAsia="Calibri" w:hAnsi="Times New Roman" w:cs="Times New Roman"/>
              </w:rPr>
            </w:pPr>
            <w:r w:rsidRPr="0066263B">
              <w:rPr>
                <w:rFonts w:ascii="Times New Roman" w:eastAsia="Calibri" w:hAnsi="Times New Roman" w:cs="Times New Roman"/>
              </w:rPr>
              <w:t>по микробиологическим показателям</w:t>
            </w:r>
          </w:p>
        </w:tc>
        <w:tc>
          <w:tcPr>
            <w:tcW w:w="688" w:type="pct"/>
            <w:vMerge/>
            <w:tcBorders>
              <w:left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p>
        </w:tc>
        <w:tc>
          <w:tcPr>
            <w:tcW w:w="915" w:type="pct"/>
            <w:tcBorders>
              <w:top w:val="dotted" w:sz="4" w:space="0" w:color="auto"/>
              <w:left w:val="single" w:sz="4" w:space="0" w:color="auto"/>
              <w:bottom w:val="dotted" w:sz="4" w:space="0" w:color="auto"/>
              <w:right w:val="dotted" w:sz="4" w:space="0" w:color="auto"/>
            </w:tcBorders>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выше 3,8</w:t>
            </w:r>
          </w:p>
        </w:tc>
        <w:tc>
          <w:tcPr>
            <w:tcW w:w="896" w:type="pct"/>
            <w:tcBorders>
              <w:top w:val="dotted" w:sz="4" w:space="0" w:color="auto"/>
              <w:left w:val="dotted" w:sz="4" w:space="0" w:color="auto"/>
              <w:bottom w:val="dotted"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2,58</w:t>
            </w:r>
          </w:p>
        </w:tc>
      </w:tr>
      <w:tr w:rsidR="00260706" w:rsidRPr="0066263B" w:rsidTr="006C3961">
        <w:trPr>
          <w:cantSplit/>
        </w:trPr>
        <w:tc>
          <w:tcPr>
            <w:tcW w:w="2501" w:type="pct"/>
            <w:tcBorders>
              <w:top w:val="dotted" w:sz="4" w:space="0" w:color="auto"/>
              <w:left w:val="single" w:sz="4" w:space="0" w:color="auto"/>
              <w:bottom w:val="single" w:sz="4" w:space="0" w:color="auto"/>
              <w:right w:val="single" w:sz="4" w:space="0" w:color="auto"/>
            </w:tcBorders>
            <w:vAlign w:val="center"/>
          </w:tcPr>
          <w:p w:rsidR="00260706" w:rsidRPr="0066263B" w:rsidRDefault="00260706" w:rsidP="006C3961">
            <w:pPr>
              <w:numPr>
                <w:ilvl w:val="0"/>
                <w:numId w:val="12"/>
              </w:numPr>
              <w:spacing w:before="20" w:after="20"/>
              <w:ind w:left="426" w:hanging="142"/>
              <w:contextualSpacing/>
              <w:jc w:val="left"/>
              <w:rPr>
                <w:rFonts w:ascii="Times New Roman" w:eastAsia="Calibri" w:hAnsi="Times New Roman" w:cs="Times New Roman"/>
              </w:rPr>
            </w:pPr>
            <w:r w:rsidRPr="0066263B">
              <w:rPr>
                <w:rFonts w:ascii="Times New Roman" w:eastAsia="Calibri" w:hAnsi="Times New Roman" w:cs="Times New Roman"/>
              </w:rPr>
              <w:t>по санитарно-химическим показателям</w:t>
            </w:r>
          </w:p>
        </w:tc>
        <w:tc>
          <w:tcPr>
            <w:tcW w:w="688" w:type="pct"/>
            <w:vMerge/>
            <w:tcBorders>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p>
        </w:tc>
        <w:tc>
          <w:tcPr>
            <w:tcW w:w="915" w:type="pct"/>
            <w:tcBorders>
              <w:top w:val="dotted"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выше 0,5</w:t>
            </w:r>
          </w:p>
        </w:tc>
        <w:tc>
          <w:tcPr>
            <w:tcW w:w="896" w:type="pct"/>
            <w:tcBorders>
              <w:top w:val="dotted" w:sz="4" w:space="0" w:color="auto"/>
              <w:left w:val="single" w:sz="4" w:space="0" w:color="auto"/>
              <w:bottom w:val="single" w:sz="4" w:space="0" w:color="auto"/>
              <w:right w:val="single" w:sz="4" w:space="0" w:color="auto"/>
            </w:tcBorders>
            <w:vAlign w:val="center"/>
          </w:tcPr>
          <w:p w:rsidR="00260706" w:rsidRPr="00D66BEA" w:rsidRDefault="00260706" w:rsidP="006C3961">
            <w:pPr>
              <w:spacing w:before="20" w:after="20"/>
              <w:jc w:val="center"/>
              <w:rPr>
                <w:rFonts w:ascii="Times New Roman" w:eastAsia="Times New Roman" w:hAnsi="Times New Roman" w:cs="Times New Roman"/>
                <w:b/>
                <w:lang w:eastAsia="ru-RU"/>
              </w:rPr>
            </w:pPr>
            <w:r w:rsidRPr="00D66BEA">
              <w:rPr>
                <w:rFonts w:ascii="Times New Roman" w:eastAsia="Times New Roman" w:hAnsi="Times New Roman" w:cs="Times New Roman"/>
                <w:b/>
                <w:lang w:eastAsia="ru-RU"/>
              </w:rPr>
              <w:t>1,0</w:t>
            </w:r>
            <w:r w:rsidR="00F9248A">
              <w:rPr>
                <w:rFonts w:ascii="Times New Roman" w:eastAsia="Times New Roman" w:hAnsi="Times New Roman" w:cs="Times New Roman"/>
                <w:b/>
                <w:lang w:eastAsia="ru-RU"/>
              </w:rPr>
              <w:t>7</w:t>
            </w:r>
          </w:p>
        </w:tc>
      </w:tr>
      <w:tr w:rsidR="00260706" w:rsidRPr="0066263B" w:rsidTr="006C3961">
        <w:trPr>
          <w:cantSplit/>
        </w:trPr>
        <w:tc>
          <w:tcPr>
            <w:tcW w:w="2501"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Охват школьников горячим питанием</w:t>
            </w:r>
          </w:p>
        </w:tc>
        <w:tc>
          <w:tcPr>
            <w:tcW w:w="688"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15"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ниже 95</w:t>
            </w:r>
          </w:p>
        </w:tc>
        <w:tc>
          <w:tcPr>
            <w:tcW w:w="896"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99,5</w:t>
            </w:r>
          </w:p>
        </w:tc>
      </w:tr>
      <w:tr w:rsidR="00260706" w:rsidRPr="0066263B" w:rsidTr="006C3961">
        <w:trPr>
          <w:cantSplit/>
        </w:trPr>
        <w:tc>
          <w:tcPr>
            <w:tcW w:w="2501"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Удельный вес населения, обеспеченного</w:t>
            </w:r>
            <w:r w:rsidRPr="0066263B">
              <w:rPr>
                <w:rFonts w:ascii="Times New Roman" w:eastAsia="Times New Roman" w:hAnsi="Times New Roman" w:cs="Times New Roman"/>
                <w:lang w:eastAsia="ru-RU"/>
              </w:rPr>
              <w:br/>
              <w:t>доброкачественной водой</w:t>
            </w:r>
          </w:p>
        </w:tc>
        <w:tc>
          <w:tcPr>
            <w:tcW w:w="688"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15"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ниже 80</w:t>
            </w:r>
          </w:p>
        </w:tc>
        <w:tc>
          <w:tcPr>
            <w:tcW w:w="896"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84,48</w:t>
            </w:r>
          </w:p>
        </w:tc>
      </w:tr>
      <w:tr w:rsidR="00260706" w:rsidRPr="0066263B" w:rsidTr="006C3961">
        <w:trPr>
          <w:cantSplit/>
        </w:trPr>
        <w:tc>
          <w:tcPr>
            <w:tcW w:w="2501" w:type="pct"/>
            <w:tcBorders>
              <w:top w:val="single" w:sz="4" w:space="0" w:color="auto"/>
              <w:left w:val="single" w:sz="4" w:space="0" w:color="auto"/>
              <w:bottom w:val="dotted" w:sz="4" w:space="0" w:color="auto"/>
              <w:right w:val="single" w:sz="4" w:space="0" w:color="auto"/>
            </w:tcBorders>
            <w:vAlign w:val="center"/>
          </w:tcPr>
          <w:p w:rsidR="00260706" w:rsidRPr="0066263B" w:rsidRDefault="00260706" w:rsidP="006C396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Удельный вес проб питьевой воды,</w:t>
            </w:r>
            <w:r w:rsidRPr="0066263B">
              <w:rPr>
                <w:rFonts w:ascii="Times New Roman" w:eastAsia="Times New Roman" w:hAnsi="Times New Roman" w:cs="Times New Roman"/>
                <w:lang w:eastAsia="ru-RU"/>
              </w:rPr>
              <w:br/>
              <w:t>не соответствующих гигиеническим нормативам</w:t>
            </w:r>
          </w:p>
        </w:tc>
        <w:tc>
          <w:tcPr>
            <w:tcW w:w="688" w:type="pct"/>
            <w:vMerge w:val="restart"/>
            <w:tcBorders>
              <w:top w:val="single" w:sz="4" w:space="0" w:color="auto"/>
              <w:left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15" w:type="pct"/>
            <w:tcBorders>
              <w:top w:val="single" w:sz="4" w:space="0" w:color="auto"/>
              <w:left w:val="single" w:sz="4" w:space="0" w:color="auto"/>
              <w:bottom w:val="dotted" w:sz="4" w:space="0" w:color="auto"/>
              <w:right w:val="single" w:sz="4" w:space="0" w:color="auto"/>
            </w:tcBorders>
            <w:vAlign w:val="center"/>
          </w:tcPr>
          <w:p w:rsidR="00260706" w:rsidRPr="0066263B" w:rsidRDefault="00260706" w:rsidP="006C3961">
            <w:pPr>
              <w:spacing w:before="0" w:after="0"/>
              <w:jc w:val="center"/>
              <w:rPr>
                <w:rFonts w:ascii="Times New Roman" w:eastAsia="Times New Roman" w:hAnsi="Times New Roman" w:cs="Times New Roman"/>
                <w:lang w:eastAsia="ru-RU"/>
              </w:rPr>
            </w:pPr>
          </w:p>
        </w:tc>
        <w:tc>
          <w:tcPr>
            <w:tcW w:w="896" w:type="pct"/>
            <w:tcBorders>
              <w:top w:val="single" w:sz="4" w:space="0" w:color="auto"/>
              <w:left w:val="single" w:sz="4" w:space="0" w:color="auto"/>
              <w:bottom w:val="dotted"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p>
        </w:tc>
      </w:tr>
      <w:tr w:rsidR="00260706" w:rsidRPr="0066263B" w:rsidTr="006C3961">
        <w:trPr>
          <w:cantSplit/>
        </w:trPr>
        <w:tc>
          <w:tcPr>
            <w:tcW w:w="2501" w:type="pct"/>
            <w:tcBorders>
              <w:top w:val="dotted" w:sz="4" w:space="0" w:color="auto"/>
              <w:left w:val="single" w:sz="4" w:space="0" w:color="auto"/>
              <w:bottom w:val="dotted" w:sz="4" w:space="0" w:color="auto"/>
              <w:right w:val="single" w:sz="4" w:space="0" w:color="auto"/>
            </w:tcBorders>
            <w:vAlign w:val="center"/>
          </w:tcPr>
          <w:p w:rsidR="00260706" w:rsidRPr="0066263B" w:rsidRDefault="00260706" w:rsidP="006C3961">
            <w:pPr>
              <w:numPr>
                <w:ilvl w:val="0"/>
                <w:numId w:val="12"/>
              </w:numPr>
              <w:spacing w:before="20" w:after="20"/>
              <w:ind w:left="426" w:hanging="142"/>
              <w:contextualSpacing/>
              <w:jc w:val="left"/>
              <w:rPr>
                <w:rFonts w:ascii="Times New Roman" w:eastAsia="Calibri" w:hAnsi="Times New Roman" w:cs="Times New Roman"/>
              </w:rPr>
            </w:pPr>
            <w:r w:rsidRPr="0066263B">
              <w:rPr>
                <w:rFonts w:ascii="Times New Roman" w:eastAsia="Calibri" w:hAnsi="Times New Roman" w:cs="Times New Roman"/>
              </w:rPr>
              <w:t>по микробиологическим показателям</w:t>
            </w:r>
          </w:p>
        </w:tc>
        <w:tc>
          <w:tcPr>
            <w:tcW w:w="688" w:type="pct"/>
            <w:vMerge/>
            <w:tcBorders>
              <w:left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p>
        </w:tc>
        <w:tc>
          <w:tcPr>
            <w:tcW w:w="915" w:type="pct"/>
            <w:tcBorders>
              <w:top w:val="dotted" w:sz="4" w:space="0" w:color="auto"/>
              <w:left w:val="single" w:sz="4" w:space="0" w:color="auto"/>
              <w:bottom w:val="dotted" w:sz="4" w:space="0" w:color="auto"/>
              <w:right w:val="single" w:sz="4" w:space="0" w:color="auto"/>
            </w:tcBorders>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выше 4,0</w:t>
            </w:r>
          </w:p>
        </w:tc>
        <w:tc>
          <w:tcPr>
            <w:tcW w:w="896" w:type="pct"/>
            <w:tcBorders>
              <w:top w:val="dotted" w:sz="4" w:space="0" w:color="auto"/>
              <w:left w:val="single" w:sz="4" w:space="0" w:color="auto"/>
              <w:bottom w:val="dotted"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2,2</w:t>
            </w:r>
          </w:p>
        </w:tc>
      </w:tr>
      <w:tr w:rsidR="00260706" w:rsidRPr="0066263B" w:rsidTr="006C3961">
        <w:trPr>
          <w:cantSplit/>
        </w:trPr>
        <w:tc>
          <w:tcPr>
            <w:tcW w:w="2501" w:type="pct"/>
            <w:tcBorders>
              <w:top w:val="dotted" w:sz="4" w:space="0" w:color="auto"/>
              <w:left w:val="single" w:sz="4" w:space="0" w:color="auto"/>
              <w:bottom w:val="single" w:sz="4" w:space="0" w:color="auto"/>
              <w:right w:val="single" w:sz="4" w:space="0" w:color="auto"/>
            </w:tcBorders>
            <w:vAlign w:val="center"/>
          </w:tcPr>
          <w:p w:rsidR="00260706" w:rsidRPr="0066263B" w:rsidRDefault="00260706" w:rsidP="006C3961">
            <w:pPr>
              <w:numPr>
                <w:ilvl w:val="0"/>
                <w:numId w:val="12"/>
              </w:numPr>
              <w:spacing w:before="20" w:after="20"/>
              <w:ind w:left="426" w:hanging="142"/>
              <w:contextualSpacing/>
              <w:jc w:val="left"/>
              <w:rPr>
                <w:rFonts w:ascii="Times New Roman" w:eastAsia="Calibri" w:hAnsi="Times New Roman" w:cs="Times New Roman"/>
              </w:rPr>
            </w:pPr>
            <w:r w:rsidRPr="0066263B">
              <w:rPr>
                <w:rFonts w:ascii="Times New Roman" w:eastAsia="Calibri" w:hAnsi="Times New Roman" w:cs="Times New Roman"/>
              </w:rPr>
              <w:t>по санитарно-химическим показателям</w:t>
            </w:r>
          </w:p>
        </w:tc>
        <w:tc>
          <w:tcPr>
            <w:tcW w:w="688" w:type="pct"/>
            <w:vMerge/>
            <w:tcBorders>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p>
        </w:tc>
        <w:tc>
          <w:tcPr>
            <w:tcW w:w="915" w:type="pct"/>
            <w:tcBorders>
              <w:top w:val="dotted"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выше 14,5</w:t>
            </w:r>
          </w:p>
        </w:tc>
        <w:tc>
          <w:tcPr>
            <w:tcW w:w="896" w:type="pct"/>
            <w:tcBorders>
              <w:top w:val="dotted" w:sz="4" w:space="0" w:color="auto"/>
              <w:left w:val="single" w:sz="4" w:space="0" w:color="auto"/>
              <w:bottom w:val="single" w:sz="4" w:space="0" w:color="auto"/>
              <w:right w:val="single" w:sz="4" w:space="0" w:color="auto"/>
            </w:tcBorders>
            <w:vAlign w:val="center"/>
          </w:tcPr>
          <w:p w:rsidR="00260706" w:rsidRPr="0066263B" w:rsidRDefault="00F9248A" w:rsidP="006C3961">
            <w:pPr>
              <w:spacing w:before="20" w:after="20"/>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p>
        </w:tc>
      </w:tr>
      <w:tr w:rsidR="00260706" w:rsidRPr="0066263B" w:rsidTr="006C3961">
        <w:trPr>
          <w:cantSplit/>
        </w:trPr>
        <w:tc>
          <w:tcPr>
            <w:tcW w:w="2501"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Удельный вес применения лабораторных и</w:t>
            </w:r>
            <w:r w:rsidRPr="0066263B">
              <w:rPr>
                <w:rFonts w:ascii="Times New Roman" w:eastAsia="Times New Roman" w:hAnsi="Times New Roman" w:cs="Times New Roman"/>
                <w:lang w:eastAsia="ru-RU"/>
              </w:rPr>
              <w:br/>
              <w:t>инструментальных методов исследований при</w:t>
            </w:r>
            <w:r w:rsidRPr="0066263B">
              <w:rPr>
                <w:rFonts w:ascii="Times New Roman" w:eastAsia="Times New Roman" w:hAnsi="Times New Roman" w:cs="Times New Roman"/>
                <w:lang w:eastAsia="ru-RU"/>
              </w:rPr>
              <w:br/>
              <w:t>обследовании объектов в рамках проведения</w:t>
            </w:r>
            <w:r w:rsidRPr="0066263B">
              <w:rPr>
                <w:rFonts w:ascii="Times New Roman" w:eastAsia="Times New Roman" w:hAnsi="Times New Roman" w:cs="Times New Roman"/>
                <w:lang w:eastAsia="ru-RU"/>
              </w:rPr>
              <w:br/>
              <w:t>мероприятий по надзору (контролю)</w:t>
            </w:r>
          </w:p>
        </w:tc>
        <w:tc>
          <w:tcPr>
            <w:tcW w:w="688"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15"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До 80,2</w:t>
            </w:r>
          </w:p>
        </w:tc>
        <w:tc>
          <w:tcPr>
            <w:tcW w:w="896" w:type="pct"/>
            <w:tcBorders>
              <w:top w:val="single" w:sz="4" w:space="0" w:color="auto"/>
              <w:left w:val="single" w:sz="4" w:space="0" w:color="auto"/>
              <w:bottom w:val="single" w:sz="4" w:space="0" w:color="auto"/>
              <w:right w:val="single" w:sz="4" w:space="0" w:color="auto"/>
            </w:tcBorders>
            <w:vAlign w:val="center"/>
          </w:tcPr>
          <w:p w:rsidR="00260706" w:rsidRPr="0066263B" w:rsidRDefault="00260706" w:rsidP="006C3961">
            <w:pPr>
              <w:spacing w:before="20" w:after="20"/>
              <w:jc w:val="center"/>
              <w:rPr>
                <w:rFonts w:ascii="Times New Roman" w:eastAsia="Times New Roman" w:hAnsi="Times New Roman" w:cs="Times New Roman"/>
                <w:b/>
                <w:lang w:eastAsia="ru-RU"/>
              </w:rPr>
            </w:pPr>
            <w:r w:rsidRPr="0066263B">
              <w:rPr>
                <w:rFonts w:ascii="Times New Roman" w:eastAsia="Times New Roman" w:hAnsi="Times New Roman" w:cs="Times New Roman"/>
                <w:b/>
                <w:lang w:eastAsia="ru-RU"/>
              </w:rPr>
              <w:t>72,0</w:t>
            </w:r>
          </w:p>
        </w:tc>
      </w:tr>
    </w:tbl>
    <w:p w:rsidR="00324483" w:rsidRPr="0066263B" w:rsidRDefault="00324483" w:rsidP="00324483">
      <w:pPr>
        <w:spacing w:before="0" w:after="0"/>
        <w:rPr>
          <w:rFonts w:ascii="Times New Roman" w:eastAsia="Times New Roman" w:hAnsi="Times New Roman" w:cs="Times New Roman"/>
          <w:sz w:val="24"/>
          <w:szCs w:val="24"/>
          <w:lang w:eastAsia="ru-RU"/>
        </w:rPr>
      </w:pPr>
    </w:p>
    <w:p w:rsidR="00324483" w:rsidRPr="0066263B" w:rsidRDefault="00324483" w:rsidP="00324483">
      <w:pPr>
        <w:spacing w:before="0" w:after="60"/>
        <w:jc w:val="righ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продолжение таблицы 1</w:t>
      </w:r>
      <w:r w:rsidR="00260706" w:rsidRPr="0066263B">
        <w:rPr>
          <w:rFonts w:ascii="Times New Roman" w:eastAsia="Times New Roman" w:hAnsi="Times New Roman" w:cs="Times New Roman"/>
          <w:sz w:val="24"/>
          <w:szCs w:val="24"/>
          <w:lang w:eastAsia="ru-RU"/>
        </w:rPr>
        <w:t>09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5"/>
        <w:gridCol w:w="1278"/>
        <w:gridCol w:w="1699"/>
        <w:gridCol w:w="1664"/>
      </w:tblGrid>
      <w:tr w:rsidR="00260706" w:rsidRPr="0066263B" w:rsidTr="0033343B">
        <w:trPr>
          <w:cantSplit/>
        </w:trPr>
        <w:tc>
          <w:tcPr>
            <w:tcW w:w="2501" w:type="pct"/>
            <w:vAlign w:val="center"/>
          </w:tcPr>
          <w:p w:rsidR="00260706" w:rsidRPr="0066263B" w:rsidRDefault="00260706" w:rsidP="0084580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Удельный вес применённых мер административной ответственности к числу выявленных нарушений</w:t>
            </w:r>
          </w:p>
        </w:tc>
        <w:tc>
          <w:tcPr>
            <w:tcW w:w="688" w:type="pct"/>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15" w:type="pct"/>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896" w:type="pct"/>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r>
      <w:tr w:rsidR="00260706" w:rsidRPr="0066263B" w:rsidTr="0033343B">
        <w:trPr>
          <w:cantSplit/>
        </w:trPr>
        <w:tc>
          <w:tcPr>
            <w:tcW w:w="2501" w:type="pct"/>
            <w:vAlign w:val="center"/>
          </w:tcPr>
          <w:p w:rsidR="00260706" w:rsidRPr="0066263B" w:rsidRDefault="00260706"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Удельный вес персонала категории «А»,</w:t>
            </w:r>
            <w:r w:rsidRPr="0066263B">
              <w:rPr>
                <w:rFonts w:ascii="Times New Roman" w:eastAsia="Times New Roman" w:hAnsi="Times New Roman" w:cs="Times New Roman"/>
                <w:lang w:eastAsia="ru-RU"/>
              </w:rPr>
              <w:br/>
              <w:t>проходящего ИДК</w:t>
            </w:r>
          </w:p>
        </w:tc>
        <w:tc>
          <w:tcPr>
            <w:tcW w:w="688" w:type="pct"/>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15" w:type="pct"/>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896" w:type="pct"/>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r>
      <w:tr w:rsidR="00260706" w:rsidRPr="0066263B" w:rsidTr="0033343B">
        <w:trPr>
          <w:cantSplit/>
        </w:trPr>
        <w:tc>
          <w:tcPr>
            <w:tcW w:w="2501" w:type="pct"/>
            <w:vAlign w:val="center"/>
          </w:tcPr>
          <w:p w:rsidR="00260706" w:rsidRPr="0066263B" w:rsidRDefault="00260706" w:rsidP="00324483">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Удельный вес уровня профессиональной</w:t>
            </w:r>
            <w:r w:rsidRPr="0066263B">
              <w:rPr>
                <w:rFonts w:ascii="Times New Roman" w:eastAsia="Times New Roman" w:hAnsi="Times New Roman" w:cs="Times New Roman"/>
                <w:lang w:eastAsia="ru-RU"/>
              </w:rPr>
              <w:br/>
              <w:t xml:space="preserve">заболеваемости (на 10 тыс. </w:t>
            </w:r>
            <w:proofErr w:type="gramStart"/>
            <w:r w:rsidRPr="0066263B">
              <w:rPr>
                <w:rFonts w:ascii="Times New Roman" w:eastAsia="Times New Roman" w:hAnsi="Times New Roman" w:cs="Times New Roman"/>
                <w:lang w:eastAsia="ru-RU"/>
              </w:rPr>
              <w:t>работающих</w:t>
            </w:r>
            <w:proofErr w:type="gramEnd"/>
            <w:r w:rsidRPr="0066263B">
              <w:rPr>
                <w:rFonts w:ascii="Times New Roman" w:eastAsia="Times New Roman" w:hAnsi="Times New Roman" w:cs="Times New Roman"/>
                <w:lang w:eastAsia="ru-RU"/>
              </w:rPr>
              <w:t>)</w:t>
            </w:r>
          </w:p>
        </w:tc>
        <w:tc>
          <w:tcPr>
            <w:tcW w:w="688" w:type="pct"/>
            <w:vAlign w:val="center"/>
          </w:tcPr>
          <w:p w:rsidR="00260706" w:rsidRPr="0066263B" w:rsidRDefault="00260706" w:rsidP="006C3961">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915" w:type="pct"/>
            <w:vAlign w:val="center"/>
          </w:tcPr>
          <w:p w:rsidR="00260706" w:rsidRPr="0066263B" w:rsidRDefault="00260706" w:rsidP="006C3961">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выше 0,2</w:t>
            </w:r>
          </w:p>
        </w:tc>
        <w:tc>
          <w:tcPr>
            <w:tcW w:w="896" w:type="pct"/>
            <w:vAlign w:val="center"/>
          </w:tcPr>
          <w:p w:rsidR="00260706" w:rsidRPr="0066263B" w:rsidRDefault="00F9248A" w:rsidP="006C3961">
            <w:pPr>
              <w:spacing w:before="20" w:after="2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1,9</w:t>
            </w:r>
          </w:p>
        </w:tc>
      </w:tr>
    </w:tbl>
    <w:p w:rsidR="00324483" w:rsidRDefault="00324483" w:rsidP="00324483">
      <w:pPr>
        <w:shd w:val="clear" w:color="auto" w:fill="FFFFFF"/>
        <w:spacing w:before="0" w:after="0"/>
        <w:ind w:firstLine="709"/>
        <w:rPr>
          <w:rFonts w:ascii="Times New Roman" w:eastAsia="Times New Roman" w:hAnsi="Times New Roman" w:cs="Times New Roman"/>
          <w:sz w:val="24"/>
          <w:szCs w:val="24"/>
          <w:lang w:eastAsia="ru-RU"/>
        </w:rPr>
      </w:pPr>
    </w:p>
    <w:p w:rsidR="00D66BEA" w:rsidRPr="0066263B" w:rsidRDefault="00D66BEA" w:rsidP="00324483">
      <w:pPr>
        <w:shd w:val="clear" w:color="auto" w:fill="FFFFFF"/>
        <w:spacing w:before="0" w:after="0"/>
        <w:ind w:firstLine="709"/>
        <w:rPr>
          <w:rFonts w:ascii="Times New Roman" w:eastAsia="Times New Roman" w:hAnsi="Times New Roman" w:cs="Times New Roman"/>
          <w:sz w:val="24"/>
          <w:szCs w:val="24"/>
          <w:lang w:eastAsia="ru-RU"/>
        </w:rPr>
      </w:pPr>
    </w:p>
    <w:p w:rsidR="0047786E" w:rsidRPr="0066263B" w:rsidRDefault="0047786E" w:rsidP="0047786E">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Эпидемиологическая ситуация в 2021 году на территории Брянской области была стабильная, за исключением роста заболеваемости внебольничными пневмониями, эпидемии (пандемии) COVID-19, регистрации 3-х групповых случаев заболеваний норовирусной инфекцией в образовательных учреждениях области.</w:t>
      </w:r>
    </w:p>
    <w:p w:rsidR="0047786E" w:rsidRPr="0066263B" w:rsidRDefault="0047786E" w:rsidP="0047786E">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Случаев завоза и распространения особо опасных инфекционных заболеваний не зарегистрировано.</w:t>
      </w:r>
    </w:p>
    <w:p w:rsidR="0047786E" w:rsidRPr="0066263B" w:rsidRDefault="0047786E" w:rsidP="0047786E">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Не регистрировалась вспышечная заболеваемость и смертность от природно-очаговых инфекций.</w:t>
      </w:r>
    </w:p>
    <w:p w:rsidR="0047786E" w:rsidRPr="0066263B" w:rsidRDefault="0047786E" w:rsidP="0047786E">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Достигнуты уровни охвата вакцинацией населения Брянской области – более 98%.</w:t>
      </w:r>
    </w:p>
    <w:p w:rsidR="0047786E" w:rsidRPr="0066263B" w:rsidRDefault="0047786E" w:rsidP="0047786E">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Не регистрировалась заболеваемость полиомиелитом, в том числе </w:t>
      </w:r>
      <w:r w:rsidR="00465F23" w:rsidRPr="0066263B">
        <w:rPr>
          <w:rFonts w:ascii="Times New Roman" w:eastAsia="Times New Roman" w:hAnsi="Times New Roman" w:cs="Times New Roman"/>
          <w:sz w:val="24"/>
          <w:szCs w:val="24"/>
          <w:lang w:eastAsia="ru-RU"/>
        </w:rPr>
        <w:t>вакциноассоциированным</w:t>
      </w:r>
      <w:r w:rsidRPr="0066263B">
        <w:rPr>
          <w:rFonts w:ascii="Times New Roman" w:eastAsia="Times New Roman" w:hAnsi="Times New Roman" w:cs="Times New Roman"/>
          <w:sz w:val="24"/>
          <w:szCs w:val="24"/>
          <w:lang w:eastAsia="ru-RU"/>
        </w:rPr>
        <w:t>, врождённой краснухой, корью, дифтерией, коклюшем.</w:t>
      </w:r>
    </w:p>
    <w:p w:rsidR="0047786E" w:rsidRPr="0066263B" w:rsidRDefault="0047786E" w:rsidP="0047786E">
      <w:pPr>
        <w:numPr>
          <w:ilvl w:val="0"/>
          <w:numId w:val="3"/>
        </w:numPr>
        <w:tabs>
          <w:tab w:val="num" w:pos="-1276"/>
        </w:tabs>
        <w:spacing w:before="0" w:after="0"/>
        <w:ind w:left="709"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 охват прививками против гриппа 64,2% от общего количества населения области.</w:t>
      </w:r>
    </w:p>
    <w:p w:rsidR="0033343B" w:rsidRPr="0066263B" w:rsidRDefault="0033343B" w:rsidP="00324483">
      <w:pPr>
        <w:shd w:val="clear" w:color="auto" w:fill="FFFFFF"/>
        <w:spacing w:before="0" w:after="0"/>
        <w:ind w:firstLine="709"/>
        <w:rPr>
          <w:rFonts w:ascii="Times New Roman" w:eastAsia="Times New Roman" w:hAnsi="Times New Roman" w:cs="Times New Roman"/>
          <w:sz w:val="24"/>
          <w:szCs w:val="24"/>
          <w:lang w:eastAsia="ru-RU"/>
        </w:rPr>
      </w:pPr>
    </w:p>
    <w:p w:rsidR="0047786E" w:rsidRPr="0066263B" w:rsidRDefault="0047786E" w:rsidP="0047786E">
      <w:pPr>
        <w:spacing w:before="0" w:after="0"/>
        <w:ind w:firstLine="708"/>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по всем индикативным показателям: полиомиелит, дифтерия, эпидемический паротит, коклюш, корь, краснуха, острый вирусный гепатит</w:t>
      </w:r>
      <w:proofErr w:type="gramStart"/>
      <w:r w:rsidRPr="0066263B">
        <w:rPr>
          <w:rFonts w:ascii="Times New Roman" w:eastAsia="Times New Roman" w:hAnsi="Times New Roman" w:cs="Times New Roman"/>
          <w:sz w:val="24"/>
          <w:szCs w:val="24"/>
          <w:lang w:eastAsia="ru-RU"/>
        </w:rPr>
        <w:t xml:space="preserve"> В</w:t>
      </w:r>
      <w:proofErr w:type="gramEnd"/>
      <w:r w:rsidRPr="0066263B">
        <w:rPr>
          <w:rFonts w:ascii="Times New Roman" w:eastAsia="Times New Roman" w:hAnsi="Times New Roman" w:cs="Times New Roman"/>
          <w:sz w:val="24"/>
          <w:szCs w:val="24"/>
          <w:lang w:eastAsia="ru-RU"/>
        </w:rPr>
        <w:t>, туберкулёз заболеваемость не превышает индикативные уровни заболеваемости; также достигнут индикативный показатель по выполнению плана профилактических прививок.</w:t>
      </w:r>
    </w:p>
    <w:p w:rsidR="00260706" w:rsidRPr="0066263B" w:rsidRDefault="00260706" w:rsidP="0047786E">
      <w:pPr>
        <w:spacing w:before="0" w:after="0"/>
        <w:ind w:firstLine="708"/>
        <w:rPr>
          <w:rFonts w:ascii="Times New Roman" w:eastAsia="Times New Roman" w:hAnsi="Times New Roman" w:cs="Times New Roman"/>
          <w:sz w:val="24"/>
          <w:szCs w:val="24"/>
          <w:lang w:eastAsia="ru-RU"/>
        </w:rPr>
      </w:pPr>
    </w:p>
    <w:p w:rsidR="00260706" w:rsidRPr="0066263B" w:rsidRDefault="00260706" w:rsidP="00260706">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110</w:t>
      </w:r>
      <w:r w:rsidR="006C34E2" w:rsidRPr="0066263B">
        <w:rPr>
          <w:rFonts w:ascii="Times New Roman" w:eastAsia="Calibri" w:hAnsi="Times New Roman" w:cs="Times New Roman"/>
        </w:rPr>
        <w:fldChar w:fldCharType="end"/>
      </w:r>
    </w:p>
    <w:p w:rsidR="0047786E" w:rsidRPr="0066263B" w:rsidRDefault="0047786E" w:rsidP="0047786E">
      <w:pPr>
        <w:spacing w:before="0" w:after="0"/>
        <w:jc w:val="center"/>
        <w:rPr>
          <w:rFonts w:ascii="Times New Roman" w:hAnsi="Times New Roman" w:cs="Times New Roman"/>
          <w:b/>
          <w:bCs/>
          <w:lang w:eastAsia="ru-RU"/>
        </w:rPr>
      </w:pPr>
      <w:r w:rsidRPr="0066263B">
        <w:rPr>
          <w:rFonts w:ascii="Times New Roman" w:hAnsi="Times New Roman" w:cs="Times New Roman"/>
          <w:b/>
          <w:bCs/>
          <w:lang w:eastAsia="ru-RU"/>
        </w:rPr>
        <w:t>Выполнение индикативных показателей</w:t>
      </w:r>
    </w:p>
    <w:p w:rsidR="0047786E" w:rsidRPr="0066263B" w:rsidRDefault="0047786E" w:rsidP="0047786E">
      <w:pPr>
        <w:spacing w:before="0" w:after="0"/>
        <w:ind w:firstLine="709"/>
        <w:jc w:val="center"/>
        <w:rPr>
          <w:rFonts w:ascii="Times New Roman" w:hAnsi="Times New Roman" w:cs="Times New Roman"/>
          <w:b/>
          <w:bCs/>
          <w:lang w:eastAsia="ru-RU"/>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1417"/>
        <w:gridCol w:w="1701"/>
        <w:gridCol w:w="1667"/>
      </w:tblGrid>
      <w:tr w:rsidR="0047786E" w:rsidRPr="0066263B" w:rsidTr="003A0957">
        <w:trPr>
          <w:cantSplit/>
          <w:trHeight w:val="111"/>
        </w:trPr>
        <w:tc>
          <w:tcPr>
            <w:tcW w:w="4395" w:type="dxa"/>
            <w:vMerge w:val="restart"/>
            <w:vAlign w:val="center"/>
          </w:tcPr>
          <w:p w:rsidR="0047786E" w:rsidRPr="0066263B" w:rsidRDefault="0047786E" w:rsidP="003A09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Показатель, характеризующий</w:t>
            </w:r>
            <w:r w:rsidRPr="0066263B">
              <w:rPr>
                <w:rFonts w:ascii="Times New Roman" w:eastAsia="Times New Roman" w:hAnsi="Times New Roman" w:cs="Times New Roman"/>
                <w:b/>
                <w:i/>
                <w:lang w:eastAsia="ru-RU"/>
              </w:rPr>
              <w:br/>
              <w:t>планируемый уровень достижения</w:t>
            </w:r>
          </w:p>
        </w:tc>
        <w:tc>
          <w:tcPr>
            <w:tcW w:w="1417" w:type="dxa"/>
            <w:vMerge w:val="restart"/>
            <w:vAlign w:val="center"/>
          </w:tcPr>
          <w:p w:rsidR="0047786E" w:rsidRPr="0066263B" w:rsidRDefault="0047786E" w:rsidP="003A09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Единица измерения</w:t>
            </w:r>
          </w:p>
        </w:tc>
        <w:tc>
          <w:tcPr>
            <w:tcW w:w="3368" w:type="dxa"/>
            <w:gridSpan w:val="2"/>
            <w:vAlign w:val="center"/>
          </w:tcPr>
          <w:p w:rsidR="0047786E" w:rsidRPr="0066263B" w:rsidRDefault="0047786E" w:rsidP="003A09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Индикативные показатели</w:t>
            </w:r>
          </w:p>
        </w:tc>
      </w:tr>
      <w:tr w:rsidR="0047786E" w:rsidRPr="0066263B" w:rsidTr="003A0957">
        <w:trPr>
          <w:cantSplit/>
          <w:trHeight w:val="261"/>
        </w:trPr>
        <w:tc>
          <w:tcPr>
            <w:tcW w:w="4395" w:type="dxa"/>
            <w:vMerge/>
            <w:vAlign w:val="center"/>
          </w:tcPr>
          <w:p w:rsidR="0047786E" w:rsidRPr="0066263B" w:rsidRDefault="0047786E" w:rsidP="003A0957">
            <w:pPr>
              <w:spacing w:before="20" w:after="20"/>
              <w:jc w:val="center"/>
              <w:rPr>
                <w:rFonts w:ascii="Times New Roman" w:eastAsia="Times New Roman" w:hAnsi="Times New Roman" w:cs="Times New Roman"/>
                <w:b/>
                <w:i/>
                <w:lang w:eastAsia="ru-RU"/>
              </w:rPr>
            </w:pPr>
          </w:p>
        </w:tc>
        <w:tc>
          <w:tcPr>
            <w:tcW w:w="1417" w:type="dxa"/>
            <w:vMerge/>
            <w:vAlign w:val="center"/>
          </w:tcPr>
          <w:p w:rsidR="0047786E" w:rsidRPr="0066263B" w:rsidRDefault="0047786E" w:rsidP="003A0957">
            <w:pPr>
              <w:spacing w:before="20" w:after="20"/>
              <w:jc w:val="center"/>
              <w:rPr>
                <w:rFonts w:ascii="Times New Roman" w:eastAsia="Times New Roman" w:hAnsi="Times New Roman" w:cs="Times New Roman"/>
                <w:b/>
                <w:i/>
                <w:lang w:eastAsia="ru-RU"/>
              </w:rPr>
            </w:pP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Планируемые</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b/>
                <w:i/>
                <w:lang w:eastAsia="ru-RU"/>
              </w:rPr>
            </w:pPr>
            <w:r w:rsidRPr="0066263B">
              <w:rPr>
                <w:rFonts w:ascii="Times New Roman" w:eastAsia="Times New Roman" w:hAnsi="Times New Roman" w:cs="Times New Roman"/>
                <w:b/>
                <w:i/>
                <w:lang w:eastAsia="ru-RU"/>
              </w:rPr>
              <w:t>Фактические</w:t>
            </w:r>
          </w:p>
        </w:tc>
      </w:tr>
      <w:tr w:rsidR="0047786E" w:rsidRPr="0066263B" w:rsidTr="003A0957">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Выполнение плана профилактических прививок по национальному календарю против инфекций, управляемых средствами специфической профилактики</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ниже 98,0</w:t>
            </w:r>
          </w:p>
        </w:tc>
        <w:tc>
          <w:tcPr>
            <w:tcW w:w="1667" w:type="dxa"/>
            <w:vAlign w:val="center"/>
          </w:tcPr>
          <w:p w:rsidR="0047786E" w:rsidRPr="0066263B" w:rsidRDefault="0047786E" w:rsidP="00D66BE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w:t>
            </w:r>
          </w:p>
        </w:tc>
      </w:tr>
      <w:tr w:rsidR="0047786E" w:rsidRPr="0066263B" w:rsidTr="003A0957">
        <w:trPr>
          <w:trHeight w:val="323"/>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Достижение уровней инфекционной заболеваемости:</w:t>
            </w:r>
          </w:p>
        </w:tc>
        <w:tc>
          <w:tcPr>
            <w:tcW w:w="1417" w:type="dxa"/>
            <w:vMerge w:val="restart"/>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Показатель на 100 тыс. нас.</w:t>
            </w: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47786E" w:rsidRPr="0066263B" w:rsidTr="003A0957">
        <w:tc>
          <w:tcPr>
            <w:tcW w:w="4395" w:type="dxa"/>
            <w:vAlign w:val="center"/>
          </w:tcPr>
          <w:p w:rsidR="0047786E" w:rsidRPr="0066263B" w:rsidRDefault="0047786E" w:rsidP="0047786E">
            <w:pPr>
              <w:numPr>
                <w:ilvl w:val="0"/>
                <w:numId w:val="6"/>
              </w:numPr>
              <w:spacing w:before="20" w:after="20"/>
              <w:ind w:left="459" w:hanging="283"/>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дифтерия</w:t>
            </w:r>
          </w:p>
        </w:tc>
        <w:tc>
          <w:tcPr>
            <w:tcW w:w="1417" w:type="dxa"/>
            <w:vMerge/>
            <w:vAlign w:val="center"/>
          </w:tcPr>
          <w:p w:rsidR="0047786E" w:rsidRPr="0066263B" w:rsidRDefault="0047786E" w:rsidP="003A0957">
            <w:pPr>
              <w:spacing w:before="20" w:after="20"/>
              <w:jc w:val="center"/>
              <w:rPr>
                <w:rFonts w:ascii="Times New Roman" w:eastAsia="Times New Roman" w:hAnsi="Times New Roman" w:cs="Times New Roman"/>
                <w:lang w:eastAsia="ru-RU"/>
              </w:rPr>
            </w:pP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0,01</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47786E" w:rsidRPr="0066263B" w:rsidTr="003A0957">
        <w:tc>
          <w:tcPr>
            <w:tcW w:w="4395" w:type="dxa"/>
            <w:vAlign w:val="center"/>
          </w:tcPr>
          <w:p w:rsidR="0047786E" w:rsidRPr="0066263B" w:rsidRDefault="0047786E" w:rsidP="0047786E">
            <w:pPr>
              <w:numPr>
                <w:ilvl w:val="0"/>
                <w:numId w:val="6"/>
              </w:numPr>
              <w:spacing w:before="20" w:after="20"/>
              <w:ind w:left="459" w:hanging="283"/>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корь</w:t>
            </w:r>
          </w:p>
        </w:tc>
        <w:tc>
          <w:tcPr>
            <w:tcW w:w="1417" w:type="dxa"/>
            <w:vMerge/>
            <w:vAlign w:val="center"/>
          </w:tcPr>
          <w:p w:rsidR="0047786E" w:rsidRPr="0066263B" w:rsidRDefault="0047786E" w:rsidP="003A0957">
            <w:pPr>
              <w:spacing w:before="20" w:after="20"/>
              <w:jc w:val="center"/>
              <w:rPr>
                <w:rFonts w:ascii="Times New Roman" w:eastAsia="Times New Roman" w:hAnsi="Times New Roman" w:cs="Times New Roman"/>
                <w:lang w:eastAsia="ru-RU"/>
              </w:rPr>
            </w:pP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0,2</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47786E" w:rsidRPr="0066263B" w:rsidTr="003A0957">
        <w:tc>
          <w:tcPr>
            <w:tcW w:w="4395" w:type="dxa"/>
            <w:vAlign w:val="center"/>
          </w:tcPr>
          <w:p w:rsidR="0047786E" w:rsidRPr="0066263B" w:rsidRDefault="0047786E" w:rsidP="0047786E">
            <w:pPr>
              <w:numPr>
                <w:ilvl w:val="0"/>
                <w:numId w:val="6"/>
              </w:numPr>
              <w:spacing w:before="20" w:after="20"/>
              <w:ind w:left="459" w:hanging="283"/>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коклюш</w:t>
            </w:r>
          </w:p>
        </w:tc>
        <w:tc>
          <w:tcPr>
            <w:tcW w:w="1417" w:type="dxa"/>
            <w:vMerge w:val="restart"/>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Показатель на 100 тыс. нас.</w:t>
            </w: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47786E" w:rsidRPr="0066263B" w:rsidTr="003A0957">
        <w:tc>
          <w:tcPr>
            <w:tcW w:w="4395" w:type="dxa"/>
            <w:vAlign w:val="center"/>
          </w:tcPr>
          <w:p w:rsidR="0047786E" w:rsidRPr="0066263B" w:rsidRDefault="0047786E" w:rsidP="0047786E">
            <w:pPr>
              <w:numPr>
                <w:ilvl w:val="0"/>
                <w:numId w:val="6"/>
              </w:numPr>
              <w:spacing w:before="20" w:after="20"/>
              <w:ind w:left="459" w:hanging="283"/>
              <w:jc w:val="left"/>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эпид</w:t>
            </w:r>
            <w:proofErr w:type="spellEnd"/>
            <w:r w:rsidRPr="0066263B">
              <w:rPr>
                <w:rFonts w:ascii="Times New Roman" w:eastAsia="Times New Roman" w:hAnsi="Times New Roman" w:cs="Times New Roman"/>
                <w:lang w:eastAsia="ru-RU"/>
              </w:rPr>
              <w:t>. паротит</w:t>
            </w:r>
          </w:p>
        </w:tc>
        <w:tc>
          <w:tcPr>
            <w:tcW w:w="1417" w:type="dxa"/>
            <w:vMerge/>
            <w:vAlign w:val="center"/>
          </w:tcPr>
          <w:p w:rsidR="0047786E" w:rsidRPr="0066263B" w:rsidRDefault="0047786E" w:rsidP="003A0957">
            <w:pPr>
              <w:spacing w:before="20" w:after="20"/>
              <w:jc w:val="center"/>
              <w:rPr>
                <w:rFonts w:ascii="Times New Roman" w:eastAsia="Times New Roman" w:hAnsi="Times New Roman" w:cs="Times New Roman"/>
                <w:lang w:eastAsia="ru-RU"/>
              </w:rPr>
            </w:pP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&lt; 1,0</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0,08</w:t>
            </w:r>
          </w:p>
        </w:tc>
      </w:tr>
      <w:tr w:rsidR="0047786E" w:rsidRPr="0066263B" w:rsidTr="003A0957">
        <w:tc>
          <w:tcPr>
            <w:tcW w:w="4395" w:type="dxa"/>
            <w:vAlign w:val="center"/>
          </w:tcPr>
          <w:p w:rsidR="0047786E" w:rsidRPr="0066263B" w:rsidRDefault="0047786E" w:rsidP="0047786E">
            <w:pPr>
              <w:numPr>
                <w:ilvl w:val="0"/>
                <w:numId w:val="6"/>
              </w:numPr>
              <w:spacing w:before="20" w:after="20"/>
              <w:ind w:left="459" w:hanging="283"/>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краснуха</w:t>
            </w:r>
          </w:p>
        </w:tc>
        <w:tc>
          <w:tcPr>
            <w:tcW w:w="1417" w:type="dxa"/>
            <w:vMerge/>
            <w:vAlign w:val="center"/>
          </w:tcPr>
          <w:p w:rsidR="0047786E" w:rsidRPr="0066263B" w:rsidRDefault="0047786E" w:rsidP="003A0957">
            <w:pPr>
              <w:spacing w:before="20" w:after="20"/>
              <w:jc w:val="center"/>
              <w:rPr>
                <w:rFonts w:ascii="Times New Roman" w:eastAsia="Times New Roman" w:hAnsi="Times New Roman" w:cs="Times New Roman"/>
                <w:lang w:eastAsia="ru-RU"/>
              </w:rPr>
            </w:pP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&lt; 0,1</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47786E" w:rsidRPr="0066263B" w:rsidTr="003A0957">
        <w:tc>
          <w:tcPr>
            <w:tcW w:w="4395" w:type="dxa"/>
            <w:vAlign w:val="center"/>
          </w:tcPr>
          <w:p w:rsidR="0047786E" w:rsidRPr="0066263B" w:rsidRDefault="0047786E" w:rsidP="0047786E">
            <w:pPr>
              <w:numPr>
                <w:ilvl w:val="0"/>
                <w:numId w:val="6"/>
              </w:numPr>
              <w:spacing w:before="20" w:after="20"/>
              <w:ind w:left="459" w:hanging="283"/>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острый вирусный гепатит</w:t>
            </w:r>
            <w:proofErr w:type="gramStart"/>
            <w:r w:rsidRPr="0066263B">
              <w:rPr>
                <w:rFonts w:ascii="Times New Roman" w:eastAsia="Times New Roman" w:hAnsi="Times New Roman" w:cs="Times New Roman"/>
                <w:lang w:eastAsia="ru-RU"/>
              </w:rPr>
              <w:t xml:space="preserve"> В</w:t>
            </w:r>
            <w:proofErr w:type="gramEnd"/>
          </w:p>
        </w:tc>
        <w:tc>
          <w:tcPr>
            <w:tcW w:w="1417" w:type="dxa"/>
            <w:vMerge/>
            <w:vAlign w:val="center"/>
          </w:tcPr>
          <w:p w:rsidR="0047786E" w:rsidRPr="0066263B" w:rsidRDefault="0047786E" w:rsidP="003A0957">
            <w:pPr>
              <w:spacing w:before="20" w:after="20"/>
              <w:jc w:val="center"/>
              <w:rPr>
                <w:rFonts w:ascii="Times New Roman" w:eastAsia="Times New Roman" w:hAnsi="Times New Roman" w:cs="Times New Roman"/>
                <w:lang w:eastAsia="ru-RU"/>
              </w:rPr>
            </w:pP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&lt; 1,0</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0,67</w:t>
            </w:r>
          </w:p>
        </w:tc>
      </w:tr>
    </w:tbl>
    <w:p w:rsidR="00260706" w:rsidRPr="0066263B" w:rsidRDefault="00260706" w:rsidP="00260706">
      <w:pPr>
        <w:spacing w:before="0" w:after="60"/>
        <w:ind w:firstLine="709"/>
        <w:jc w:val="righ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продолжение таблицы 110</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1417"/>
        <w:gridCol w:w="1701"/>
        <w:gridCol w:w="1667"/>
      </w:tblGrid>
      <w:tr w:rsidR="0047786E" w:rsidRPr="0066263B" w:rsidTr="003A0957">
        <w:trPr>
          <w:trHeight w:val="105"/>
        </w:trPr>
        <w:tc>
          <w:tcPr>
            <w:tcW w:w="4395" w:type="dxa"/>
            <w:vAlign w:val="center"/>
          </w:tcPr>
          <w:p w:rsidR="0047786E" w:rsidRPr="0066263B" w:rsidRDefault="0047786E" w:rsidP="0047786E">
            <w:pPr>
              <w:numPr>
                <w:ilvl w:val="0"/>
                <w:numId w:val="6"/>
              </w:numPr>
              <w:spacing w:before="20" w:after="20"/>
              <w:ind w:left="459" w:hanging="283"/>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полиомиелит</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0</w:t>
            </w:r>
          </w:p>
        </w:tc>
      </w:tr>
      <w:tr w:rsidR="0047786E" w:rsidRPr="0066263B" w:rsidTr="003A0957">
        <w:trPr>
          <w:trHeight w:val="100"/>
        </w:trPr>
        <w:tc>
          <w:tcPr>
            <w:tcW w:w="4395" w:type="dxa"/>
            <w:vAlign w:val="center"/>
          </w:tcPr>
          <w:p w:rsidR="0047786E" w:rsidRPr="0066263B" w:rsidRDefault="0047786E" w:rsidP="0047786E">
            <w:pPr>
              <w:numPr>
                <w:ilvl w:val="0"/>
                <w:numId w:val="6"/>
              </w:numPr>
              <w:spacing w:before="20" w:after="20"/>
              <w:ind w:left="459" w:hanging="283"/>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туберкулёз</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Показатель на 100 тыс. нас.</w:t>
            </w:r>
          </w:p>
        </w:tc>
        <w:tc>
          <w:tcPr>
            <w:tcW w:w="1701"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40,2</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21,89</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Вспышечная заболеваемость и смертность от природно-очаговых инфекций</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Случаи</w:t>
            </w:r>
            <w:r w:rsidRPr="0066263B">
              <w:rPr>
                <w:rFonts w:ascii="Times New Roman" w:eastAsia="Times New Roman" w:hAnsi="Times New Roman" w:cs="Times New Roman"/>
                <w:lang w:eastAsia="ru-RU"/>
              </w:rPr>
              <w:br/>
              <w:t>заболевания</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Отсутствие</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Отсутствуют</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Увеличение числа ВИЧ-инфицированных беременных женщин, включённых в программу по профилактике передачи ВИЧ-инфекции от матери ребёнку</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ниже 95</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95,3</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Увеличение охвата </w:t>
            </w:r>
            <w:proofErr w:type="gramStart"/>
            <w:r w:rsidRPr="0066263B">
              <w:rPr>
                <w:rFonts w:ascii="Times New Roman" w:eastAsia="Times New Roman" w:hAnsi="Times New Roman" w:cs="Times New Roman"/>
                <w:lang w:eastAsia="ru-RU"/>
              </w:rPr>
              <w:t>ВИЧ-инфицированных</w:t>
            </w:r>
            <w:proofErr w:type="gramEnd"/>
            <w:r w:rsidRPr="0066263B">
              <w:rPr>
                <w:rFonts w:ascii="Times New Roman" w:eastAsia="Times New Roman" w:hAnsi="Times New Roman" w:cs="Times New Roman"/>
                <w:lang w:eastAsia="ru-RU"/>
              </w:rPr>
              <w:t xml:space="preserve"> диспансерным наблюдением</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ниже 95</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98,3</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Достижение уровня охвата прививками против гриппа населения в целом по области</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менее 45</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64,2</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Достижение уровня охвата прививками против гриппа населения в группах риска</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менее 75</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85</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Поддержание высоких уровней охватов профилактическими прививками детей декретированных возрастов в рамках национального календаря профилактических прививок (дифтерия, коклюш, столбняк, полиомиелит, корь, краснуха, </w:t>
            </w:r>
            <w:proofErr w:type="spellStart"/>
            <w:r w:rsidRPr="0066263B">
              <w:rPr>
                <w:rFonts w:ascii="Times New Roman" w:eastAsia="Times New Roman" w:hAnsi="Times New Roman" w:cs="Times New Roman"/>
                <w:lang w:eastAsia="ru-RU"/>
              </w:rPr>
              <w:t>эпидпаротит</w:t>
            </w:r>
            <w:proofErr w:type="spellEnd"/>
            <w:r w:rsidRPr="0066263B">
              <w:rPr>
                <w:rFonts w:ascii="Times New Roman" w:eastAsia="Times New Roman" w:hAnsi="Times New Roman" w:cs="Times New Roman"/>
                <w:lang w:eastAsia="ru-RU"/>
              </w:rPr>
              <w:t xml:space="preserve"> и др.)</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менее 95</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Местные случаи инфекционных болезней, на которые распространяются Международные и Национальные медико-санитарные правила, представляющие опасность для населения на территории Брянской области</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Случаи</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Отсутствие</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Отсутствуют</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Снижение числа нерасшифрованных очагов инфекционных и паразитарных болезней</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Очаги</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Не более 20</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Отсутствуют</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Предупреждение ввоза и распространения опасных инфекционных болезней на территории Брянской области</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Случаи</w:t>
            </w:r>
            <w:r w:rsidRPr="0066263B">
              <w:rPr>
                <w:rFonts w:ascii="Times New Roman" w:eastAsia="Times New Roman" w:hAnsi="Times New Roman" w:cs="Times New Roman"/>
                <w:lang w:eastAsia="ru-RU"/>
              </w:rPr>
              <w:br/>
              <w:t>заболевания</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Отсутствие</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Отсутствуют</w:t>
            </w:r>
          </w:p>
        </w:tc>
      </w:tr>
      <w:tr w:rsidR="0047786E" w:rsidRPr="0066263B" w:rsidTr="003A0957">
        <w:trPr>
          <w:trHeight w:val="100"/>
        </w:trPr>
        <w:tc>
          <w:tcPr>
            <w:tcW w:w="4395" w:type="dxa"/>
            <w:vAlign w:val="center"/>
          </w:tcPr>
          <w:p w:rsidR="0047786E" w:rsidRPr="0066263B" w:rsidRDefault="0047786E" w:rsidP="003A0957">
            <w:pPr>
              <w:spacing w:before="20" w:after="20"/>
              <w:ind w:left="57"/>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Обучение сотрудников санитарно-карантинных пунктов по вопросам санитарной охраны территории</w:t>
            </w:r>
          </w:p>
        </w:tc>
        <w:tc>
          <w:tcPr>
            <w:tcW w:w="141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w:t>
            </w:r>
          </w:p>
        </w:tc>
        <w:tc>
          <w:tcPr>
            <w:tcW w:w="1701" w:type="dxa"/>
            <w:vAlign w:val="center"/>
          </w:tcPr>
          <w:p w:rsidR="0047786E" w:rsidRPr="0066263B" w:rsidRDefault="0047786E" w:rsidP="003A0957">
            <w:pPr>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1667" w:type="dxa"/>
            <w:vAlign w:val="center"/>
          </w:tcPr>
          <w:p w:rsidR="0047786E" w:rsidRPr="0066263B" w:rsidRDefault="0047786E" w:rsidP="003A095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r>
    </w:tbl>
    <w:p w:rsidR="0047786E" w:rsidRPr="0066263B" w:rsidRDefault="0047786E" w:rsidP="0047786E">
      <w:pPr>
        <w:spacing w:before="0" w:after="0"/>
        <w:ind w:firstLine="708"/>
        <w:rPr>
          <w:rFonts w:ascii="Times New Roman" w:eastAsia="Times New Roman" w:hAnsi="Times New Roman" w:cs="Times New Roman"/>
          <w:sz w:val="24"/>
          <w:szCs w:val="24"/>
          <w:lang w:eastAsia="ru-RU"/>
        </w:rPr>
      </w:pPr>
    </w:p>
    <w:p w:rsidR="00BC233A" w:rsidRPr="0066263B" w:rsidRDefault="00BC233A" w:rsidP="00324483">
      <w:pPr>
        <w:shd w:val="clear" w:color="auto" w:fill="FFFFFF"/>
        <w:spacing w:before="0" w:after="0"/>
        <w:ind w:firstLine="709"/>
        <w:rPr>
          <w:rFonts w:ascii="Times New Roman" w:eastAsia="Times New Roman" w:hAnsi="Times New Roman" w:cs="Times New Roman"/>
          <w:lang w:eastAsia="ru-RU"/>
        </w:rPr>
      </w:pP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При исполнении государственной функции по надзору в отношении граждан, должностных лиц, индивидуальных предпринимателей и юридических лиц на предмет соблюдения законодательства в области санитарно-эпидемиологического благополучия населения и защиты прав потребителей должностными лицами Управления Роспотребнадзора по Брянской области в 20</w:t>
      </w:r>
      <w:r w:rsidR="00845807" w:rsidRPr="0066263B">
        <w:rPr>
          <w:rFonts w:ascii="Times New Roman" w:eastAsia="Times New Roman" w:hAnsi="Times New Roman" w:cs="Times New Roman"/>
          <w:sz w:val="24"/>
          <w:szCs w:val="24"/>
          <w:lang w:eastAsia="ru-RU"/>
        </w:rPr>
        <w:t>2</w:t>
      </w:r>
      <w:r w:rsidR="00FD0C95">
        <w:rPr>
          <w:rFonts w:ascii="Times New Roman" w:eastAsia="Times New Roman" w:hAnsi="Times New Roman" w:cs="Times New Roman"/>
          <w:sz w:val="24"/>
          <w:szCs w:val="24"/>
          <w:lang w:eastAsia="ru-RU"/>
        </w:rPr>
        <w:t>1</w:t>
      </w:r>
      <w:r w:rsidR="00845807"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 xml:space="preserve">году проведено </w:t>
      </w:r>
      <w:r w:rsidR="00BC233A" w:rsidRPr="0066263B">
        <w:rPr>
          <w:rFonts w:ascii="Times New Roman" w:eastAsia="Times New Roman" w:hAnsi="Times New Roman" w:cs="Times New Roman"/>
          <w:sz w:val="24"/>
          <w:szCs w:val="24"/>
          <w:lang w:eastAsia="ru-RU"/>
        </w:rPr>
        <w:t>1 103 проверк</w:t>
      </w:r>
      <w:r w:rsidR="00FD0C95">
        <w:rPr>
          <w:rFonts w:ascii="Times New Roman" w:eastAsia="Times New Roman" w:hAnsi="Times New Roman" w:cs="Times New Roman"/>
          <w:sz w:val="24"/>
          <w:szCs w:val="24"/>
          <w:lang w:eastAsia="ru-RU"/>
        </w:rPr>
        <w:t>и</w:t>
      </w:r>
      <w:r w:rsidR="00BC233A" w:rsidRPr="0066263B">
        <w:rPr>
          <w:rFonts w:ascii="Times New Roman" w:eastAsia="Times New Roman" w:hAnsi="Times New Roman" w:cs="Times New Roman"/>
          <w:sz w:val="24"/>
          <w:szCs w:val="24"/>
          <w:lang w:eastAsia="ru-RU"/>
        </w:rPr>
        <w:t xml:space="preserve"> (2020 – 580; 2019 – 2 514; 2018 – 2 399) и 194 административных расследовани</w:t>
      </w:r>
      <w:r w:rsidR="00FD0C95">
        <w:rPr>
          <w:rFonts w:ascii="Times New Roman" w:eastAsia="Times New Roman" w:hAnsi="Times New Roman" w:cs="Times New Roman"/>
          <w:sz w:val="24"/>
          <w:szCs w:val="24"/>
          <w:lang w:eastAsia="ru-RU"/>
        </w:rPr>
        <w:t>я</w:t>
      </w:r>
      <w:r w:rsidR="00BC233A" w:rsidRPr="0066263B">
        <w:rPr>
          <w:rFonts w:ascii="Times New Roman" w:eastAsia="Times New Roman" w:hAnsi="Times New Roman" w:cs="Times New Roman"/>
          <w:sz w:val="24"/>
          <w:szCs w:val="24"/>
          <w:lang w:eastAsia="ru-RU"/>
        </w:rPr>
        <w:t xml:space="preserve"> (2020 – 119;</w:t>
      </w:r>
      <w:proofErr w:type="gramEnd"/>
      <w:r w:rsidR="00BC233A" w:rsidRPr="0066263B">
        <w:rPr>
          <w:rFonts w:ascii="Times New Roman" w:eastAsia="Times New Roman" w:hAnsi="Times New Roman" w:cs="Times New Roman"/>
          <w:sz w:val="24"/>
          <w:szCs w:val="24"/>
          <w:lang w:eastAsia="ru-RU"/>
        </w:rPr>
        <w:t xml:space="preserve"> </w:t>
      </w:r>
      <w:proofErr w:type="gramStart"/>
      <w:r w:rsidR="00BC233A" w:rsidRPr="0066263B">
        <w:rPr>
          <w:rFonts w:ascii="Times New Roman" w:eastAsia="Times New Roman" w:hAnsi="Times New Roman" w:cs="Times New Roman"/>
          <w:sz w:val="24"/>
          <w:szCs w:val="24"/>
          <w:lang w:eastAsia="ru-RU"/>
        </w:rPr>
        <w:t xml:space="preserve">2019 – 119; 2018 – 177), возбуждено 987 дел об административном правонарушении (2020 – 522; 2019 – 1 828; 2018 – 2 015), предусмотренных 28 статьями Кодекса </w:t>
      </w:r>
      <w:r w:rsidR="00BC233A" w:rsidRPr="0066263B">
        <w:rPr>
          <w:rFonts w:ascii="Times New Roman" w:eastAsia="Times New Roman" w:hAnsi="Times New Roman" w:cs="Times New Roman"/>
          <w:sz w:val="24"/>
          <w:szCs w:val="24"/>
          <w:lang w:eastAsia="ru-RU"/>
        </w:rPr>
        <w:lastRenderedPageBreak/>
        <w:t>Российской Федерации об административных правонарушениях (2020 – 29; 2019 – 40; 2018 – 34)</w:t>
      </w:r>
      <w:r w:rsidR="00845807" w:rsidRPr="0066263B">
        <w:rPr>
          <w:rFonts w:ascii="Times New Roman" w:eastAsia="Times New Roman" w:hAnsi="Times New Roman" w:cs="Times New Roman"/>
          <w:sz w:val="24"/>
          <w:szCs w:val="24"/>
          <w:lang w:eastAsia="ru-RU"/>
        </w:rPr>
        <w:t>:</w:t>
      </w:r>
      <w:proofErr w:type="gramEnd"/>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b/>
          <w:sz w:val="24"/>
          <w:szCs w:val="24"/>
        </w:rPr>
      </w:pPr>
      <w:r w:rsidRPr="0066263B">
        <w:rPr>
          <w:rFonts w:ascii="Times New Roman" w:eastAsia="Calibri" w:hAnsi="Times New Roman" w:cs="Times New Roman"/>
          <w:b/>
          <w:sz w:val="24"/>
          <w:szCs w:val="24"/>
        </w:rPr>
        <w:t>168</w:t>
      </w:r>
      <w:r w:rsidRPr="0066263B">
        <w:rPr>
          <w:rFonts w:ascii="Times New Roman" w:eastAsia="Calibri" w:hAnsi="Times New Roman" w:cs="Times New Roman"/>
          <w:sz w:val="24"/>
          <w:szCs w:val="24"/>
        </w:rPr>
        <w:t xml:space="preserve"> </w:t>
      </w:r>
      <w:r w:rsidRPr="0066263B">
        <w:rPr>
          <w:rFonts w:ascii="Times New Roman" w:eastAsia="Times New Roman" w:hAnsi="Times New Roman" w:cs="Times New Roman"/>
          <w:sz w:val="24"/>
          <w:szCs w:val="24"/>
          <w:lang w:eastAsia="ru-RU"/>
        </w:rPr>
        <w:t xml:space="preserve">нарушений </w:t>
      </w:r>
      <w:r w:rsidRPr="0066263B">
        <w:rPr>
          <w:rFonts w:ascii="Times New Roman" w:eastAsia="Calibri" w:hAnsi="Times New Roman" w:cs="Times New Roman"/>
          <w:sz w:val="24"/>
          <w:szCs w:val="24"/>
        </w:rPr>
        <w:t xml:space="preserve">(17,0%) </w:t>
      </w:r>
      <w:r w:rsidRPr="0066263B">
        <w:rPr>
          <w:rFonts w:ascii="Times New Roman" w:eastAsia="Calibri" w:hAnsi="Times New Roman" w:cs="Times New Roman"/>
          <w:sz w:val="24"/>
        </w:rPr>
        <w:t xml:space="preserve">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2" w:history="1">
        <w:r w:rsidRPr="0066263B">
          <w:rPr>
            <w:rFonts w:ascii="Times New Roman" w:eastAsia="Calibri" w:hAnsi="Times New Roman" w:cs="Times New Roman"/>
            <w:sz w:val="24"/>
          </w:rPr>
          <w:t>правил</w:t>
        </w:r>
      </w:hyperlink>
      <w:r w:rsidRPr="0066263B">
        <w:rPr>
          <w:rFonts w:ascii="Times New Roman" w:eastAsia="Calibri" w:hAnsi="Times New Roman" w:cs="Times New Roman"/>
          <w:sz w:val="24"/>
        </w:rPr>
        <w:t xml:space="preserve">и гигиенических нормативов, невыполнении санитарно-гигиенических и противоэпидемических мероприятий </w:t>
      </w:r>
      <w:r w:rsidRPr="0066263B">
        <w:rPr>
          <w:rFonts w:ascii="Times New Roman" w:eastAsia="Calibri" w:hAnsi="Times New Roman" w:cs="Times New Roman"/>
          <w:b/>
          <w:sz w:val="24"/>
        </w:rPr>
        <w:t>(</w:t>
      </w:r>
      <w:proofErr w:type="gramStart"/>
      <w:r w:rsidRPr="0066263B">
        <w:rPr>
          <w:rFonts w:ascii="Times New Roman" w:eastAsia="Calibri" w:hAnsi="Times New Roman" w:cs="Times New Roman"/>
          <w:b/>
          <w:sz w:val="24"/>
        </w:rPr>
        <w:t>ч</w:t>
      </w:r>
      <w:proofErr w:type="gramEnd"/>
      <w:r w:rsidRPr="0066263B">
        <w:rPr>
          <w:rFonts w:ascii="Times New Roman" w:eastAsia="Calibri" w:hAnsi="Times New Roman" w:cs="Times New Roman"/>
          <w:b/>
          <w:sz w:val="24"/>
        </w:rPr>
        <w:t>. 1 ст. 6.3 КоАП РФ)</w:t>
      </w:r>
      <w:r w:rsidRPr="0066263B">
        <w:rPr>
          <w:rFonts w:ascii="Times New Roman" w:eastAsia="Calibri" w:hAnsi="Times New Roman" w:cs="Times New Roman"/>
          <w:sz w:val="24"/>
        </w:rPr>
        <w:t xml:space="preserve">, </w:t>
      </w:r>
      <w:r w:rsidRPr="0066263B">
        <w:rPr>
          <w:rFonts w:ascii="Times New Roman" w:eastAsia="Calibri" w:hAnsi="Times New Roman" w:cs="Times New Roman"/>
          <w:sz w:val="24"/>
          <w:szCs w:val="24"/>
        </w:rPr>
        <w:t>что на 135 протоколов больше, чем за 2020 год</w:t>
      </w:r>
      <w:r w:rsidRPr="0066263B">
        <w:rPr>
          <w:rFonts w:ascii="Times New Roman" w:eastAsia="Calibri" w:hAnsi="Times New Roman" w:cs="Times New Roman"/>
          <w:sz w:val="24"/>
        </w:rPr>
        <w:t xml:space="preserve"> (2020 – 33);</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164 </w:t>
      </w:r>
      <w:r w:rsidRPr="0066263B">
        <w:rPr>
          <w:rFonts w:ascii="Times New Roman" w:eastAsia="Calibri" w:hAnsi="Times New Roman" w:cs="Times New Roman"/>
          <w:sz w:val="24"/>
          <w:szCs w:val="24"/>
        </w:rPr>
        <w:t>нарушения (16,6%) санитарно-эпидемиологических требований к условиям воспитания и обучения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1 ст. 6.7 КоАП РФ</w:t>
      </w:r>
      <w:r w:rsidRPr="0066263B">
        <w:rPr>
          <w:rFonts w:ascii="Times New Roman" w:eastAsia="Calibri" w:hAnsi="Times New Roman" w:cs="Times New Roman"/>
          <w:sz w:val="24"/>
          <w:szCs w:val="24"/>
        </w:rPr>
        <w:t>), что на 121 протокол больше, чем за 2020 год (2020 – 43);</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b/>
          <w:sz w:val="24"/>
          <w:szCs w:val="24"/>
        </w:rPr>
      </w:pPr>
      <w:r w:rsidRPr="0066263B">
        <w:rPr>
          <w:rFonts w:ascii="Times New Roman" w:eastAsia="Times New Roman" w:hAnsi="Times New Roman" w:cs="Times New Roman"/>
          <w:b/>
          <w:sz w:val="24"/>
          <w:szCs w:val="24"/>
          <w:lang w:eastAsia="ru-RU"/>
        </w:rPr>
        <w:t xml:space="preserve">160 </w:t>
      </w:r>
      <w:r w:rsidRPr="0066263B">
        <w:rPr>
          <w:rFonts w:ascii="Times New Roman" w:eastAsia="Times New Roman" w:hAnsi="Times New Roman" w:cs="Times New Roman"/>
          <w:sz w:val="24"/>
          <w:szCs w:val="24"/>
          <w:lang w:eastAsia="ru-RU"/>
        </w:rPr>
        <w:t>нарушений (16,2%) санитарно-эпидемиологических требований к организации питания населения в специально оборудованных местах, в том числе при приготовлении пищи и напитков, их хранении и реализации населению (</w:t>
      </w:r>
      <w:r w:rsidRPr="0066263B">
        <w:rPr>
          <w:rFonts w:ascii="Times New Roman" w:eastAsia="Times New Roman" w:hAnsi="Times New Roman" w:cs="Times New Roman"/>
          <w:b/>
          <w:sz w:val="24"/>
          <w:szCs w:val="24"/>
          <w:lang w:eastAsia="ru-RU"/>
        </w:rPr>
        <w:t>ст. 6.6 КоАП РФ</w:t>
      </w:r>
      <w:r w:rsidRPr="0066263B">
        <w:rPr>
          <w:rFonts w:ascii="Times New Roman" w:eastAsia="Times New Roman" w:hAnsi="Times New Roman" w:cs="Times New Roman"/>
          <w:sz w:val="24"/>
          <w:szCs w:val="24"/>
          <w:lang w:eastAsia="ru-RU"/>
        </w:rPr>
        <w:t>), что на 98 протокола больше, чем за 2020 год (2020 – 62);</w:t>
      </w:r>
    </w:p>
    <w:p w:rsidR="00BC233A" w:rsidRPr="0066263B" w:rsidRDefault="00BC233A" w:rsidP="00BC233A">
      <w:pPr>
        <w:numPr>
          <w:ilvl w:val="0"/>
          <w:numId w:val="16"/>
        </w:numPr>
        <w:shd w:val="clear" w:color="auto" w:fill="FFFFFF"/>
        <w:spacing w:before="0" w:after="0"/>
        <w:ind w:left="0" w:firstLine="567"/>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b/>
          <w:sz w:val="24"/>
          <w:szCs w:val="24"/>
          <w:lang w:eastAsia="ru-RU"/>
        </w:rPr>
        <w:t>150</w:t>
      </w:r>
      <w:r w:rsidRPr="0066263B">
        <w:rPr>
          <w:rFonts w:ascii="Times New Roman" w:eastAsia="Times New Roman" w:hAnsi="Times New Roman" w:cs="Times New Roman"/>
          <w:sz w:val="24"/>
          <w:szCs w:val="24"/>
          <w:lang w:eastAsia="ru-RU"/>
        </w:rPr>
        <w:t xml:space="preserve"> нарушений (15,2%)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3" w:history="1">
        <w:r w:rsidRPr="0066263B">
          <w:rPr>
            <w:rFonts w:ascii="Times New Roman" w:eastAsia="Times New Roman" w:hAnsi="Times New Roman" w:cs="Times New Roman"/>
            <w:sz w:val="24"/>
            <w:szCs w:val="24"/>
            <w:lang w:eastAsia="ru-RU"/>
          </w:rPr>
          <w:t>правил</w:t>
        </w:r>
      </w:hyperlink>
      <w:r w:rsidRPr="0066263B">
        <w:rPr>
          <w:rFonts w:ascii="Times New Roman" w:eastAsia="Times New Roman" w:hAnsi="Times New Roman" w:cs="Times New Roman"/>
          <w:sz w:val="24"/>
          <w:szCs w:val="24"/>
          <w:lang w:eastAsia="ru-RU"/>
        </w:rPr>
        <w:t xml:space="preserve"> и гигиенических нормативов, невыполнении санитарно-гигиенических и противоэпидемических мероприятий, совершенные в период </w:t>
      </w:r>
      <w:hyperlink r:id="rId114" w:history="1">
        <w:r w:rsidRPr="0066263B">
          <w:rPr>
            <w:rFonts w:ascii="Times New Roman" w:eastAsia="Times New Roman" w:hAnsi="Times New Roman" w:cs="Times New Roman"/>
            <w:sz w:val="24"/>
            <w:szCs w:val="24"/>
            <w:lang w:eastAsia="ru-RU"/>
          </w:rPr>
          <w:t>режима</w:t>
        </w:r>
      </w:hyperlink>
      <w:r w:rsidRPr="0066263B">
        <w:rPr>
          <w:rFonts w:ascii="Times New Roman" w:eastAsia="Times New Roman" w:hAnsi="Times New Roman" w:cs="Times New Roman"/>
          <w:sz w:val="24"/>
          <w:szCs w:val="24"/>
          <w:lang w:eastAsia="ru-RU"/>
        </w:rPr>
        <w:t xml:space="preserve"> чрезвычайной ситуации или при возникновении угрозы распространения </w:t>
      </w:r>
      <w:hyperlink r:id="rId115" w:history="1">
        <w:r w:rsidRPr="0066263B">
          <w:rPr>
            <w:rFonts w:ascii="Times New Roman" w:eastAsia="Times New Roman" w:hAnsi="Times New Roman" w:cs="Times New Roman"/>
            <w:sz w:val="24"/>
            <w:szCs w:val="24"/>
            <w:lang w:eastAsia="ru-RU"/>
          </w:rPr>
          <w:t>заболевания</w:t>
        </w:r>
      </w:hyperlink>
      <w:r w:rsidRPr="0066263B">
        <w:rPr>
          <w:rFonts w:ascii="Times New Roman" w:eastAsia="Times New Roman" w:hAnsi="Times New Roman" w:cs="Times New Roman"/>
          <w:sz w:val="24"/>
          <w:szCs w:val="24"/>
          <w:lang w:eastAsia="ru-RU"/>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w:t>
      </w:r>
      <w:proofErr w:type="gramEnd"/>
      <w:r w:rsidRPr="0066263B">
        <w:rPr>
          <w:rFonts w:ascii="Times New Roman" w:eastAsia="Times New Roman" w:hAnsi="Times New Roman" w:cs="Times New Roman"/>
          <w:sz w:val="24"/>
          <w:szCs w:val="24"/>
          <w:lang w:eastAsia="ru-RU"/>
        </w:rPr>
        <w:t xml:space="preserve"> </w:t>
      </w:r>
      <w:proofErr w:type="gramStart"/>
      <w:r w:rsidRPr="0066263B">
        <w:rPr>
          <w:rFonts w:ascii="Times New Roman" w:eastAsia="Times New Roman" w:hAnsi="Times New Roman" w:cs="Times New Roman"/>
          <w:sz w:val="24"/>
          <w:szCs w:val="24"/>
          <w:lang w:eastAsia="ru-RU"/>
        </w:rPr>
        <w:t>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(ч</w:t>
      </w:r>
      <w:r w:rsidRPr="0066263B">
        <w:rPr>
          <w:rFonts w:ascii="Times New Roman" w:eastAsia="Times New Roman" w:hAnsi="Times New Roman" w:cs="Times New Roman"/>
          <w:b/>
          <w:sz w:val="24"/>
          <w:szCs w:val="24"/>
          <w:lang w:eastAsia="ru-RU"/>
        </w:rPr>
        <w:t>. 2 ст. 6.3 КоАП РФ</w:t>
      </w:r>
      <w:r w:rsidRPr="0066263B">
        <w:rPr>
          <w:rFonts w:ascii="Times New Roman" w:eastAsia="Times New Roman" w:hAnsi="Times New Roman" w:cs="Times New Roman"/>
          <w:sz w:val="24"/>
          <w:szCs w:val="24"/>
          <w:lang w:eastAsia="ru-RU"/>
        </w:rPr>
        <w:t>);</w:t>
      </w:r>
      <w:proofErr w:type="gramEnd"/>
    </w:p>
    <w:p w:rsidR="00BC233A" w:rsidRPr="0066263B" w:rsidRDefault="00BC233A" w:rsidP="00BC233A">
      <w:pPr>
        <w:numPr>
          <w:ilvl w:val="0"/>
          <w:numId w:val="16"/>
        </w:numPr>
        <w:shd w:val="clear" w:color="auto" w:fill="FFFFFF"/>
        <w:spacing w:before="0" w:after="0"/>
        <w:ind w:left="0" w:firstLine="567"/>
        <w:rPr>
          <w:rFonts w:ascii="Times New Roman" w:eastAsia="Times New Roman" w:hAnsi="Times New Roman" w:cs="Times New Roman"/>
          <w:sz w:val="24"/>
          <w:szCs w:val="24"/>
          <w:lang w:eastAsia="ru-RU"/>
        </w:rPr>
      </w:pPr>
      <w:r w:rsidRPr="0066263B">
        <w:rPr>
          <w:rFonts w:ascii="Times New Roman" w:eastAsia="Times New Roman" w:hAnsi="Times New Roman" w:cs="Times New Roman"/>
          <w:b/>
          <w:sz w:val="24"/>
          <w:szCs w:val="24"/>
          <w:lang w:eastAsia="ru-RU"/>
        </w:rPr>
        <w:t>92</w:t>
      </w:r>
      <w:r w:rsidRPr="0066263B">
        <w:rPr>
          <w:rFonts w:ascii="Times New Roman" w:eastAsia="Times New Roman" w:hAnsi="Times New Roman" w:cs="Times New Roman"/>
          <w:sz w:val="24"/>
          <w:szCs w:val="24"/>
          <w:lang w:eastAsia="ru-RU"/>
        </w:rPr>
        <w:t xml:space="preserve"> случая (9,3%) действий, предусмотренных </w:t>
      </w:r>
      <w:proofErr w:type="gramStart"/>
      <w:r w:rsidRPr="0066263B">
        <w:rPr>
          <w:rFonts w:ascii="Times New Roman" w:eastAsia="Times New Roman" w:hAnsi="Times New Roman" w:cs="Times New Roman"/>
          <w:sz w:val="24"/>
          <w:szCs w:val="24"/>
          <w:lang w:eastAsia="ru-RU"/>
        </w:rPr>
        <w:t>ч</w:t>
      </w:r>
      <w:proofErr w:type="gramEnd"/>
      <w:r w:rsidRPr="0066263B">
        <w:rPr>
          <w:rFonts w:ascii="Times New Roman" w:eastAsia="Times New Roman" w:hAnsi="Times New Roman" w:cs="Times New Roman"/>
          <w:sz w:val="24"/>
          <w:szCs w:val="24"/>
          <w:lang w:eastAsia="ru-RU"/>
        </w:rPr>
        <w:t>. 1 ст. 14.43 КоАП РФ, повлекших вредные последствия (</w:t>
      </w:r>
      <w:r w:rsidRPr="0066263B">
        <w:rPr>
          <w:rFonts w:ascii="Times New Roman" w:eastAsia="Times New Roman" w:hAnsi="Times New Roman" w:cs="Times New Roman"/>
          <w:b/>
          <w:sz w:val="24"/>
          <w:szCs w:val="24"/>
          <w:lang w:eastAsia="ru-RU"/>
        </w:rPr>
        <w:t>ч. 2 ст. 14.43 КоАП РФ</w:t>
      </w:r>
      <w:r w:rsidRPr="0066263B">
        <w:rPr>
          <w:rFonts w:ascii="Times New Roman" w:eastAsia="Times New Roman" w:hAnsi="Times New Roman" w:cs="Times New Roman"/>
          <w:sz w:val="24"/>
          <w:szCs w:val="24"/>
          <w:lang w:eastAsia="ru-RU"/>
        </w:rPr>
        <w:t>), что на 41 протокол больше, чем за 2020 год (2020 – 51);</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64 </w:t>
      </w:r>
      <w:r w:rsidRPr="0066263B">
        <w:rPr>
          <w:rFonts w:ascii="Times New Roman" w:eastAsia="Calibri" w:hAnsi="Times New Roman" w:cs="Times New Roman"/>
          <w:sz w:val="24"/>
          <w:szCs w:val="24"/>
        </w:rPr>
        <w:t>нарушения (6,4%) санитарно-эпидемиологических требований к эксплуатации жилых и общественных помещений (</w:t>
      </w:r>
      <w:r w:rsidRPr="0066263B">
        <w:rPr>
          <w:rFonts w:ascii="Times New Roman" w:eastAsia="Calibri" w:hAnsi="Times New Roman" w:cs="Times New Roman"/>
          <w:b/>
          <w:sz w:val="24"/>
          <w:szCs w:val="24"/>
        </w:rPr>
        <w:t>ст. 6.4 КоАП РФ</w:t>
      </w:r>
      <w:r w:rsidRPr="0066263B">
        <w:rPr>
          <w:rFonts w:ascii="Times New Roman" w:eastAsia="Calibri" w:hAnsi="Times New Roman" w:cs="Times New Roman"/>
          <w:sz w:val="24"/>
          <w:szCs w:val="24"/>
        </w:rPr>
        <w:t>), что на 32 протокола больше в сравнении с 2020 годом (2020 – 32);</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61 </w:t>
      </w:r>
      <w:r w:rsidRPr="0066263B">
        <w:rPr>
          <w:rFonts w:ascii="Times New Roman" w:eastAsia="Calibri" w:hAnsi="Times New Roman" w:cs="Times New Roman"/>
          <w:sz w:val="24"/>
          <w:szCs w:val="24"/>
        </w:rPr>
        <w:t>нарушение (6,1%) санитарно-эпидемиологических требований к питьевой воде и питьевому водоснабжению (</w:t>
      </w:r>
      <w:r w:rsidRPr="0066263B">
        <w:rPr>
          <w:rFonts w:ascii="Times New Roman" w:eastAsia="Calibri" w:hAnsi="Times New Roman" w:cs="Times New Roman"/>
          <w:b/>
          <w:sz w:val="24"/>
          <w:szCs w:val="24"/>
        </w:rPr>
        <w:t>ст. 6.5 КоАП РФ</w:t>
      </w:r>
      <w:r w:rsidRPr="0066263B">
        <w:rPr>
          <w:rFonts w:ascii="Times New Roman" w:eastAsia="Calibri" w:hAnsi="Times New Roman" w:cs="Times New Roman"/>
          <w:sz w:val="24"/>
          <w:szCs w:val="24"/>
        </w:rPr>
        <w:t>), что на 31 протоколов больше, чем за 2020 год (2020 – 30);</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proofErr w:type="gramStart"/>
      <w:r w:rsidRPr="0066263B">
        <w:rPr>
          <w:rFonts w:ascii="Times New Roman" w:eastAsia="Calibri" w:hAnsi="Times New Roman" w:cs="Times New Roman"/>
          <w:b/>
          <w:sz w:val="24"/>
          <w:szCs w:val="24"/>
        </w:rPr>
        <w:t xml:space="preserve">46 </w:t>
      </w:r>
      <w:r w:rsidRPr="0066263B">
        <w:rPr>
          <w:rFonts w:ascii="Times New Roman" w:eastAsia="Calibri" w:hAnsi="Times New Roman" w:cs="Times New Roman"/>
          <w:sz w:val="24"/>
          <w:szCs w:val="24"/>
        </w:rPr>
        <w:t>случаев (4,6%) нарушения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w:t>
      </w:r>
      <w:proofErr w:type="gramEnd"/>
      <w:r w:rsidRPr="0066263B">
        <w:rPr>
          <w:rFonts w:ascii="Times New Roman" w:eastAsia="Calibri" w:hAnsi="Times New Roman" w:cs="Times New Roman"/>
          <w:sz w:val="24"/>
          <w:szCs w:val="24"/>
        </w:rPr>
        <w:t xml:space="preserve"> таким требованиям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1 ст. 14.43 КоАП РФ</w:t>
      </w:r>
      <w:r w:rsidRPr="0066263B">
        <w:rPr>
          <w:rFonts w:ascii="Times New Roman" w:eastAsia="Calibri" w:hAnsi="Times New Roman" w:cs="Times New Roman"/>
          <w:sz w:val="24"/>
          <w:szCs w:val="24"/>
        </w:rPr>
        <w:t>), что на 11 протоколов больше, чем за 2020 год (2020 – 35);</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35 </w:t>
      </w:r>
      <w:r w:rsidRPr="0066263B">
        <w:rPr>
          <w:rFonts w:ascii="Times New Roman" w:eastAsia="Calibri" w:hAnsi="Times New Roman" w:cs="Times New Roman"/>
          <w:sz w:val="24"/>
          <w:szCs w:val="24"/>
        </w:rPr>
        <w:t>случаев (3,5%) оборота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4 ст. 15.12 КоАП РФ</w:t>
      </w:r>
      <w:r w:rsidRPr="0066263B">
        <w:rPr>
          <w:rFonts w:ascii="Times New Roman" w:eastAsia="Calibri" w:hAnsi="Times New Roman" w:cs="Times New Roman"/>
          <w:sz w:val="24"/>
          <w:szCs w:val="24"/>
        </w:rPr>
        <w:t>), что на 21 протокол больше, чем в прошлом году (2020 – 14);</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13 </w:t>
      </w:r>
      <w:r w:rsidRPr="0066263B">
        <w:rPr>
          <w:rFonts w:ascii="Times New Roman" w:eastAsia="Calibri" w:hAnsi="Times New Roman" w:cs="Times New Roman"/>
          <w:sz w:val="24"/>
          <w:szCs w:val="24"/>
        </w:rPr>
        <w:t>случаев (1,3%) н</w:t>
      </w:r>
      <w:r w:rsidRPr="0066263B">
        <w:rPr>
          <w:rFonts w:ascii="Times New Roman" w:eastAsia="Calibri" w:hAnsi="Times New Roman" w:cs="Times New Roman"/>
          <w:sz w:val="24"/>
        </w:rPr>
        <w:t xml:space="preserve">есоблюдения санитарно-эпидемиологических </w:t>
      </w:r>
      <w:hyperlink r:id="rId116" w:history="1">
        <w:r w:rsidRPr="0066263B">
          <w:rPr>
            <w:rFonts w:ascii="Times New Roman" w:eastAsia="Calibri" w:hAnsi="Times New Roman" w:cs="Times New Roman"/>
            <w:sz w:val="24"/>
          </w:rPr>
          <w:t>требований</w:t>
        </w:r>
      </w:hyperlink>
      <w:r w:rsidRPr="0066263B">
        <w:rPr>
          <w:rFonts w:ascii="Times New Roman" w:eastAsia="Calibri" w:hAnsi="Times New Roman" w:cs="Times New Roman"/>
          <w:sz w:val="24"/>
        </w:rPr>
        <w:t xml:space="preserve"> к сбору, накоплению, транспортированию, обработке, утилизации или обезвреживанию </w:t>
      </w:r>
      <w:r w:rsidRPr="0066263B">
        <w:rPr>
          <w:rFonts w:ascii="Times New Roman" w:eastAsia="Calibri" w:hAnsi="Times New Roman" w:cs="Times New Roman"/>
          <w:sz w:val="24"/>
        </w:rPr>
        <w:lastRenderedPageBreak/>
        <w:t xml:space="preserve">отходов производства и потребления, за исключением случаев, предусмотренных </w:t>
      </w:r>
      <w:hyperlink r:id="rId117" w:history="1">
        <w:r w:rsidRPr="0066263B">
          <w:rPr>
            <w:rFonts w:ascii="Times New Roman" w:eastAsia="Calibri" w:hAnsi="Times New Roman" w:cs="Times New Roman"/>
            <w:sz w:val="24"/>
          </w:rPr>
          <w:t>частью 7</w:t>
        </w:r>
      </w:hyperlink>
      <w:r w:rsidRPr="0066263B">
        <w:rPr>
          <w:rFonts w:ascii="Times New Roman" w:eastAsia="Calibri" w:hAnsi="Times New Roman" w:cs="Times New Roman"/>
          <w:sz w:val="24"/>
        </w:rPr>
        <w:t xml:space="preserve"> настоящей статьи</w:t>
      </w:r>
      <w:r w:rsidRPr="0066263B">
        <w:rPr>
          <w:rFonts w:ascii="Times New Roman" w:eastAsia="Calibri" w:hAnsi="Times New Roman" w:cs="Times New Roman"/>
          <w:b/>
          <w:sz w:val="24"/>
          <w:szCs w:val="24"/>
        </w:rPr>
        <w:t xml:space="preserve">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1 ст. 6.35 КоАП РФ)</w:t>
      </w:r>
      <w:r w:rsidRPr="0066263B">
        <w:rPr>
          <w:rFonts w:ascii="Times New Roman" w:eastAsia="Calibri" w:hAnsi="Times New Roman" w:cs="Times New Roman"/>
          <w:sz w:val="24"/>
        </w:rPr>
        <w:t xml:space="preserve">, </w:t>
      </w:r>
      <w:r w:rsidRPr="0066263B">
        <w:rPr>
          <w:rFonts w:ascii="Times New Roman" w:eastAsia="Calibri" w:hAnsi="Times New Roman" w:cs="Times New Roman"/>
          <w:sz w:val="24"/>
          <w:szCs w:val="24"/>
        </w:rPr>
        <w:t>что на 7 протоколов меньше в сравнении с 2020 годом</w:t>
      </w:r>
      <w:r w:rsidRPr="0066263B">
        <w:rPr>
          <w:rFonts w:ascii="Times New Roman" w:eastAsia="Calibri" w:hAnsi="Times New Roman" w:cs="Times New Roman"/>
          <w:sz w:val="24"/>
        </w:rPr>
        <w:t xml:space="preserve"> (2020 </w:t>
      </w:r>
      <w:r w:rsidRPr="0066263B">
        <w:rPr>
          <w:rFonts w:ascii="Times New Roman" w:eastAsia="Calibri" w:hAnsi="Times New Roman" w:cs="Times New Roman"/>
          <w:sz w:val="24"/>
          <w:szCs w:val="24"/>
        </w:rPr>
        <w:t xml:space="preserve">– </w:t>
      </w:r>
      <w:r w:rsidRPr="0066263B">
        <w:rPr>
          <w:rFonts w:ascii="Times New Roman" w:eastAsia="Calibri" w:hAnsi="Times New Roman" w:cs="Times New Roman"/>
          <w:sz w:val="24"/>
        </w:rPr>
        <w:t>6);</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8 </w:t>
      </w:r>
      <w:r w:rsidRPr="0066263B">
        <w:rPr>
          <w:rFonts w:ascii="Times New Roman" w:eastAsia="Calibri" w:hAnsi="Times New Roman" w:cs="Times New Roman"/>
          <w:sz w:val="24"/>
          <w:szCs w:val="24"/>
        </w:rPr>
        <w:t>случаев (0,8%) невыполнения в срок законного предписания органа, осуществляющего государственный контроль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1 ст. 19.5 КоАП РФ</w:t>
      </w:r>
      <w:r w:rsidRPr="0066263B">
        <w:rPr>
          <w:rFonts w:ascii="Times New Roman" w:eastAsia="Calibri" w:hAnsi="Times New Roman" w:cs="Times New Roman"/>
          <w:sz w:val="24"/>
          <w:szCs w:val="24"/>
        </w:rPr>
        <w:t>), что на 9 протоколов меньше, чем за 2020 год (2020 – 17);</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8</w:t>
      </w:r>
      <w:r w:rsidRPr="0066263B">
        <w:rPr>
          <w:rFonts w:ascii="Times New Roman" w:eastAsia="Calibri" w:hAnsi="Times New Roman" w:cs="Times New Roman"/>
          <w:sz w:val="24"/>
          <w:szCs w:val="24"/>
        </w:rPr>
        <w:t xml:space="preserve"> случаев (0,8%) продажи товаров, не соответствующих требованиям стандартов, техническим условиям по качеству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1 ст. 14.4 КоАП РФ</w:t>
      </w:r>
      <w:r w:rsidRPr="0066263B">
        <w:rPr>
          <w:rFonts w:ascii="Times New Roman" w:eastAsia="Calibri" w:hAnsi="Times New Roman" w:cs="Times New Roman"/>
          <w:sz w:val="24"/>
          <w:szCs w:val="24"/>
        </w:rPr>
        <w:t>), что на 4 протокола больше в сравнении с 2020 годом (2020 – 4);</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7 </w:t>
      </w:r>
      <w:r w:rsidRPr="0066263B">
        <w:rPr>
          <w:rFonts w:ascii="Times New Roman" w:eastAsia="Calibri" w:hAnsi="Times New Roman" w:cs="Times New Roman"/>
          <w:sz w:val="24"/>
          <w:szCs w:val="24"/>
        </w:rPr>
        <w:t>нарушений (0,7%) правил продажи отдельных видов товаров (</w:t>
      </w:r>
      <w:r w:rsidRPr="0066263B">
        <w:rPr>
          <w:rFonts w:ascii="Times New Roman" w:eastAsia="Calibri" w:hAnsi="Times New Roman" w:cs="Times New Roman"/>
          <w:b/>
          <w:sz w:val="24"/>
          <w:szCs w:val="24"/>
        </w:rPr>
        <w:t>ст. 14.15 КоАП РФ</w:t>
      </w:r>
      <w:r w:rsidRPr="0066263B">
        <w:rPr>
          <w:rFonts w:ascii="Times New Roman" w:eastAsia="Calibri" w:hAnsi="Times New Roman" w:cs="Times New Roman"/>
          <w:sz w:val="24"/>
          <w:szCs w:val="24"/>
        </w:rPr>
        <w:t>), что на 1 протокол меньше, чем за 2020 год (2020 – 8);</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6 </w:t>
      </w:r>
      <w:r w:rsidRPr="0066263B">
        <w:rPr>
          <w:rFonts w:ascii="Times New Roman" w:eastAsia="Calibri" w:hAnsi="Times New Roman" w:cs="Times New Roman"/>
          <w:sz w:val="24"/>
          <w:szCs w:val="24"/>
        </w:rPr>
        <w:t>нарушений (0,6%), выразившихся в неуплате в срок административных штрафов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1 ст. 20.25 КоАП РФ</w:t>
      </w:r>
      <w:r w:rsidRPr="0066263B">
        <w:rPr>
          <w:rFonts w:ascii="Times New Roman" w:eastAsia="Calibri" w:hAnsi="Times New Roman" w:cs="Times New Roman"/>
          <w:sz w:val="24"/>
          <w:szCs w:val="24"/>
        </w:rPr>
        <w:t>), что на 1 протокол меньше, чем за 2020 год (2020 – 7);</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6 </w:t>
      </w:r>
      <w:r w:rsidRPr="0066263B">
        <w:rPr>
          <w:rFonts w:ascii="Times New Roman" w:eastAsia="Calibri" w:hAnsi="Times New Roman" w:cs="Times New Roman"/>
          <w:sz w:val="24"/>
          <w:szCs w:val="24"/>
        </w:rPr>
        <w:t>случаев (0,6%) нарушения прав потребителей на получение необходимой и достоверной информации о реализуемом товаре, об изготовителе, о продавце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1 ст. 14.8 КоАП РФ</w:t>
      </w:r>
      <w:r w:rsidRPr="0066263B">
        <w:rPr>
          <w:rFonts w:ascii="Times New Roman" w:eastAsia="Calibri" w:hAnsi="Times New Roman" w:cs="Times New Roman"/>
          <w:sz w:val="24"/>
          <w:szCs w:val="24"/>
        </w:rPr>
        <w:t xml:space="preserve">), что на 3 протокола </w:t>
      </w:r>
      <w:r w:rsidRPr="0066263B">
        <w:rPr>
          <w:rFonts w:ascii="Times New Roman" w:eastAsia="Times New Roman" w:hAnsi="Times New Roman" w:cs="Times New Roman"/>
          <w:sz w:val="24"/>
          <w:szCs w:val="24"/>
          <w:lang w:eastAsia="ru-RU"/>
        </w:rPr>
        <w:t xml:space="preserve">больше </w:t>
      </w:r>
      <w:r w:rsidRPr="0066263B">
        <w:rPr>
          <w:rFonts w:ascii="Times New Roman" w:eastAsia="Calibri" w:hAnsi="Times New Roman" w:cs="Times New Roman"/>
          <w:sz w:val="24"/>
          <w:szCs w:val="24"/>
        </w:rPr>
        <w:t xml:space="preserve">в сравнении с </w:t>
      </w:r>
      <w:r w:rsidRPr="0066263B">
        <w:rPr>
          <w:rFonts w:ascii="Times New Roman" w:eastAsia="Times New Roman" w:hAnsi="Times New Roman" w:cs="Times New Roman"/>
          <w:sz w:val="24"/>
          <w:szCs w:val="24"/>
          <w:lang w:eastAsia="ru-RU"/>
        </w:rPr>
        <w:t xml:space="preserve">2020 </w:t>
      </w:r>
      <w:r w:rsidRPr="0066263B">
        <w:rPr>
          <w:rFonts w:ascii="Times New Roman" w:eastAsia="Calibri" w:hAnsi="Times New Roman" w:cs="Times New Roman"/>
          <w:sz w:val="24"/>
          <w:szCs w:val="24"/>
        </w:rPr>
        <w:t>годом (</w:t>
      </w:r>
      <w:r w:rsidRPr="0066263B">
        <w:rPr>
          <w:rFonts w:ascii="Times New Roman" w:eastAsia="Times New Roman" w:hAnsi="Times New Roman" w:cs="Times New Roman"/>
          <w:sz w:val="24"/>
          <w:szCs w:val="24"/>
          <w:lang w:eastAsia="ru-RU"/>
        </w:rPr>
        <w:t xml:space="preserve">2020 </w:t>
      </w:r>
      <w:r w:rsidRPr="0066263B">
        <w:rPr>
          <w:rFonts w:ascii="Times New Roman" w:eastAsia="Calibri" w:hAnsi="Times New Roman" w:cs="Times New Roman"/>
          <w:sz w:val="24"/>
          <w:szCs w:val="24"/>
        </w:rPr>
        <w:t>– 3);</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6</w:t>
      </w:r>
      <w:r w:rsidRPr="0066263B">
        <w:rPr>
          <w:rFonts w:ascii="Times New Roman" w:eastAsia="Calibri" w:hAnsi="Times New Roman" w:cs="Times New Roman"/>
          <w:sz w:val="24"/>
          <w:szCs w:val="24"/>
        </w:rPr>
        <w:t xml:space="preserve"> случаев (0,6%) реализации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r w:rsidRPr="0066263B">
        <w:rPr>
          <w:rFonts w:ascii="Times New Roman" w:eastAsia="Calibri" w:hAnsi="Times New Roman" w:cs="Times New Roman"/>
          <w:b/>
          <w:sz w:val="24"/>
          <w:szCs w:val="24"/>
        </w:rPr>
        <w:t>ст. 14.45 КоАП РФ</w:t>
      </w:r>
      <w:r w:rsidRPr="0066263B">
        <w:rPr>
          <w:rFonts w:ascii="Times New Roman" w:eastAsia="Calibri" w:hAnsi="Times New Roman" w:cs="Times New Roman"/>
          <w:sz w:val="24"/>
          <w:szCs w:val="24"/>
        </w:rPr>
        <w:t>), что на 3 протокола больше, чем за 2020 год (2020 – 3);</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proofErr w:type="gramStart"/>
      <w:r w:rsidRPr="0066263B">
        <w:rPr>
          <w:rFonts w:ascii="Times New Roman" w:eastAsia="Calibri" w:hAnsi="Times New Roman" w:cs="Times New Roman"/>
          <w:b/>
          <w:sz w:val="24"/>
          <w:szCs w:val="24"/>
        </w:rPr>
        <w:t xml:space="preserve">6 </w:t>
      </w:r>
      <w:r w:rsidRPr="0066263B">
        <w:rPr>
          <w:rFonts w:ascii="Times New Roman" w:eastAsia="Calibri" w:hAnsi="Times New Roman" w:cs="Times New Roman"/>
          <w:sz w:val="24"/>
          <w:szCs w:val="24"/>
        </w:rPr>
        <w:t xml:space="preserve">случаев (0,6%) продажи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hyperlink r:id="rId118" w:history="1">
        <w:r w:rsidRPr="0066263B">
          <w:rPr>
            <w:rFonts w:ascii="Times New Roman" w:eastAsia="Calibri" w:hAnsi="Times New Roman" w:cs="Times New Roman"/>
            <w:sz w:val="24"/>
            <w:szCs w:val="24"/>
          </w:rPr>
          <w:t>законодательством</w:t>
        </w:r>
      </w:hyperlink>
      <w:r w:rsidRPr="0066263B">
        <w:rPr>
          <w:rFonts w:ascii="Times New Roman" w:eastAsia="Calibri" w:hAnsi="Times New Roman" w:cs="Times New Roman"/>
          <w:sz w:val="24"/>
          <w:szCs w:val="24"/>
        </w:rPr>
        <w:t xml:space="preserve"> РФ (</w:t>
      </w:r>
      <w:r w:rsidRPr="0066263B">
        <w:rPr>
          <w:rFonts w:ascii="Times New Roman" w:eastAsia="Calibri" w:hAnsi="Times New Roman" w:cs="Times New Roman"/>
          <w:b/>
          <w:sz w:val="24"/>
          <w:szCs w:val="24"/>
        </w:rPr>
        <w:t>ч. 1 ст. 14.5 КоАП РФ</w:t>
      </w:r>
      <w:r w:rsidRPr="0066263B">
        <w:rPr>
          <w:rFonts w:ascii="Times New Roman" w:eastAsia="Calibri" w:hAnsi="Times New Roman" w:cs="Times New Roman"/>
          <w:sz w:val="24"/>
          <w:szCs w:val="24"/>
        </w:rPr>
        <w:t xml:space="preserve">), что на 4 протокола </w:t>
      </w:r>
      <w:r w:rsidRPr="0066263B">
        <w:rPr>
          <w:rFonts w:ascii="Times New Roman" w:eastAsia="Times New Roman" w:hAnsi="Times New Roman" w:cs="Times New Roman"/>
          <w:sz w:val="24"/>
          <w:szCs w:val="24"/>
          <w:lang w:eastAsia="ru-RU"/>
        </w:rPr>
        <w:t xml:space="preserve">больше </w:t>
      </w:r>
      <w:r w:rsidRPr="0066263B">
        <w:rPr>
          <w:rFonts w:ascii="Times New Roman" w:eastAsia="Calibri" w:hAnsi="Times New Roman" w:cs="Times New Roman"/>
          <w:sz w:val="24"/>
          <w:szCs w:val="24"/>
        </w:rPr>
        <w:t>в сравнении с 2020 годом (2020 – 2);</w:t>
      </w:r>
      <w:proofErr w:type="gramEnd"/>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5 </w:t>
      </w:r>
      <w:r w:rsidRPr="0066263B">
        <w:rPr>
          <w:rFonts w:ascii="Times New Roman" w:eastAsia="Calibri" w:hAnsi="Times New Roman" w:cs="Times New Roman"/>
          <w:sz w:val="24"/>
          <w:szCs w:val="24"/>
        </w:rPr>
        <w:t>случаев (0,5%) продажи товаров и продукции без маркировки и (или) нанесения информации, предусмотренной законодательством РФ (</w:t>
      </w:r>
      <w:r w:rsidRPr="0066263B">
        <w:rPr>
          <w:rFonts w:ascii="Times New Roman" w:eastAsia="Calibri" w:hAnsi="Times New Roman" w:cs="Times New Roman"/>
          <w:b/>
          <w:sz w:val="24"/>
          <w:szCs w:val="24"/>
        </w:rPr>
        <w:t>ч. 2 ст. 15.12 КоАП РФ</w:t>
      </w:r>
      <w:r w:rsidRPr="0066263B">
        <w:rPr>
          <w:rFonts w:ascii="Times New Roman" w:eastAsia="Calibri" w:hAnsi="Times New Roman" w:cs="Times New Roman"/>
          <w:sz w:val="24"/>
          <w:szCs w:val="24"/>
        </w:rPr>
        <w:t xml:space="preserve">), что на 2 протокола </w:t>
      </w:r>
      <w:r w:rsidRPr="0066263B">
        <w:rPr>
          <w:rFonts w:ascii="Times New Roman" w:eastAsia="Times New Roman" w:hAnsi="Times New Roman" w:cs="Times New Roman"/>
          <w:sz w:val="24"/>
          <w:szCs w:val="24"/>
          <w:lang w:eastAsia="ru-RU"/>
        </w:rPr>
        <w:t>больше</w:t>
      </w:r>
      <w:r w:rsidRPr="0066263B">
        <w:rPr>
          <w:rFonts w:ascii="Times New Roman" w:eastAsia="Calibri" w:hAnsi="Times New Roman" w:cs="Times New Roman"/>
          <w:sz w:val="24"/>
          <w:szCs w:val="24"/>
        </w:rPr>
        <w:t>, чем за 2020 год (2020 – 3);</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4</w:t>
      </w:r>
      <w:r w:rsidRPr="0066263B">
        <w:rPr>
          <w:rFonts w:ascii="Times New Roman" w:eastAsia="Calibri" w:hAnsi="Times New Roman" w:cs="Times New Roman"/>
          <w:sz w:val="24"/>
          <w:szCs w:val="24"/>
        </w:rPr>
        <w:t xml:space="preserve"> случая (0,4%) включения в договор условий, ущемляющих права потребителей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2 ст. 14.8 КоАП РФ</w:t>
      </w:r>
      <w:r w:rsidRPr="0066263B">
        <w:rPr>
          <w:rFonts w:ascii="Times New Roman" w:eastAsia="Calibri" w:hAnsi="Times New Roman" w:cs="Times New Roman"/>
          <w:sz w:val="24"/>
          <w:szCs w:val="24"/>
        </w:rPr>
        <w:t xml:space="preserve">), что на 2 протокола </w:t>
      </w:r>
      <w:r w:rsidRPr="0066263B">
        <w:rPr>
          <w:rFonts w:ascii="Times New Roman" w:eastAsia="Times New Roman" w:hAnsi="Times New Roman" w:cs="Times New Roman"/>
          <w:sz w:val="24"/>
          <w:szCs w:val="24"/>
          <w:lang w:eastAsia="ru-RU"/>
        </w:rPr>
        <w:t>больше</w:t>
      </w:r>
      <w:r w:rsidRPr="0066263B">
        <w:rPr>
          <w:rFonts w:ascii="Times New Roman" w:eastAsia="Calibri" w:hAnsi="Times New Roman" w:cs="Times New Roman"/>
          <w:sz w:val="24"/>
          <w:szCs w:val="24"/>
        </w:rPr>
        <w:t>, чем за 2020 год (2020 – 2);</w:t>
      </w:r>
    </w:p>
    <w:p w:rsidR="00BC233A" w:rsidRPr="0066263B" w:rsidRDefault="00BC233A" w:rsidP="00BC233A">
      <w:pPr>
        <w:numPr>
          <w:ilvl w:val="0"/>
          <w:numId w:val="16"/>
        </w:numPr>
        <w:shd w:val="clear" w:color="auto" w:fill="FFFFFF"/>
        <w:spacing w:before="0" w:after="1" w:line="240" w:lineRule="atLeast"/>
        <w:ind w:left="0" w:firstLine="567"/>
        <w:rPr>
          <w:rFonts w:ascii="Times New Roman" w:eastAsia="Calibri" w:hAnsi="Times New Roman" w:cs="Times New Roman"/>
          <w:sz w:val="24"/>
          <w:szCs w:val="24"/>
        </w:rPr>
      </w:pPr>
      <w:proofErr w:type="gramStart"/>
      <w:r w:rsidRPr="0066263B">
        <w:rPr>
          <w:rFonts w:ascii="Times New Roman" w:eastAsia="Calibri" w:hAnsi="Times New Roman" w:cs="Times New Roman"/>
          <w:b/>
          <w:sz w:val="24"/>
          <w:szCs w:val="24"/>
        </w:rPr>
        <w:t>2</w:t>
      </w:r>
      <w:r w:rsidRPr="0066263B">
        <w:rPr>
          <w:rFonts w:ascii="Times New Roman" w:eastAsia="Calibri" w:hAnsi="Times New Roman" w:cs="Times New Roman"/>
          <w:sz w:val="24"/>
          <w:szCs w:val="24"/>
        </w:rPr>
        <w:t xml:space="preserve"> случая (0,2%) введения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r:id="rId119" w:history="1">
        <w:r w:rsidRPr="0066263B">
          <w:rPr>
            <w:rFonts w:ascii="Times New Roman" w:eastAsia="Calibri" w:hAnsi="Times New Roman" w:cs="Times New Roman"/>
            <w:sz w:val="24"/>
            <w:szCs w:val="24"/>
          </w:rPr>
          <w:t>частью 2 статьи 14.10</w:t>
        </w:r>
      </w:hyperlink>
      <w:r w:rsidRPr="0066263B">
        <w:rPr>
          <w:rFonts w:ascii="Times New Roman" w:eastAsia="Calibri" w:hAnsi="Times New Roman" w:cs="Times New Roman"/>
          <w:sz w:val="24"/>
          <w:szCs w:val="24"/>
        </w:rPr>
        <w:t xml:space="preserve"> и </w:t>
      </w:r>
      <w:hyperlink r:id="rId120" w:history="1">
        <w:r w:rsidRPr="0066263B">
          <w:rPr>
            <w:rFonts w:ascii="Times New Roman" w:eastAsia="Calibri" w:hAnsi="Times New Roman" w:cs="Times New Roman"/>
            <w:sz w:val="24"/>
            <w:szCs w:val="24"/>
          </w:rPr>
          <w:t>частью 1 статьи 14.33</w:t>
        </w:r>
      </w:hyperlink>
      <w:r w:rsidRPr="0066263B">
        <w:rPr>
          <w:rFonts w:ascii="Times New Roman" w:eastAsia="Calibri" w:hAnsi="Times New Roman" w:cs="Times New Roman"/>
          <w:sz w:val="24"/>
          <w:szCs w:val="24"/>
        </w:rPr>
        <w:t xml:space="preserve"> Кодекса (</w:t>
      </w:r>
      <w:r w:rsidRPr="0066263B">
        <w:rPr>
          <w:rFonts w:ascii="Times New Roman" w:eastAsia="Calibri" w:hAnsi="Times New Roman" w:cs="Times New Roman"/>
          <w:b/>
          <w:sz w:val="24"/>
          <w:szCs w:val="24"/>
        </w:rPr>
        <w:t>ч. 2 ст. 14.7 КоАП РФ</w:t>
      </w:r>
      <w:r w:rsidRPr="0066263B">
        <w:rPr>
          <w:rFonts w:ascii="Times New Roman" w:eastAsia="Calibri" w:hAnsi="Times New Roman" w:cs="Times New Roman"/>
          <w:sz w:val="24"/>
          <w:szCs w:val="24"/>
        </w:rPr>
        <w:t>), что на 1 протокол больше предыдущего года (2020 – 1);</w:t>
      </w:r>
      <w:proofErr w:type="gramEnd"/>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b/>
          <w:sz w:val="24"/>
          <w:szCs w:val="24"/>
        </w:rPr>
      </w:pPr>
      <w:r w:rsidRPr="0066263B">
        <w:rPr>
          <w:rFonts w:ascii="Times New Roman" w:eastAsia="Calibri" w:hAnsi="Times New Roman" w:cs="Times New Roman"/>
          <w:b/>
          <w:sz w:val="24"/>
          <w:szCs w:val="24"/>
        </w:rPr>
        <w:t xml:space="preserve">2 </w:t>
      </w:r>
      <w:r w:rsidRPr="0066263B">
        <w:rPr>
          <w:rFonts w:ascii="Times New Roman" w:eastAsia="Calibri" w:hAnsi="Times New Roman" w:cs="Times New Roman"/>
          <w:sz w:val="24"/>
          <w:szCs w:val="24"/>
        </w:rPr>
        <w:t>случая (0,2%) несоблюдения ограничений в сфере торговли табачной продукцией и табачными изделиями (</w:t>
      </w:r>
      <w:proofErr w:type="gramStart"/>
      <w:r w:rsidRPr="0066263B">
        <w:rPr>
          <w:rFonts w:ascii="Times New Roman" w:eastAsia="Calibri" w:hAnsi="Times New Roman" w:cs="Times New Roman"/>
          <w:b/>
          <w:sz w:val="24"/>
          <w:szCs w:val="24"/>
        </w:rPr>
        <w:t>ч</w:t>
      </w:r>
      <w:proofErr w:type="gramEnd"/>
      <w:r w:rsidRPr="0066263B">
        <w:rPr>
          <w:rFonts w:ascii="Times New Roman" w:eastAsia="Calibri" w:hAnsi="Times New Roman" w:cs="Times New Roman"/>
          <w:b/>
          <w:sz w:val="24"/>
          <w:szCs w:val="24"/>
        </w:rPr>
        <w:t>. 1 ст. 14.53 КоАП РФ</w:t>
      </w:r>
      <w:r w:rsidRPr="0066263B">
        <w:rPr>
          <w:rFonts w:ascii="Times New Roman" w:eastAsia="Calibri" w:hAnsi="Times New Roman" w:cs="Times New Roman"/>
          <w:sz w:val="24"/>
          <w:szCs w:val="24"/>
        </w:rPr>
        <w:t xml:space="preserve">), что на 1 протоколов </w:t>
      </w:r>
      <w:proofErr w:type="spellStart"/>
      <w:r w:rsidRPr="0066263B">
        <w:rPr>
          <w:rFonts w:ascii="Times New Roman" w:eastAsia="Calibri" w:hAnsi="Times New Roman" w:cs="Times New Roman"/>
          <w:sz w:val="24"/>
          <w:szCs w:val="24"/>
        </w:rPr>
        <w:t>боьше</w:t>
      </w:r>
      <w:proofErr w:type="spellEnd"/>
      <w:r w:rsidRPr="0066263B">
        <w:rPr>
          <w:rFonts w:ascii="Times New Roman" w:eastAsia="Calibri" w:hAnsi="Times New Roman" w:cs="Times New Roman"/>
          <w:sz w:val="24"/>
          <w:szCs w:val="24"/>
        </w:rPr>
        <w:t>, чем в предыдущем году (2020 – 1);</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sz w:val="24"/>
          <w:szCs w:val="24"/>
        </w:rPr>
      </w:pPr>
      <w:r w:rsidRPr="0066263B">
        <w:rPr>
          <w:rFonts w:ascii="Times New Roman" w:eastAsia="Calibri" w:hAnsi="Times New Roman" w:cs="Times New Roman"/>
          <w:b/>
          <w:sz w:val="24"/>
          <w:szCs w:val="24"/>
        </w:rPr>
        <w:t xml:space="preserve">1 </w:t>
      </w:r>
      <w:r w:rsidRPr="0066263B">
        <w:rPr>
          <w:rFonts w:ascii="Times New Roman" w:eastAsia="Calibri" w:hAnsi="Times New Roman" w:cs="Times New Roman"/>
          <w:sz w:val="24"/>
          <w:szCs w:val="24"/>
        </w:rPr>
        <w:t>случай (0,1%) умышленного невыполнения законных требований должностного лица, осуществляющего производство по делу об административном правонарушении (</w:t>
      </w:r>
      <w:r w:rsidRPr="0066263B">
        <w:rPr>
          <w:rFonts w:ascii="Times New Roman" w:eastAsia="Calibri" w:hAnsi="Times New Roman" w:cs="Times New Roman"/>
          <w:b/>
          <w:sz w:val="24"/>
          <w:szCs w:val="24"/>
        </w:rPr>
        <w:t>ст. 17.7 КоАП РФ</w:t>
      </w:r>
      <w:r w:rsidRPr="0066263B">
        <w:rPr>
          <w:rFonts w:ascii="Times New Roman" w:eastAsia="Calibri" w:hAnsi="Times New Roman" w:cs="Times New Roman"/>
          <w:sz w:val="24"/>
          <w:szCs w:val="24"/>
        </w:rPr>
        <w:t>), что на 2 протокола меньше, чем в 2020 году (2020 – 3);</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b/>
          <w:sz w:val="24"/>
          <w:szCs w:val="24"/>
        </w:rPr>
      </w:pPr>
      <w:r w:rsidRPr="0066263B">
        <w:rPr>
          <w:rFonts w:ascii="Times New Roman" w:eastAsia="Calibri" w:hAnsi="Times New Roman" w:cs="Times New Roman"/>
          <w:b/>
          <w:sz w:val="24"/>
          <w:szCs w:val="24"/>
        </w:rPr>
        <w:t xml:space="preserve">1 </w:t>
      </w:r>
      <w:r w:rsidRPr="0066263B">
        <w:rPr>
          <w:rFonts w:ascii="Times New Roman" w:eastAsia="Calibri" w:hAnsi="Times New Roman" w:cs="Times New Roman"/>
          <w:sz w:val="24"/>
          <w:szCs w:val="24"/>
        </w:rPr>
        <w:t xml:space="preserve">случай (0,1%) повторного совершения административного правонарушения, предусмотренного </w:t>
      </w:r>
      <w:proofErr w:type="gramStart"/>
      <w:r w:rsidRPr="0066263B">
        <w:rPr>
          <w:rFonts w:ascii="Times New Roman" w:eastAsia="Calibri" w:hAnsi="Times New Roman" w:cs="Times New Roman"/>
          <w:sz w:val="24"/>
          <w:szCs w:val="24"/>
        </w:rPr>
        <w:t>ч</w:t>
      </w:r>
      <w:proofErr w:type="gramEnd"/>
      <w:r w:rsidRPr="0066263B">
        <w:rPr>
          <w:rFonts w:ascii="Times New Roman" w:eastAsia="Calibri" w:hAnsi="Times New Roman" w:cs="Times New Roman"/>
          <w:sz w:val="24"/>
          <w:szCs w:val="24"/>
        </w:rPr>
        <w:t>. 2 ст. 14.43 КоАП РФ</w:t>
      </w:r>
      <w:r w:rsidRPr="0066263B">
        <w:rPr>
          <w:rFonts w:ascii="Times New Roman" w:eastAsia="Calibri" w:hAnsi="Times New Roman" w:cs="Times New Roman"/>
          <w:b/>
          <w:sz w:val="24"/>
          <w:szCs w:val="24"/>
        </w:rPr>
        <w:t xml:space="preserve"> (ч. 3 ст. 14.43 КоАП РФ)</w:t>
      </w:r>
      <w:r w:rsidRPr="0066263B">
        <w:rPr>
          <w:rFonts w:ascii="Times New Roman" w:eastAsia="Calibri" w:hAnsi="Times New Roman" w:cs="Times New Roman"/>
          <w:sz w:val="24"/>
          <w:szCs w:val="24"/>
        </w:rPr>
        <w:t>, что аналогично 2020 году (2020 – 1);</w:t>
      </w:r>
    </w:p>
    <w:p w:rsidR="00BC233A" w:rsidRPr="0066263B" w:rsidRDefault="00BC233A" w:rsidP="00BC233A">
      <w:pPr>
        <w:numPr>
          <w:ilvl w:val="0"/>
          <w:numId w:val="16"/>
        </w:numPr>
        <w:shd w:val="clear" w:color="auto" w:fill="FFFFFF"/>
        <w:spacing w:before="0" w:after="0"/>
        <w:ind w:left="0" w:firstLine="567"/>
        <w:rPr>
          <w:rFonts w:ascii="Times New Roman" w:eastAsia="Calibri" w:hAnsi="Times New Roman" w:cs="Times New Roman"/>
          <w:b/>
          <w:sz w:val="24"/>
          <w:szCs w:val="24"/>
        </w:rPr>
      </w:pPr>
      <w:proofErr w:type="gramStart"/>
      <w:r w:rsidRPr="0066263B">
        <w:rPr>
          <w:rFonts w:ascii="Times New Roman" w:eastAsia="Calibri" w:hAnsi="Times New Roman" w:cs="Times New Roman"/>
          <w:b/>
          <w:sz w:val="24"/>
          <w:szCs w:val="24"/>
        </w:rPr>
        <w:t xml:space="preserve">1 </w:t>
      </w:r>
      <w:r w:rsidRPr="0066263B">
        <w:rPr>
          <w:rFonts w:ascii="Times New Roman" w:eastAsia="Calibri" w:hAnsi="Times New Roman" w:cs="Times New Roman"/>
          <w:sz w:val="24"/>
          <w:szCs w:val="24"/>
        </w:rPr>
        <w:t xml:space="preserve">случай по (0,1%) неисполнения обязанности по обеспечению возможности оплаты товаров (работ, услуг) путём наличных расчётов или с использованием национальных платежных инструментов в рамках национальной системы платёжных карт по выбору потребителя, если в соответствии с федеральным законом обеспечение </w:t>
      </w:r>
      <w:r w:rsidRPr="0066263B">
        <w:rPr>
          <w:rFonts w:ascii="Times New Roman" w:eastAsia="Calibri" w:hAnsi="Times New Roman" w:cs="Times New Roman"/>
          <w:sz w:val="24"/>
          <w:szCs w:val="24"/>
        </w:rPr>
        <w:lastRenderedPageBreak/>
        <w:t>такой возможности является обязательным, либо нарушение иных установленных законом прав потребителя, связанных с оплатой товаров (работ, услуг) (</w:t>
      </w:r>
      <w:r w:rsidRPr="0066263B">
        <w:rPr>
          <w:rFonts w:ascii="Times New Roman" w:eastAsia="Calibri" w:hAnsi="Times New Roman" w:cs="Times New Roman"/>
          <w:b/>
          <w:sz w:val="24"/>
          <w:szCs w:val="24"/>
        </w:rPr>
        <w:t>ч. 4 ст. 14.8 КоАП</w:t>
      </w:r>
      <w:proofErr w:type="gramEnd"/>
      <w:r w:rsidRPr="0066263B">
        <w:rPr>
          <w:rFonts w:ascii="Times New Roman" w:eastAsia="Calibri" w:hAnsi="Times New Roman" w:cs="Times New Roman"/>
          <w:b/>
          <w:sz w:val="24"/>
          <w:szCs w:val="24"/>
        </w:rPr>
        <w:t xml:space="preserve"> </w:t>
      </w:r>
      <w:proofErr w:type="gramStart"/>
      <w:r w:rsidRPr="0066263B">
        <w:rPr>
          <w:rFonts w:ascii="Times New Roman" w:eastAsia="Calibri" w:hAnsi="Times New Roman" w:cs="Times New Roman"/>
          <w:b/>
          <w:sz w:val="24"/>
          <w:szCs w:val="24"/>
        </w:rPr>
        <w:t>РФ</w:t>
      </w:r>
      <w:r w:rsidRPr="0066263B">
        <w:rPr>
          <w:rFonts w:ascii="Times New Roman" w:eastAsia="Calibri" w:hAnsi="Times New Roman" w:cs="Times New Roman"/>
          <w:sz w:val="24"/>
          <w:szCs w:val="24"/>
        </w:rPr>
        <w:t>).</w:t>
      </w:r>
      <w:proofErr w:type="gramEnd"/>
    </w:p>
    <w:p w:rsidR="00BC233A" w:rsidRPr="0066263B" w:rsidRDefault="00BC233A" w:rsidP="00BC233A">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Анализ структуры применяемых составов свидетельствует о том, что закономерно наибольший удельный вес составляет нарушение требований в сфере санитарно-эпидемиологического благополучия населения в период возникновения угрозы распространения </w:t>
      </w:r>
      <w:hyperlink r:id="rId121" w:history="1">
        <w:r w:rsidRPr="0066263B">
          <w:rPr>
            <w:rFonts w:ascii="Times New Roman" w:eastAsia="Times New Roman" w:hAnsi="Times New Roman" w:cs="Times New Roman"/>
            <w:sz w:val="24"/>
            <w:szCs w:val="24"/>
            <w:lang w:eastAsia="ru-RU"/>
          </w:rPr>
          <w:t>заболевания</w:t>
        </w:r>
      </w:hyperlink>
      <w:r w:rsidRPr="0066263B">
        <w:rPr>
          <w:rFonts w:ascii="Times New Roman" w:eastAsia="Times New Roman" w:hAnsi="Times New Roman" w:cs="Times New Roman"/>
          <w:sz w:val="24"/>
          <w:szCs w:val="24"/>
          <w:lang w:eastAsia="ru-RU"/>
        </w:rPr>
        <w:t>, представляющего опасность для окружающих.</w:t>
      </w:r>
    </w:p>
    <w:p w:rsidR="00BC233A" w:rsidRPr="0066263B" w:rsidRDefault="00BC233A" w:rsidP="00BC233A">
      <w:pPr>
        <w:shd w:val="clear" w:color="auto" w:fill="FFFFFF"/>
        <w:spacing w:before="0" w:after="0"/>
        <w:ind w:firstLine="709"/>
        <w:rPr>
          <w:rFonts w:ascii="Times New Roman" w:eastAsia="Times New Roman" w:hAnsi="Times New Roman" w:cs="Times New Roman"/>
          <w:sz w:val="24"/>
          <w:szCs w:val="24"/>
          <w:lang w:eastAsia="ru-RU"/>
        </w:rPr>
      </w:pPr>
    </w:p>
    <w:p w:rsidR="00BC233A" w:rsidRPr="0066263B" w:rsidRDefault="00BC233A" w:rsidP="00BC233A">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зависимости от субъектов правоотношений в течение 2021 года составлено 987 протоколов об административном правонарушении (2020 – 522; 2019 – 1 828; 2018 – 2 015), из которых:</w:t>
      </w:r>
    </w:p>
    <w:p w:rsidR="00BC233A" w:rsidRPr="0066263B" w:rsidRDefault="00BC233A" w:rsidP="00BC233A">
      <w:pPr>
        <w:numPr>
          <w:ilvl w:val="0"/>
          <w:numId w:val="10"/>
        </w:numPr>
        <w:spacing w:before="0" w:after="0"/>
        <w:ind w:left="851" w:hanging="142"/>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 xml:space="preserve">54 протокола в отношении индивидуальных предпринимателей, что составляет 5,5% (2020 – 75 или 14,4%; 2019 </w:t>
      </w:r>
      <w:r w:rsidRPr="0066263B">
        <w:rPr>
          <w:rFonts w:ascii="Times New Roman" w:eastAsia="Times New Roman" w:hAnsi="Times New Roman" w:cs="Times New Roman"/>
          <w:sz w:val="24"/>
          <w:szCs w:val="24"/>
          <w:lang w:eastAsia="ru-RU"/>
        </w:rPr>
        <w:t xml:space="preserve">– </w:t>
      </w:r>
      <w:r w:rsidRPr="0066263B">
        <w:rPr>
          <w:rFonts w:ascii="Times New Roman" w:eastAsia="TimesNewRomanPSMT" w:hAnsi="Times New Roman" w:cs="Times New Roman"/>
          <w:sz w:val="24"/>
          <w:szCs w:val="24"/>
        </w:rPr>
        <w:t>310 или 17%</w:t>
      </w:r>
      <w:r w:rsidR="00FD0C95">
        <w:rPr>
          <w:rFonts w:ascii="Times New Roman" w:eastAsia="TimesNewRomanPSMT" w:hAnsi="Times New Roman" w:cs="Times New Roman"/>
          <w:sz w:val="24"/>
          <w:szCs w:val="24"/>
        </w:rPr>
        <w:t>;</w:t>
      </w:r>
      <w:r w:rsidRPr="0066263B">
        <w:rPr>
          <w:rFonts w:ascii="Times New Roman" w:eastAsia="TimesNewRomanPSMT" w:hAnsi="Times New Roman" w:cs="Times New Roman"/>
          <w:sz w:val="24"/>
          <w:szCs w:val="24"/>
        </w:rPr>
        <w:t xml:space="preserve"> 2018 </w:t>
      </w:r>
      <w:r w:rsidRPr="0066263B">
        <w:rPr>
          <w:rFonts w:ascii="Times New Roman" w:eastAsia="Times New Roman" w:hAnsi="Times New Roman" w:cs="Times New Roman"/>
          <w:sz w:val="24"/>
          <w:szCs w:val="24"/>
          <w:lang w:eastAsia="ru-RU"/>
        </w:rPr>
        <w:t xml:space="preserve">– </w:t>
      </w:r>
      <w:r w:rsidRPr="0066263B">
        <w:rPr>
          <w:rFonts w:ascii="Times New Roman" w:eastAsia="TimesNewRomanPSMT" w:hAnsi="Times New Roman" w:cs="Times New Roman"/>
          <w:sz w:val="24"/>
          <w:szCs w:val="24"/>
        </w:rPr>
        <w:t>176 или 8,7%);</w:t>
      </w:r>
    </w:p>
    <w:p w:rsidR="00BC233A" w:rsidRPr="0066263B" w:rsidRDefault="00BC233A" w:rsidP="00BC233A">
      <w:pPr>
        <w:numPr>
          <w:ilvl w:val="0"/>
          <w:numId w:val="10"/>
        </w:numPr>
        <w:spacing w:before="0" w:after="0"/>
        <w:ind w:left="851" w:hanging="142"/>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 xml:space="preserve">205 протоколов в отношении юридических лиц, что составляет 20,8% (2020 – 123 или 23,5%; 2019 </w:t>
      </w:r>
      <w:r w:rsidRPr="0066263B">
        <w:rPr>
          <w:rFonts w:ascii="Times New Roman" w:eastAsia="Times New Roman" w:hAnsi="Times New Roman" w:cs="Times New Roman"/>
          <w:sz w:val="24"/>
          <w:szCs w:val="24"/>
          <w:lang w:eastAsia="ru-RU"/>
        </w:rPr>
        <w:t xml:space="preserve">– </w:t>
      </w:r>
      <w:r w:rsidRPr="0066263B">
        <w:rPr>
          <w:rFonts w:ascii="Times New Roman" w:eastAsia="TimesNewRomanPSMT" w:hAnsi="Times New Roman" w:cs="Times New Roman"/>
          <w:sz w:val="24"/>
          <w:szCs w:val="24"/>
        </w:rPr>
        <w:t xml:space="preserve">329 или 18%; 2018 </w:t>
      </w:r>
      <w:r w:rsidRPr="0066263B">
        <w:rPr>
          <w:rFonts w:ascii="Times New Roman" w:eastAsia="Times New Roman" w:hAnsi="Times New Roman" w:cs="Times New Roman"/>
          <w:sz w:val="24"/>
          <w:szCs w:val="24"/>
          <w:lang w:eastAsia="ru-RU"/>
        </w:rPr>
        <w:t xml:space="preserve">– </w:t>
      </w:r>
      <w:r w:rsidRPr="0066263B">
        <w:rPr>
          <w:rFonts w:ascii="Times New Roman" w:eastAsia="TimesNewRomanPSMT" w:hAnsi="Times New Roman" w:cs="Times New Roman"/>
          <w:sz w:val="24"/>
          <w:szCs w:val="24"/>
        </w:rPr>
        <w:t>354 или 17,5%);</w:t>
      </w:r>
    </w:p>
    <w:p w:rsidR="00BC233A" w:rsidRPr="0066263B" w:rsidRDefault="00BC233A" w:rsidP="00BC233A">
      <w:pPr>
        <w:numPr>
          <w:ilvl w:val="0"/>
          <w:numId w:val="10"/>
        </w:numPr>
        <w:spacing w:before="0" w:after="0"/>
        <w:ind w:left="851" w:hanging="142"/>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 xml:space="preserve">308 протоколов в отношении должностных лиц, что составляет 31,2% (2020 – 161 или 30,8%; 2019 </w:t>
      </w:r>
      <w:r w:rsidRPr="0066263B">
        <w:rPr>
          <w:rFonts w:ascii="Times New Roman" w:eastAsia="Times New Roman" w:hAnsi="Times New Roman" w:cs="Times New Roman"/>
          <w:sz w:val="24"/>
          <w:szCs w:val="24"/>
          <w:lang w:eastAsia="ru-RU"/>
        </w:rPr>
        <w:t xml:space="preserve">– </w:t>
      </w:r>
      <w:r w:rsidRPr="0066263B">
        <w:rPr>
          <w:rFonts w:ascii="Times New Roman" w:eastAsia="TimesNewRomanPSMT" w:hAnsi="Times New Roman" w:cs="Times New Roman"/>
          <w:sz w:val="24"/>
          <w:szCs w:val="24"/>
        </w:rPr>
        <w:t xml:space="preserve">602 или 33%; 2018 </w:t>
      </w:r>
      <w:r w:rsidRPr="0066263B">
        <w:rPr>
          <w:rFonts w:ascii="Times New Roman" w:eastAsia="Times New Roman" w:hAnsi="Times New Roman" w:cs="Times New Roman"/>
          <w:sz w:val="24"/>
          <w:szCs w:val="24"/>
          <w:lang w:eastAsia="ru-RU"/>
        </w:rPr>
        <w:t xml:space="preserve">– </w:t>
      </w:r>
      <w:r w:rsidRPr="0066263B">
        <w:rPr>
          <w:rFonts w:ascii="Times New Roman" w:eastAsia="TimesNewRomanPSMT" w:hAnsi="Times New Roman" w:cs="Times New Roman"/>
          <w:sz w:val="24"/>
          <w:szCs w:val="24"/>
        </w:rPr>
        <w:t>854 или 42,4%);</w:t>
      </w:r>
    </w:p>
    <w:p w:rsidR="00BC233A" w:rsidRPr="0066263B" w:rsidRDefault="00BC233A" w:rsidP="00BC233A">
      <w:pPr>
        <w:numPr>
          <w:ilvl w:val="0"/>
          <w:numId w:val="10"/>
        </w:numPr>
        <w:spacing w:before="0" w:after="0"/>
        <w:ind w:left="851" w:hanging="142"/>
        <w:rPr>
          <w:rFonts w:ascii="Times New Roman" w:eastAsia="TimesNewRomanPSMT" w:hAnsi="Times New Roman" w:cs="Times New Roman"/>
          <w:sz w:val="24"/>
          <w:szCs w:val="24"/>
        </w:rPr>
      </w:pPr>
      <w:r w:rsidRPr="0066263B">
        <w:rPr>
          <w:rFonts w:ascii="Times New Roman" w:eastAsia="TimesNewRomanPSMT" w:hAnsi="Times New Roman" w:cs="Times New Roman"/>
          <w:sz w:val="24"/>
          <w:szCs w:val="24"/>
        </w:rPr>
        <w:t xml:space="preserve">420 протоколов в отношении граждан, что составляет 42,5% (2020 – 163 или 31,2%; 2019 </w:t>
      </w:r>
      <w:r w:rsidRPr="0066263B">
        <w:rPr>
          <w:rFonts w:ascii="Times New Roman" w:eastAsia="Times New Roman" w:hAnsi="Times New Roman" w:cs="Times New Roman"/>
          <w:sz w:val="24"/>
          <w:szCs w:val="24"/>
          <w:lang w:eastAsia="ru-RU"/>
        </w:rPr>
        <w:t xml:space="preserve">– </w:t>
      </w:r>
      <w:r w:rsidRPr="0066263B">
        <w:rPr>
          <w:rFonts w:ascii="Times New Roman" w:eastAsia="TimesNewRomanPSMT" w:hAnsi="Times New Roman" w:cs="Times New Roman"/>
          <w:sz w:val="24"/>
          <w:szCs w:val="24"/>
        </w:rPr>
        <w:t xml:space="preserve">587 или 32%; 2018 </w:t>
      </w:r>
      <w:r w:rsidRPr="0066263B">
        <w:rPr>
          <w:rFonts w:ascii="Times New Roman" w:eastAsia="Times New Roman" w:hAnsi="Times New Roman" w:cs="Times New Roman"/>
          <w:sz w:val="24"/>
          <w:szCs w:val="24"/>
          <w:lang w:eastAsia="ru-RU"/>
        </w:rPr>
        <w:t xml:space="preserve">– </w:t>
      </w:r>
      <w:r w:rsidRPr="0066263B">
        <w:rPr>
          <w:rFonts w:ascii="Times New Roman" w:eastAsia="TimesNewRomanPSMT" w:hAnsi="Times New Roman" w:cs="Times New Roman"/>
          <w:sz w:val="24"/>
          <w:szCs w:val="24"/>
        </w:rPr>
        <w:t>631 или 31,3%).</w:t>
      </w:r>
    </w:p>
    <w:p w:rsidR="00BC233A" w:rsidRPr="0066263B" w:rsidRDefault="00BC233A" w:rsidP="00BC233A">
      <w:pPr>
        <w:shd w:val="clear" w:color="auto" w:fill="FFFFFF"/>
        <w:spacing w:before="0" w:after="0"/>
        <w:ind w:firstLine="709"/>
        <w:rPr>
          <w:rFonts w:ascii="Times New Roman" w:eastAsia="Times New Roman" w:hAnsi="Times New Roman" w:cs="Times New Roman"/>
          <w:sz w:val="24"/>
          <w:szCs w:val="24"/>
          <w:lang w:eastAsia="ru-RU"/>
        </w:rPr>
      </w:pPr>
    </w:p>
    <w:p w:rsidR="00BC233A" w:rsidRPr="0066263B" w:rsidRDefault="00BC233A" w:rsidP="00BC233A">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Анализ данных показателей свидетельствует:</w:t>
      </w:r>
    </w:p>
    <w:p w:rsidR="00BC233A" w:rsidRPr="0066263B" w:rsidRDefault="00BC233A" w:rsidP="00BC233A">
      <w:pPr>
        <w:numPr>
          <w:ilvl w:val="0"/>
          <w:numId w:val="28"/>
        </w:numPr>
        <w:spacing w:before="0" w:after="0"/>
        <w:ind w:left="993"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росте общего числа возбуждённых дел об административном правонарушении;</w:t>
      </w:r>
    </w:p>
    <w:p w:rsidR="00BC233A" w:rsidRPr="0066263B" w:rsidRDefault="00BC233A" w:rsidP="00BC233A">
      <w:pPr>
        <w:numPr>
          <w:ilvl w:val="0"/>
          <w:numId w:val="28"/>
        </w:numPr>
        <w:spacing w:before="0" w:after="0"/>
        <w:ind w:left="993"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росте удельного веса привлечённых к ответственности граждан;</w:t>
      </w:r>
    </w:p>
    <w:p w:rsidR="00BC233A" w:rsidRPr="0066263B" w:rsidRDefault="00BC233A" w:rsidP="00BC233A">
      <w:pPr>
        <w:numPr>
          <w:ilvl w:val="0"/>
          <w:numId w:val="28"/>
        </w:numPr>
        <w:spacing w:before="0" w:after="0"/>
        <w:ind w:left="993"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незначительном увеличении роста удельного веса привлечённых к ответственности должностных лиц;</w:t>
      </w:r>
    </w:p>
    <w:p w:rsidR="00BC233A" w:rsidRPr="0066263B" w:rsidRDefault="00BC233A" w:rsidP="00BC233A">
      <w:pPr>
        <w:numPr>
          <w:ilvl w:val="0"/>
          <w:numId w:val="28"/>
        </w:numPr>
        <w:spacing w:before="0" w:after="0"/>
        <w:ind w:left="993" w:hanging="28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 снижении удельного веса привлечённых к ответственности индивидуальных предпринимателей.</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BC233A" w:rsidRPr="0066263B" w:rsidRDefault="00BC233A" w:rsidP="00BC233A">
      <w:pPr>
        <w:spacing w:before="0" w:after="0"/>
        <w:jc w:val="center"/>
        <w:rPr>
          <w:rFonts w:ascii="Times New Roman" w:eastAsia="Times New Roman" w:hAnsi="Times New Roman" w:cs="Times New Roman"/>
          <w:sz w:val="24"/>
          <w:szCs w:val="24"/>
          <w:lang w:eastAsia="ru-RU"/>
        </w:rPr>
      </w:pPr>
      <w:r w:rsidRPr="0066263B">
        <w:rPr>
          <w:rFonts w:ascii="Times New Roman" w:eastAsia="Times New Roman" w:hAnsi="Times New Roman" w:cs="Times New Roman"/>
          <w:noProof/>
          <w:sz w:val="24"/>
          <w:szCs w:val="24"/>
          <w:lang w:eastAsia="ru-RU"/>
        </w:rPr>
        <w:drawing>
          <wp:inline distT="0" distB="0" distL="0" distR="0">
            <wp:extent cx="5759450" cy="2869478"/>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24483" w:rsidRPr="0066263B" w:rsidRDefault="00324483" w:rsidP="00324483">
      <w:pPr>
        <w:spacing w:before="0" w:after="0"/>
        <w:jc w:val="center"/>
        <w:rPr>
          <w:rFonts w:ascii="Times New Roman" w:eastAsia="TimesNewRomanPSMT" w:hAnsi="Times New Roman" w:cs="Times New Roman"/>
          <w:sz w:val="24"/>
          <w:szCs w:val="24"/>
        </w:rPr>
      </w:pPr>
    </w:p>
    <w:p w:rsidR="00260706" w:rsidRPr="0066263B" w:rsidRDefault="00260706" w:rsidP="00324483">
      <w:pPr>
        <w:spacing w:before="0" w:after="0"/>
        <w:jc w:val="center"/>
        <w:rPr>
          <w:rFonts w:ascii="Times New Roman" w:eastAsia="TimesNewRomanPSMT" w:hAnsi="Times New Roman" w:cs="Times New Roman"/>
          <w:sz w:val="24"/>
          <w:szCs w:val="24"/>
        </w:rPr>
      </w:pPr>
    </w:p>
    <w:p w:rsidR="00324483" w:rsidRPr="0066263B" w:rsidRDefault="00324483" w:rsidP="00324483">
      <w:pPr>
        <w:shd w:val="clear" w:color="auto" w:fill="FFFFFF"/>
        <w:spacing w:before="0" w:after="0"/>
        <w:jc w:val="center"/>
        <w:rPr>
          <w:rFonts w:ascii="Times New Roman" w:eastAsia="Times New Roman" w:hAnsi="Times New Roman" w:cs="Times New Roman"/>
          <w:lang w:eastAsia="ru-RU"/>
        </w:rPr>
      </w:pPr>
      <w:r w:rsidRPr="0066263B">
        <w:rPr>
          <w:rFonts w:ascii="Times New Roman" w:eastAsia="Times New Roman" w:hAnsi="Times New Roman" w:cs="Times New Roman"/>
          <w:b/>
          <w:bCs/>
          <w:szCs w:val="24"/>
          <w:lang w:eastAsia="ru-RU"/>
        </w:rPr>
        <w:t xml:space="preserve">Рис. </w:t>
      </w:r>
      <w:r w:rsidR="006C34E2" w:rsidRPr="0066263B">
        <w:rPr>
          <w:rFonts w:ascii="Times New Roman" w:eastAsia="Times New Roman" w:hAnsi="Times New Roman" w:cs="Times New Roman"/>
          <w:b/>
          <w:bCs/>
          <w:szCs w:val="24"/>
          <w:lang w:eastAsia="ru-RU"/>
        </w:rPr>
        <w:fldChar w:fldCharType="begin"/>
      </w:r>
      <w:r w:rsidRPr="0066263B">
        <w:rPr>
          <w:rFonts w:ascii="Times New Roman" w:eastAsia="Times New Roman" w:hAnsi="Times New Roman" w:cs="Times New Roman"/>
          <w:b/>
          <w:bCs/>
          <w:szCs w:val="24"/>
          <w:lang w:eastAsia="ru-RU"/>
        </w:rPr>
        <w:instrText xml:space="preserve"> SEQ Рис._№ \* ARABIC </w:instrText>
      </w:r>
      <w:r w:rsidR="006C34E2" w:rsidRPr="0066263B">
        <w:rPr>
          <w:rFonts w:ascii="Times New Roman" w:eastAsia="Times New Roman" w:hAnsi="Times New Roman" w:cs="Times New Roman"/>
          <w:b/>
          <w:bCs/>
          <w:szCs w:val="24"/>
          <w:lang w:eastAsia="ru-RU"/>
        </w:rPr>
        <w:fldChar w:fldCharType="separate"/>
      </w:r>
      <w:r w:rsidR="00EC1D99">
        <w:rPr>
          <w:rFonts w:ascii="Times New Roman" w:eastAsia="Times New Roman" w:hAnsi="Times New Roman" w:cs="Times New Roman"/>
          <w:b/>
          <w:bCs/>
          <w:noProof/>
          <w:szCs w:val="24"/>
          <w:lang w:eastAsia="ru-RU"/>
        </w:rPr>
        <w:t>99</w:t>
      </w:r>
      <w:r w:rsidR="006C34E2" w:rsidRPr="0066263B">
        <w:rPr>
          <w:rFonts w:ascii="Times New Roman" w:eastAsia="Times New Roman" w:hAnsi="Times New Roman" w:cs="Times New Roman"/>
          <w:b/>
          <w:bCs/>
          <w:szCs w:val="24"/>
          <w:lang w:eastAsia="ru-RU"/>
        </w:rPr>
        <w:fldChar w:fldCharType="end"/>
      </w:r>
      <w:r w:rsidRPr="0066263B">
        <w:rPr>
          <w:rFonts w:ascii="Times New Roman" w:eastAsia="Times New Roman" w:hAnsi="Times New Roman" w:cs="Times New Roman"/>
          <w:b/>
          <w:bCs/>
          <w:szCs w:val="24"/>
          <w:lang w:eastAsia="ru-RU"/>
        </w:rPr>
        <w:t>.</w:t>
      </w:r>
      <w:r w:rsidRPr="0066263B">
        <w:rPr>
          <w:rFonts w:ascii="Times New Roman" w:eastAsia="Times New Roman" w:hAnsi="Times New Roman" w:cs="Times New Roman"/>
          <w:b/>
          <w:lang w:eastAsia="ru-RU"/>
        </w:rPr>
        <w:t xml:space="preserve"> </w:t>
      </w:r>
      <w:r w:rsidRPr="0066263B">
        <w:rPr>
          <w:rFonts w:ascii="Times New Roman" w:eastAsia="Times New Roman" w:hAnsi="Times New Roman" w:cs="Times New Roman"/>
          <w:lang w:eastAsia="ru-RU"/>
        </w:rPr>
        <w:t>Количество составленных протоколов по субъектам правоотношений, абс.</w:t>
      </w:r>
    </w:p>
    <w:p w:rsidR="00BC233A" w:rsidRPr="0066263B" w:rsidRDefault="00BC233A" w:rsidP="00845807">
      <w:pPr>
        <w:shd w:val="clear" w:color="auto" w:fill="FFFFFF"/>
        <w:spacing w:before="0" w:after="0"/>
        <w:ind w:firstLine="709"/>
        <w:rPr>
          <w:rFonts w:ascii="Times New Roman" w:eastAsia="Times New Roman" w:hAnsi="Times New Roman" w:cs="Times New Roman"/>
          <w:sz w:val="24"/>
          <w:szCs w:val="24"/>
          <w:lang w:eastAsia="ru-RU"/>
        </w:rPr>
      </w:pPr>
    </w:p>
    <w:p w:rsidR="00BC233A" w:rsidRPr="0066263B" w:rsidRDefault="00BC233A" w:rsidP="00845807">
      <w:pPr>
        <w:shd w:val="clear" w:color="auto" w:fill="FFFFFF"/>
        <w:spacing w:before="0" w:after="0"/>
        <w:ind w:firstLine="709"/>
        <w:rPr>
          <w:rFonts w:ascii="Times New Roman" w:eastAsia="Times New Roman" w:hAnsi="Times New Roman" w:cs="Times New Roman"/>
          <w:sz w:val="24"/>
          <w:szCs w:val="24"/>
          <w:lang w:eastAsia="ru-RU"/>
        </w:rPr>
      </w:pPr>
    </w:p>
    <w:p w:rsidR="00BC233A" w:rsidRPr="0066263B" w:rsidRDefault="00BC233A" w:rsidP="0084580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Среднее количество возбуждённых административных дел на одно должностное лицо, выполняющее функции по контролю</w:t>
      </w:r>
      <w:r w:rsidR="00FD0C95">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в 2021 году составило – 21,4 (2020 – 25,2; 2019 – 27,1; 2018 – 32,5).</w:t>
      </w:r>
    </w:p>
    <w:p w:rsidR="00BC233A" w:rsidRPr="0066263B" w:rsidRDefault="00BC233A" w:rsidP="00845807">
      <w:pPr>
        <w:shd w:val="clear" w:color="auto" w:fill="FFFFFF"/>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111</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Количество возбуждённых дел об административном правонарушении</w:t>
      </w:r>
      <w:r w:rsidRPr="0066263B">
        <w:rPr>
          <w:rFonts w:ascii="Times New Roman" w:eastAsia="Times New Roman" w:hAnsi="Times New Roman" w:cs="Times New Roman"/>
          <w:b/>
          <w:bCs/>
          <w:lang w:eastAsia="ru-RU"/>
        </w:rPr>
        <w:br/>
        <w:t>и применённых составов</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3"/>
        <w:gridCol w:w="866"/>
        <w:gridCol w:w="866"/>
        <w:gridCol w:w="866"/>
        <w:gridCol w:w="866"/>
        <w:gridCol w:w="866"/>
        <w:gridCol w:w="862"/>
      </w:tblGrid>
      <w:tr w:rsidR="00BC233A" w:rsidRPr="0066263B" w:rsidTr="00BC233A">
        <w:tc>
          <w:tcPr>
            <w:tcW w:w="2127" w:type="pct"/>
            <w:vMerge w:val="restar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Субъекты</w:t>
            </w:r>
            <w:r w:rsidRPr="0066263B">
              <w:rPr>
                <w:rFonts w:ascii="Times New Roman" w:eastAsia="Times New Roman" w:hAnsi="Times New Roman" w:cs="Times New Roman"/>
                <w:b/>
                <w:bCs/>
                <w:i/>
                <w:iCs/>
                <w:lang w:eastAsia="ru-RU"/>
              </w:rPr>
              <w:br/>
              <w:t>правоотношений</w:t>
            </w:r>
          </w:p>
        </w:tc>
        <w:tc>
          <w:tcPr>
            <w:tcW w:w="958" w:type="pct"/>
            <w:gridSpan w:val="2"/>
            <w:vAlign w:val="center"/>
          </w:tcPr>
          <w:p w:rsidR="00BC233A" w:rsidRPr="0066263B" w:rsidRDefault="00BC233A" w:rsidP="00BC233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958" w:type="pct"/>
            <w:gridSpan w:val="2"/>
            <w:vAlign w:val="center"/>
          </w:tcPr>
          <w:p w:rsidR="00BC233A" w:rsidRPr="0066263B" w:rsidRDefault="00BC233A" w:rsidP="00BC233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956" w:type="pct"/>
            <w:gridSpan w:val="2"/>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BC233A" w:rsidRPr="0066263B" w:rsidTr="00BC233A">
        <w:tc>
          <w:tcPr>
            <w:tcW w:w="2127" w:type="pct"/>
            <w:vMerge/>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p>
        </w:tc>
        <w:tc>
          <w:tcPr>
            <w:tcW w:w="479"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479"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доля, %</w:t>
            </w:r>
          </w:p>
        </w:tc>
        <w:tc>
          <w:tcPr>
            <w:tcW w:w="479"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479"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доля, %</w:t>
            </w:r>
          </w:p>
        </w:tc>
        <w:tc>
          <w:tcPr>
            <w:tcW w:w="479"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477"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доля, %</w:t>
            </w:r>
          </w:p>
        </w:tc>
      </w:tr>
      <w:tr w:rsidR="00BC233A" w:rsidRPr="0066263B" w:rsidTr="00BC233A">
        <w:tc>
          <w:tcPr>
            <w:tcW w:w="2127" w:type="pct"/>
          </w:tcPr>
          <w:p w:rsidR="00BC233A" w:rsidRPr="0066263B" w:rsidRDefault="00BC233A"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NewRomanPSMT" w:hAnsi="Times New Roman" w:cs="Times New Roman"/>
              </w:rPr>
              <w:t>Индивидуальные предприниматели</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310</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17,0</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75</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14,4</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54</w:t>
            </w:r>
          </w:p>
        </w:tc>
        <w:tc>
          <w:tcPr>
            <w:tcW w:w="477"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5,5</w:t>
            </w:r>
          </w:p>
        </w:tc>
      </w:tr>
      <w:tr w:rsidR="00BC233A" w:rsidRPr="0066263B" w:rsidTr="00BC233A">
        <w:tc>
          <w:tcPr>
            <w:tcW w:w="2127" w:type="pct"/>
          </w:tcPr>
          <w:p w:rsidR="00BC233A" w:rsidRPr="0066263B" w:rsidRDefault="00BC233A"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NewRomanPSMT" w:hAnsi="Times New Roman" w:cs="Times New Roman"/>
              </w:rPr>
              <w:t>Юридические лица</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329</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18,0</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123</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23,5</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205</w:t>
            </w:r>
          </w:p>
        </w:tc>
        <w:tc>
          <w:tcPr>
            <w:tcW w:w="477"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20,8</w:t>
            </w:r>
          </w:p>
        </w:tc>
      </w:tr>
      <w:tr w:rsidR="00BC233A" w:rsidRPr="0066263B" w:rsidTr="00BC233A">
        <w:tc>
          <w:tcPr>
            <w:tcW w:w="2127" w:type="pct"/>
          </w:tcPr>
          <w:p w:rsidR="00BC233A" w:rsidRPr="0066263B" w:rsidRDefault="00BC233A"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Должностные лица</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602</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32,9</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161</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30,8</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308</w:t>
            </w:r>
          </w:p>
        </w:tc>
        <w:tc>
          <w:tcPr>
            <w:tcW w:w="477"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31,2</w:t>
            </w:r>
          </w:p>
        </w:tc>
      </w:tr>
      <w:tr w:rsidR="00BC233A" w:rsidRPr="0066263B" w:rsidTr="00BC233A">
        <w:tc>
          <w:tcPr>
            <w:tcW w:w="2127" w:type="pct"/>
          </w:tcPr>
          <w:p w:rsidR="00BC233A" w:rsidRPr="0066263B" w:rsidRDefault="00BC233A"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Граждане</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587</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32,1</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163</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31,2</w:t>
            </w:r>
          </w:p>
        </w:tc>
        <w:tc>
          <w:tcPr>
            <w:tcW w:w="479"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420</w:t>
            </w:r>
          </w:p>
        </w:tc>
        <w:tc>
          <w:tcPr>
            <w:tcW w:w="477" w:type="pct"/>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42,5</w:t>
            </w:r>
          </w:p>
        </w:tc>
      </w:tr>
      <w:tr w:rsidR="00BC233A" w:rsidRPr="0066263B" w:rsidTr="00BC233A">
        <w:tc>
          <w:tcPr>
            <w:tcW w:w="2127" w:type="pct"/>
          </w:tcPr>
          <w:p w:rsidR="00BC233A" w:rsidRPr="0066263B" w:rsidRDefault="00BC233A"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 протоколов</w:t>
            </w:r>
          </w:p>
        </w:tc>
        <w:tc>
          <w:tcPr>
            <w:tcW w:w="958" w:type="pct"/>
            <w:gridSpan w:val="2"/>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1828</w:t>
            </w:r>
          </w:p>
        </w:tc>
        <w:tc>
          <w:tcPr>
            <w:tcW w:w="958" w:type="pct"/>
            <w:gridSpan w:val="2"/>
            <w:vAlign w:val="center"/>
          </w:tcPr>
          <w:p w:rsidR="00BC233A" w:rsidRPr="0066263B" w:rsidRDefault="00BC233A"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522</w:t>
            </w:r>
          </w:p>
        </w:tc>
        <w:tc>
          <w:tcPr>
            <w:tcW w:w="956" w:type="pct"/>
            <w:gridSpan w:val="2"/>
            <w:vAlign w:val="center"/>
          </w:tcPr>
          <w:p w:rsidR="00BC233A" w:rsidRPr="0066263B" w:rsidRDefault="00BC233A" w:rsidP="0084580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987</w:t>
            </w: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BC233A" w:rsidRPr="0066263B" w:rsidRDefault="00BC233A" w:rsidP="00BC233A">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результатам рассмотрения дел об административных правонарушениях в 2021 году Управлением вынесено 1 404 постановления о привлечении к административной ответственности (2020 – 1 069; 2019 – 2 467; 2018 – 2 424), из них:</w:t>
      </w:r>
    </w:p>
    <w:p w:rsidR="00BC233A" w:rsidRPr="0066263B" w:rsidRDefault="00BC233A" w:rsidP="00BC233A">
      <w:pPr>
        <w:numPr>
          <w:ilvl w:val="0"/>
          <w:numId w:val="17"/>
        </w:numPr>
        <w:spacing w:before="0" w:after="0"/>
        <w:ind w:left="709"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 результатам проверок наложено 1 119 штрафов  на сумму 6 млн. 361 тыс. 100 руб. (2020 – 880 штрафов на сумму 4 млн. 461 тыс. 100 руб.; 2019 – 2 008 штрафов на сумму 19 млн. 506 тыс. 200 руб.; 2018 – 2 165 штрафов на сумму 11 млн. 710 тыс. 500 руб.);</w:t>
      </w:r>
    </w:p>
    <w:p w:rsidR="00BC233A" w:rsidRPr="0066263B" w:rsidRDefault="00BC233A" w:rsidP="00BC233A">
      <w:pPr>
        <w:numPr>
          <w:ilvl w:val="0"/>
          <w:numId w:val="17"/>
        </w:numPr>
        <w:spacing w:before="0" w:after="0"/>
        <w:ind w:left="709"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средняя сумма штрафа составила 5 685 рублей (2020 – 5 069 руб.; 2019 – 9 714 руб.</w:t>
      </w:r>
      <w:r w:rsidR="00FD0C95">
        <w:rPr>
          <w:rFonts w:ascii="Times New Roman" w:eastAsia="Times New Roman" w:hAnsi="Times New Roman" w:cs="Times New Roman"/>
          <w:sz w:val="24"/>
          <w:szCs w:val="24"/>
          <w:lang w:eastAsia="ru-RU"/>
        </w:rPr>
        <w:t>;</w:t>
      </w:r>
      <w:r w:rsidRPr="0066263B">
        <w:rPr>
          <w:rFonts w:ascii="Times New Roman" w:eastAsia="Times New Roman" w:hAnsi="Times New Roman" w:cs="Times New Roman"/>
          <w:sz w:val="24"/>
          <w:szCs w:val="24"/>
          <w:lang w:eastAsia="ru-RU"/>
        </w:rPr>
        <w:t xml:space="preserve"> 2018 – 5 409 руб.);</w:t>
      </w:r>
    </w:p>
    <w:p w:rsidR="00BC233A" w:rsidRPr="0066263B" w:rsidRDefault="00BC233A" w:rsidP="00BC233A">
      <w:pPr>
        <w:numPr>
          <w:ilvl w:val="0"/>
          <w:numId w:val="17"/>
        </w:numPr>
        <w:spacing w:before="0" w:after="0"/>
        <w:ind w:left="709"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вынесено 285 предупреждений (2020 – 189; 2019 – 459; 2018 – 259);</w:t>
      </w:r>
    </w:p>
    <w:p w:rsidR="00BC233A" w:rsidRPr="0066263B" w:rsidRDefault="00BC233A" w:rsidP="00BC233A">
      <w:pPr>
        <w:numPr>
          <w:ilvl w:val="0"/>
          <w:numId w:val="17"/>
        </w:numPr>
        <w:spacing w:before="0" w:after="0"/>
        <w:ind w:left="709"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составлено и направлено на рассмотрение в суд 8  протоколов о временном запрете деятельности (2020 – 18; 2019 – 12; 2018 – 38);</w:t>
      </w:r>
    </w:p>
    <w:p w:rsidR="00BC233A" w:rsidRPr="0066263B" w:rsidRDefault="00BC233A" w:rsidP="00BC233A">
      <w:pPr>
        <w:numPr>
          <w:ilvl w:val="0"/>
          <w:numId w:val="17"/>
        </w:numPr>
        <w:spacing w:before="0" w:after="0"/>
        <w:ind w:left="709" w:hanging="142"/>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число составленных протоколов ареста с целью применения дополнительного вида наказания в виде конфискации предмета административного правонарушения – 18 (2020 – 2; 2019 – 11; 2018 – 18).</w:t>
      </w:r>
    </w:p>
    <w:p w:rsidR="00845807" w:rsidRPr="0066263B" w:rsidRDefault="00845807" w:rsidP="00324483">
      <w:pPr>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112</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Меры административного наказания и обеспечительные меры</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4"/>
        <w:gridCol w:w="838"/>
        <w:gridCol w:w="838"/>
        <w:gridCol w:w="838"/>
        <w:gridCol w:w="838"/>
        <w:gridCol w:w="838"/>
        <w:gridCol w:w="832"/>
      </w:tblGrid>
      <w:tr w:rsidR="00BC233A" w:rsidRPr="0066263B" w:rsidTr="00BC233A">
        <w:trPr>
          <w:trHeight w:val="179"/>
        </w:trPr>
        <w:tc>
          <w:tcPr>
            <w:tcW w:w="2296" w:type="pct"/>
            <w:vMerge w:val="restar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Меры административного наказания</w:t>
            </w:r>
          </w:p>
        </w:tc>
        <w:tc>
          <w:tcPr>
            <w:tcW w:w="902" w:type="pct"/>
            <w:gridSpan w:val="2"/>
            <w:vAlign w:val="center"/>
          </w:tcPr>
          <w:p w:rsidR="00BC233A" w:rsidRPr="0066263B" w:rsidRDefault="00BC233A" w:rsidP="00BC233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902" w:type="pct"/>
            <w:gridSpan w:val="2"/>
            <w:vAlign w:val="center"/>
          </w:tcPr>
          <w:p w:rsidR="00BC233A" w:rsidRPr="0066263B" w:rsidRDefault="00BC233A" w:rsidP="00BC233A">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899" w:type="pct"/>
            <w:gridSpan w:val="2"/>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BC233A" w:rsidRPr="0066263B" w:rsidTr="00BC233A">
        <w:tc>
          <w:tcPr>
            <w:tcW w:w="2296" w:type="pct"/>
            <w:vMerge/>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p>
        </w:tc>
        <w:tc>
          <w:tcPr>
            <w:tcW w:w="451"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451"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доля,</w:t>
            </w:r>
            <w:r w:rsidRPr="0066263B">
              <w:rPr>
                <w:rFonts w:ascii="Times New Roman" w:eastAsia="Times New Roman" w:hAnsi="Times New Roman" w:cs="Times New Roman"/>
                <w:b/>
                <w:bCs/>
                <w:i/>
                <w:iCs/>
                <w:lang w:eastAsia="ru-RU"/>
              </w:rPr>
              <w:br/>
              <w:t>%</w:t>
            </w:r>
          </w:p>
        </w:tc>
        <w:tc>
          <w:tcPr>
            <w:tcW w:w="451"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451"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доля,</w:t>
            </w:r>
            <w:r w:rsidRPr="0066263B">
              <w:rPr>
                <w:rFonts w:ascii="Times New Roman" w:eastAsia="Times New Roman" w:hAnsi="Times New Roman" w:cs="Times New Roman"/>
                <w:b/>
                <w:bCs/>
                <w:i/>
                <w:iCs/>
                <w:lang w:eastAsia="ru-RU"/>
              </w:rPr>
              <w:br/>
              <w:t>%</w:t>
            </w:r>
          </w:p>
        </w:tc>
        <w:tc>
          <w:tcPr>
            <w:tcW w:w="451"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448" w:type="pct"/>
            <w:vAlign w:val="center"/>
          </w:tcPr>
          <w:p w:rsidR="00BC233A" w:rsidRPr="0066263B" w:rsidRDefault="00BC233A"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доля,</w:t>
            </w:r>
            <w:r w:rsidRPr="0066263B">
              <w:rPr>
                <w:rFonts w:ascii="Times New Roman" w:eastAsia="Times New Roman" w:hAnsi="Times New Roman" w:cs="Times New Roman"/>
                <w:b/>
                <w:bCs/>
                <w:i/>
                <w:iCs/>
                <w:lang w:eastAsia="ru-RU"/>
              </w:rPr>
              <w:br/>
              <w:t>%</w:t>
            </w:r>
          </w:p>
        </w:tc>
      </w:tr>
      <w:tr w:rsidR="00335C27" w:rsidRPr="0066263B" w:rsidTr="00BC233A">
        <w:tc>
          <w:tcPr>
            <w:tcW w:w="2296" w:type="pct"/>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Штрафы</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2008</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81,4</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880</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82,3</w:t>
            </w:r>
          </w:p>
        </w:tc>
        <w:tc>
          <w:tcPr>
            <w:tcW w:w="451"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1119</w:t>
            </w:r>
          </w:p>
        </w:tc>
        <w:tc>
          <w:tcPr>
            <w:tcW w:w="448"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80</w:t>
            </w:r>
          </w:p>
        </w:tc>
      </w:tr>
      <w:tr w:rsidR="00335C27" w:rsidRPr="0066263B" w:rsidTr="00BC233A">
        <w:tc>
          <w:tcPr>
            <w:tcW w:w="2296" w:type="pct"/>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Предупреждения</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459</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18,6</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189</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17,7</w:t>
            </w:r>
          </w:p>
        </w:tc>
        <w:tc>
          <w:tcPr>
            <w:tcW w:w="451"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285</w:t>
            </w:r>
          </w:p>
        </w:tc>
        <w:tc>
          <w:tcPr>
            <w:tcW w:w="448"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20,3</w:t>
            </w:r>
          </w:p>
        </w:tc>
      </w:tr>
      <w:tr w:rsidR="00335C27" w:rsidRPr="0066263B" w:rsidTr="00BC233A">
        <w:tc>
          <w:tcPr>
            <w:tcW w:w="2296" w:type="pct"/>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Всего постановлений </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2467</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100</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1069</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p>
        </w:tc>
        <w:tc>
          <w:tcPr>
            <w:tcW w:w="451"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1404</w:t>
            </w:r>
          </w:p>
        </w:tc>
        <w:tc>
          <w:tcPr>
            <w:tcW w:w="448"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p>
        </w:tc>
      </w:tr>
      <w:tr w:rsidR="00335C27" w:rsidRPr="0066263B" w:rsidTr="00BC233A">
        <w:tc>
          <w:tcPr>
            <w:tcW w:w="2296" w:type="pct"/>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 xml:space="preserve">Протоколы ВЗД для </w:t>
            </w:r>
            <w:proofErr w:type="gramStart"/>
            <w:r w:rsidRPr="0066263B">
              <w:rPr>
                <w:rFonts w:ascii="Times New Roman" w:eastAsia="Times New Roman" w:hAnsi="Times New Roman" w:cs="Times New Roman"/>
                <w:lang w:eastAsia="ru-RU"/>
              </w:rPr>
              <w:t>административного</w:t>
            </w:r>
            <w:proofErr w:type="gramEnd"/>
            <w:r w:rsidRPr="0066263B">
              <w:rPr>
                <w:rFonts w:ascii="Times New Roman" w:eastAsia="Times New Roman" w:hAnsi="Times New Roman" w:cs="Times New Roman"/>
                <w:lang w:eastAsia="ru-RU"/>
              </w:rPr>
              <w:t xml:space="preserve"> приостановление деятельности</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p>
        </w:tc>
        <w:tc>
          <w:tcPr>
            <w:tcW w:w="451"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w:t>
            </w:r>
          </w:p>
        </w:tc>
        <w:tc>
          <w:tcPr>
            <w:tcW w:w="448"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p>
        </w:tc>
      </w:tr>
      <w:tr w:rsidR="00335C27" w:rsidRPr="0066263B" w:rsidTr="00BC233A">
        <w:tc>
          <w:tcPr>
            <w:tcW w:w="2296" w:type="pct"/>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Протоколы ареста для конфискации предмета административного правонарушения</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11</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451" w:type="pct"/>
            <w:vAlign w:val="center"/>
          </w:tcPr>
          <w:p w:rsidR="00335C27" w:rsidRPr="0066263B" w:rsidRDefault="00335C27" w:rsidP="00BC233A">
            <w:pPr>
              <w:spacing w:before="20" w:after="20"/>
              <w:jc w:val="center"/>
              <w:rPr>
                <w:rFonts w:ascii="Times New Roman" w:eastAsia="Times New Roman" w:hAnsi="Times New Roman" w:cs="Times New Roman"/>
                <w:lang w:eastAsia="ru-RU"/>
              </w:rPr>
            </w:pPr>
          </w:p>
        </w:tc>
        <w:tc>
          <w:tcPr>
            <w:tcW w:w="451"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18</w:t>
            </w:r>
          </w:p>
        </w:tc>
        <w:tc>
          <w:tcPr>
            <w:tcW w:w="448"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p>
    <w:p w:rsidR="00335C27" w:rsidRPr="0066263B" w:rsidRDefault="00335C27"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В 2021 году Управлением Роспотребнадзора по Брянской области было вынесено 1 404 постановлени</w:t>
      </w:r>
      <w:r w:rsidR="00FD0C95">
        <w:rPr>
          <w:rFonts w:ascii="Times New Roman" w:eastAsia="Times New Roman" w:hAnsi="Times New Roman" w:cs="Times New Roman"/>
          <w:sz w:val="24"/>
          <w:szCs w:val="24"/>
          <w:lang w:eastAsia="ru-RU"/>
        </w:rPr>
        <w:t>я</w:t>
      </w:r>
      <w:r w:rsidRPr="0066263B">
        <w:rPr>
          <w:rFonts w:ascii="Times New Roman" w:eastAsia="Times New Roman" w:hAnsi="Times New Roman" w:cs="Times New Roman"/>
          <w:sz w:val="24"/>
          <w:szCs w:val="24"/>
          <w:lang w:eastAsia="ru-RU"/>
        </w:rPr>
        <w:t xml:space="preserve"> в различных сферах деятельности (2020 – 1 069; 2019 – 2 467; 2018 – 2 424).</w:t>
      </w:r>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Удельный вес постановлений по выявленным правонарушениям в различных сферах деятельности отражён в таблице 1</w:t>
      </w:r>
      <w:r w:rsidR="00260706" w:rsidRPr="0066263B">
        <w:rPr>
          <w:rFonts w:ascii="Times New Roman" w:eastAsia="Times New Roman" w:hAnsi="Times New Roman" w:cs="Times New Roman"/>
          <w:sz w:val="24"/>
          <w:szCs w:val="24"/>
          <w:lang w:eastAsia="ru-RU"/>
        </w:rPr>
        <w:t>13</w:t>
      </w:r>
      <w:r w:rsidRPr="0066263B">
        <w:rPr>
          <w:rFonts w:ascii="Times New Roman" w:eastAsia="Times New Roman" w:hAnsi="Times New Roman" w:cs="Times New Roman"/>
          <w:sz w:val="24"/>
          <w:szCs w:val="24"/>
          <w:lang w:eastAsia="ru-RU"/>
        </w:rPr>
        <w:t>.</w:t>
      </w: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113</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Удельный вес постановлений по выявленным правонарушениям</w:t>
      </w:r>
      <w:r w:rsidRPr="0066263B">
        <w:rPr>
          <w:rFonts w:ascii="Times New Roman" w:eastAsia="Times New Roman" w:hAnsi="Times New Roman" w:cs="Times New Roman"/>
          <w:b/>
          <w:bCs/>
          <w:lang w:eastAsia="ru-RU"/>
        </w:rPr>
        <w:br/>
        <w:t>в различных сферах деятельности</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1"/>
        <w:gridCol w:w="956"/>
        <w:gridCol w:w="957"/>
        <w:gridCol w:w="957"/>
        <w:gridCol w:w="957"/>
      </w:tblGrid>
      <w:tr w:rsidR="00335C27" w:rsidRPr="0066263B" w:rsidTr="0033343B">
        <w:trPr>
          <w:trHeight w:val="134"/>
        </w:trPr>
        <w:tc>
          <w:tcPr>
            <w:tcW w:w="5671" w:type="dxa"/>
            <w:vMerge w:val="restart"/>
            <w:vAlign w:val="center"/>
          </w:tcPr>
          <w:p w:rsidR="00335C27" w:rsidRPr="0066263B" w:rsidRDefault="00335C27"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Сфера деятельности</w:t>
            </w:r>
          </w:p>
        </w:tc>
        <w:tc>
          <w:tcPr>
            <w:tcW w:w="1913" w:type="dxa"/>
            <w:gridSpan w:val="2"/>
            <w:shd w:val="clear" w:color="auto" w:fill="auto"/>
            <w:vAlign w:val="center"/>
          </w:tcPr>
          <w:p w:rsidR="00335C27" w:rsidRPr="0066263B" w:rsidRDefault="00335C27" w:rsidP="005972B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1914" w:type="dxa"/>
            <w:gridSpan w:val="2"/>
            <w:vAlign w:val="center"/>
          </w:tcPr>
          <w:p w:rsidR="00335C27" w:rsidRPr="0066263B" w:rsidRDefault="00335C27"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335C27" w:rsidRPr="0066263B" w:rsidTr="0033343B">
        <w:trPr>
          <w:trHeight w:val="293"/>
        </w:trPr>
        <w:tc>
          <w:tcPr>
            <w:tcW w:w="5671" w:type="dxa"/>
            <w:vMerge/>
            <w:vAlign w:val="center"/>
          </w:tcPr>
          <w:p w:rsidR="00335C27" w:rsidRPr="0066263B" w:rsidRDefault="00335C27" w:rsidP="00845807">
            <w:pPr>
              <w:spacing w:before="20" w:after="20"/>
              <w:jc w:val="center"/>
              <w:rPr>
                <w:rFonts w:ascii="Times New Roman" w:eastAsia="Times New Roman" w:hAnsi="Times New Roman" w:cs="Times New Roman"/>
                <w:b/>
                <w:bCs/>
                <w:i/>
                <w:iCs/>
                <w:lang w:eastAsia="ru-RU"/>
              </w:rPr>
            </w:pPr>
          </w:p>
        </w:tc>
        <w:tc>
          <w:tcPr>
            <w:tcW w:w="956" w:type="dxa"/>
            <w:shd w:val="clear" w:color="auto" w:fill="auto"/>
            <w:vAlign w:val="center"/>
          </w:tcPr>
          <w:p w:rsidR="00335C27" w:rsidRPr="0066263B" w:rsidRDefault="00335C27"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957" w:type="dxa"/>
            <w:shd w:val="clear" w:color="auto" w:fill="auto"/>
            <w:vAlign w:val="center"/>
          </w:tcPr>
          <w:p w:rsidR="00335C27" w:rsidRPr="0066263B" w:rsidRDefault="00335C27"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доля,</w:t>
            </w:r>
            <w:r w:rsidRPr="0066263B">
              <w:rPr>
                <w:rFonts w:ascii="Times New Roman" w:eastAsia="Times New Roman" w:hAnsi="Times New Roman" w:cs="Times New Roman"/>
                <w:b/>
                <w:bCs/>
                <w:i/>
                <w:iCs/>
                <w:lang w:eastAsia="ru-RU"/>
              </w:rPr>
              <w:br/>
              <w:t>%</w:t>
            </w:r>
          </w:p>
        </w:tc>
        <w:tc>
          <w:tcPr>
            <w:tcW w:w="957" w:type="dxa"/>
            <w:vAlign w:val="center"/>
          </w:tcPr>
          <w:p w:rsidR="00335C27" w:rsidRPr="0066263B" w:rsidRDefault="00335C27"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абс.</w:t>
            </w:r>
          </w:p>
        </w:tc>
        <w:tc>
          <w:tcPr>
            <w:tcW w:w="957" w:type="dxa"/>
            <w:shd w:val="clear" w:color="auto" w:fill="auto"/>
            <w:vAlign w:val="center"/>
          </w:tcPr>
          <w:p w:rsidR="00335C27" w:rsidRPr="0066263B" w:rsidRDefault="00335C27"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доля,</w:t>
            </w:r>
            <w:r w:rsidRPr="0066263B">
              <w:rPr>
                <w:rFonts w:ascii="Times New Roman" w:eastAsia="Times New Roman" w:hAnsi="Times New Roman" w:cs="Times New Roman"/>
                <w:b/>
                <w:bCs/>
                <w:i/>
                <w:iCs/>
                <w:lang w:eastAsia="ru-RU"/>
              </w:rPr>
              <w:br/>
              <w:t>%</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Торговля</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228</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21,3</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152</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10,8</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Деятельность детских учреждений</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379</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35,45</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773</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55,0</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Здравоохранение, предоставление коммунальных услуг</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259</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24,2</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232</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16,5</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Деятельность по производству и обороту пищевых продуктов</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35</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3,3</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146</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10,4</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Деятельность промышленных предприятий</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24</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2,2</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46</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3,3</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Предоставление услуг ЖКХ</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58</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4,1</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Бытовое обслуживание населения</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Предоставление услуг общественного питания</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0,2</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3</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0,2</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Прочие услуги</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15</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1,4</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33</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2,3</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Предоставление медицинских услуг</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0,1</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0,2</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Деятельность транспортных средств</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Предоставление туристических услуг</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Предоставление транспортных услуг</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0,1</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0,2</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Предоставление услуг связи</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7</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0,65</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0,07</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Услуги финансового рынка (банковские услуги)</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4</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0,4</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2</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0,2</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Услуги гостиниц</w:t>
            </w:r>
          </w:p>
        </w:tc>
        <w:tc>
          <w:tcPr>
            <w:tcW w:w="956"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w:t>
            </w:r>
          </w:p>
        </w:tc>
      </w:tr>
      <w:tr w:rsidR="00335C27" w:rsidRPr="0066263B" w:rsidTr="0033343B">
        <w:tc>
          <w:tcPr>
            <w:tcW w:w="5671" w:type="dxa"/>
          </w:tcPr>
          <w:p w:rsidR="00335C27" w:rsidRPr="0066263B" w:rsidRDefault="00335C27" w:rsidP="00845807">
            <w:pPr>
              <w:spacing w:before="20" w:after="20"/>
              <w:jc w:val="left"/>
              <w:rPr>
                <w:rFonts w:ascii="Times New Roman" w:eastAsia="Calibri" w:hAnsi="Times New Roman" w:cs="Times New Roman"/>
                <w:szCs w:val="24"/>
              </w:rPr>
            </w:pPr>
            <w:r w:rsidRPr="0066263B">
              <w:rPr>
                <w:rFonts w:ascii="Times New Roman" w:eastAsia="Calibri" w:hAnsi="Times New Roman" w:cs="Times New Roman"/>
                <w:szCs w:val="24"/>
              </w:rPr>
              <w:t>Долевое строительство жилья</w:t>
            </w:r>
          </w:p>
        </w:tc>
        <w:tc>
          <w:tcPr>
            <w:tcW w:w="956" w:type="dxa"/>
            <w:vAlign w:val="center"/>
          </w:tcPr>
          <w:p w:rsidR="00335C27" w:rsidRPr="00FD0C95" w:rsidRDefault="00335C27" w:rsidP="005972B7">
            <w:pPr>
              <w:spacing w:before="20" w:after="20"/>
              <w:jc w:val="center"/>
              <w:rPr>
                <w:rFonts w:ascii="Times New Roman" w:eastAsia="Calibri" w:hAnsi="Times New Roman" w:cs="Times New Roman"/>
                <w:szCs w:val="24"/>
              </w:rPr>
            </w:pPr>
            <w:r w:rsidRPr="00FD0C95">
              <w:rPr>
                <w:rFonts w:ascii="Times New Roman" w:eastAsia="Calibri" w:hAnsi="Times New Roman" w:cs="Times New Roman"/>
                <w:szCs w:val="24"/>
              </w:rPr>
              <w:t>69</w:t>
            </w:r>
          </w:p>
        </w:tc>
        <w:tc>
          <w:tcPr>
            <w:tcW w:w="957" w:type="dxa"/>
            <w:vAlign w:val="center"/>
          </w:tcPr>
          <w:p w:rsidR="00335C27" w:rsidRPr="00FD0C95" w:rsidRDefault="00335C27" w:rsidP="005972B7">
            <w:pPr>
              <w:spacing w:before="20" w:after="20"/>
              <w:jc w:val="center"/>
              <w:rPr>
                <w:rFonts w:ascii="Times New Roman" w:eastAsia="Calibri" w:hAnsi="Times New Roman" w:cs="Times New Roman"/>
                <w:szCs w:val="24"/>
              </w:rPr>
            </w:pPr>
            <w:r w:rsidRPr="00FD0C95">
              <w:rPr>
                <w:rFonts w:ascii="Times New Roman" w:eastAsia="Calibri" w:hAnsi="Times New Roman" w:cs="Times New Roman"/>
                <w:szCs w:val="24"/>
              </w:rPr>
              <w:t>6,45</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17</w:t>
            </w:r>
          </w:p>
        </w:tc>
        <w:tc>
          <w:tcPr>
            <w:tcW w:w="957" w:type="dxa"/>
            <w:vAlign w:val="center"/>
          </w:tcPr>
          <w:p w:rsidR="00335C27" w:rsidRPr="0066263B" w:rsidRDefault="00335C27" w:rsidP="005972B7">
            <w:pPr>
              <w:spacing w:before="20" w:after="20"/>
              <w:jc w:val="center"/>
              <w:rPr>
                <w:rFonts w:ascii="Times New Roman" w:eastAsia="Calibri" w:hAnsi="Times New Roman" w:cs="Times New Roman"/>
                <w:szCs w:val="24"/>
              </w:rPr>
            </w:pPr>
            <w:r w:rsidRPr="0066263B">
              <w:rPr>
                <w:rFonts w:ascii="Times New Roman" w:eastAsia="Calibri" w:hAnsi="Times New Roman" w:cs="Times New Roman"/>
                <w:szCs w:val="24"/>
              </w:rPr>
              <w:t>1,2</w:t>
            </w:r>
          </w:p>
        </w:tc>
      </w:tr>
    </w:tbl>
    <w:p w:rsidR="00F03106" w:rsidRPr="0066263B" w:rsidRDefault="00F03106" w:rsidP="00845807">
      <w:pPr>
        <w:shd w:val="clear" w:color="auto" w:fill="FFFFFF"/>
        <w:spacing w:before="0" w:after="0"/>
        <w:ind w:firstLine="709"/>
        <w:rPr>
          <w:rFonts w:ascii="Times New Roman" w:eastAsia="Times New Roman" w:hAnsi="Times New Roman" w:cs="Times New Roman"/>
          <w:sz w:val="24"/>
          <w:szCs w:val="24"/>
          <w:lang w:eastAsia="ru-RU"/>
        </w:rPr>
      </w:pP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суды на рассмотрение было направлено 257 материалов дел об административных правонарушениях (2020 – 198; 2019 – 177; 2018 – 322).</w:t>
      </w: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Судами по результатам рассмотрения направленных Управлением Роспотребнадзора по Брянской области материалов дел было вынесено 203 постановления о назначении административного наказания (2020 – 97; 2019 – 126; 2018 – 228),  из них в виде:</w:t>
      </w:r>
    </w:p>
    <w:p w:rsidR="00335C27" w:rsidRPr="0066263B" w:rsidRDefault="00335C27" w:rsidP="00335C27">
      <w:pPr>
        <w:numPr>
          <w:ilvl w:val="0"/>
          <w:numId w:val="17"/>
        </w:numPr>
        <w:spacing w:before="0" w:after="0"/>
        <w:ind w:left="993" w:hanging="141"/>
        <w:jc w:val="lef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предупреждения – 6 (2020 – 2; 2019 – 8; 2018 – 9);</w:t>
      </w:r>
    </w:p>
    <w:p w:rsidR="00335C27" w:rsidRPr="0066263B" w:rsidRDefault="00335C27" w:rsidP="00335C27">
      <w:pPr>
        <w:numPr>
          <w:ilvl w:val="0"/>
          <w:numId w:val="17"/>
        </w:numPr>
        <w:spacing w:before="0" w:after="0"/>
        <w:ind w:left="993" w:hanging="141"/>
        <w:jc w:val="lef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административного штрафа – 168 (2020 – 60; 2019 – 92; 2018 – 142);</w:t>
      </w:r>
    </w:p>
    <w:p w:rsidR="00335C27" w:rsidRPr="0066263B" w:rsidRDefault="00335C27" w:rsidP="00335C27">
      <w:pPr>
        <w:numPr>
          <w:ilvl w:val="0"/>
          <w:numId w:val="17"/>
        </w:numPr>
        <w:spacing w:before="0" w:after="0"/>
        <w:ind w:left="993" w:hanging="141"/>
        <w:jc w:val="lef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административного штрафа с конфискацией предмета административного правонарушения – 21 (2020 – 21; 2019 – 12; 2018 – 37);</w:t>
      </w:r>
    </w:p>
    <w:p w:rsidR="00335C27" w:rsidRPr="0066263B" w:rsidRDefault="00335C27" w:rsidP="00335C27">
      <w:pPr>
        <w:numPr>
          <w:ilvl w:val="0"/>
          <w:numId w:val="17"/>
        </w:numPr>
        <w:spacing w:before="0" w:after="0"/>
        <w:ind w:left="993" w:hanging="141"/>
        <w:jc w:val="left"/>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административного приостановления деятельности – 8 (2020 – 14; 2019 – 14; 2018 – 38).</w:t>
      </w: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Общая сумма штрафов, назначенных судом, составила 1 млн. 855,5 тыс. руб. (2020 – 1 млн. 667,5 тыс. руб.; 2019 – 2 млн. 767 тыс. 500 руб.; 2018 – 3 млн. 34 тыс. руб.).</w:t>
      </w:r>
      <w:proofErr w:type="gramEnd"/>
    </w:p>
    <w:p w:rsidR="00335C27" w:rsidRPr="0066263B" w:rsidRDefault="00335C27" w:rsidP="00845807">
      <w:pPr>
        <w:shd w:val="clear" w:color="auto" w:fill="FFFFFF"/>
        <w:spacing w:before="0" w:after="0"/>
        <w:ind w:firstLine="709"/>
        <w:rPr>
          <w:rFonts w:ascii="Times New Roman" w:eastAsia="Times New Roman" w:hAnsi="Times New Roman" w:cs="Times New Roman"/>
          <w:sz w:val="24"/>
          <w:szCs w:val="24"/>
          <w:lang w:eastAsia="ru-RU"/>
        </w:rPr>
      </w:pPr>
    </w:p>
    <w:p w:rsidR="00260706" w:rsidRPr="0066263B" w:rsidRDefault="00260706" w:rsidP="00845807">
      <w:pPr>
        <w:shd w:val="clear" w:color="auto" w:fill="FFFFFF"/>
        <w:spacing w:before="0" w:after="0"/>
        <w:ind w:firstLine="709"/>
        <w:rPr>
          <w:rFonts w:ascii="Times New Roman" w:eastAsia="Times New Roman" w:hAnsi="Times New Roman" w:cs="Times New Roman"/>
          <w:sz w:val="24"/>
          <w:szCs w:val="24"/>
          <w:lang w:eastAsia="ru-RU"/>
        </w:rPr>
      </w:pPr>
    </w:p>
    <w:p w:rsidR="00260706" w:rsidRPr="0066263B" w:rsidRDefault="00260706" w:rsidP="00845807">
      <w:pPr>
        <w:shd w:val="clear" w:color="auto" w:fill="FFFFFF"/>
        <w:spacing w:before="0" w:after="0"/>
        <w:ind w:firstLine="709"/>
        <w:rPr>
          <w:rFonts w:ascii="Times New Roman" w:eastAsia="Times New Roman" w:hAnsi="Times New Roman" w:cs="Times New Roman"/>
          <w:sz w:val="24"/>
          <w:szCs w:val="24"/>
          <w:lang w:eastAsia="ru-RU"/>
        </w:rPr>
      </w:pPr>
    </w:p>
    <w:p w:rsidR="00324483" w:rsidRPr="0066263B" w:rsidRDefault="00324483" w:rsidP="00324483">
      <w:pPr>
        <w:spacing w:before="0" w:after="0"/>
        <w:ind w:firstLine="709"/>
        <w:jc w:val="right"/>
        <w:rPr>
          <w:rFonts w:ascii="Times New Roman" w:eastAsia="Calibri" w:hAnsi="Times New Roman" w:cs="Times New Roman"/>
        </w:rPr>
      </w:pPr>
      <w:r w:rsidRPr="0066263B">
        <w:rPr>
          <w:rFonts w:ascii="Times New Roman" w:eastAsia="Calibri" w:hAnsi="Times New Roman" w:cs="Times New Roman"/>
        </w:rPr>
        <w:t xml:space="preserve">Таблица </w:t>
      </w:r>
      <w:r w:rsidR="006C34E2" w:rsidRPr="0066263B">
        <w:rPr>
          <w:rFonts w:ascii="Times New Roman" w:eastAsia="Calibri" w:hAnsi="Times New Roman" w:cs="Times New Roman"/>
        </w:rPr>
        <w:fldChar w:fldCharType="begin"/>
      </w:r>
      <w:r w:rsidRPr="0066263B">
        <w:rPr>
          <w:rFonts w:ascii="Times New Roman" w:eastAsia="Calibri" w:hAnsi="Times New Roman" w:cs="Times New Roman"/>
        </w:rPr>
        <w:instrText xml:space="preserve"> SEQ Таблица_№ \* ARABIC </w:instrText>
      </w:r>
      <w:r w:rsidR="006C34E2" w:rsidRPr="0066263B">
        <w:rPr>
          <w:rFonts w:ascii="Times New Roman" w:eastAsia="Calibri" w:hAnsi="Times New Roman" w:cs="Times New Roman"/>
        </w:rPr>
        <w:fldChar w:fldCharType="separate"/>
      </w:r>
      <w:r w:rsidR="00EC1D99">
        <w:rPr>
          <w:rFonts w:ascii="Times New Roman" w:eastAsia="Calibri" w:hAnsi="Times New Roman" w:cs="Times New Roman"/>
          <w:noProof/>
        </w:rPr>
        <w:t>114</w:t>
      </w:r>
      <w:r w:rsidR="006C34E2" w:rsidRPr="0066263B">
        <w:rPr>
          <w:rFonts w:ascii="Times New Roman" w:eastAsia="Calibri" w:hAnsi="Times New Roman" w:cs="Times New Roman"/>
        </w:rPr>
        <w:fldChar w:fldCharType="end"/>
      </w:r>
    </w:p>
    <w:p w:rsidR="00324483" w:rsidRPr="0066263B" w:rsidRDefault="00324483" w:rsidP="00324483">
      <w:pPr>
        <w:spacing w:before="0" w:after="0"/>
        <w:jc w:val="center"/>
        <w:rPr>
          <w:rFonts w:ascii="Times New Roman" w:eastAsia="Times New Roman" w:hAnsi="Times New Roman" w:cs="Times New Roman"/>
          <w:b/>
          <w:bCs/>
          <w:lang w:eastAsia="ru-RU"/>
        </w:rPr>
      </w:pPr>
      <w:r w:rsidRPr="0066263B">
        <w:rPr>
          <w:rFonts w:ascii="Times New Roman" w:eastAsia="Times New Roman" w:hAnsi="Times New Roman" w:cs="Times New Roman"/>
          <w:b/>
          <w:bCs/>
          <w:lang w:eastAsia="ru-RU"/>
        </w:rPr>
        <w:t>Меры административного наказания и обеспечительные меры, принятые судом</w:t>
      </w:r>
    </w:p>
    <w:p w:rsidR="00324483" w:rsidRPr="0066263B" w:rsidRDefault="00324483" w:rsidP="00324483">
      <w:pPr>
        <w:spacing w:before="0" w:after="0"/>
        <w:jc w:val="center"/>
        <w:rPr>
          <w:rFonts w:ascii="Times New Roman" w:eastAsia="Times New Roman" w:hAnsi="Times New Roman" w:cs="Times New Roman"/>
          <w:lang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4"/>
        <w:gridCol w:w="3272"/>
        <w:gridCol w:w="1064"/>
        <w:gridCol w:w="1064"/>
        <w:gridCol w:w="1064"/>
      </w:tblGrid>
      <w:tr w:rsidR="00335C27" w:rsidRPr="0066263B" w:rsidTr="00335C27">
        <w:tc>
          <w:tcPr>
            <w:tcW w:w="3242" w:type="pct"/>
            <w:gridSpan w:val="2"/>
            <w:vAlign w:val="center"/>
          </w:tcPr>
          <w:p w:rsidR="00335C27" w:rsidRPr="0066263B" w:rsidRDefault="00335C27"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Меры административного наказания</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2019</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2020</w:t>
            </w:r>
          </w:p>
        </w:tc>
        <w:tc>
          <w:tcPr>
            <w:tcW w:w="586" w:type="pct"/>
            <w:vAlign w:val="center"/>
          </w:tcPr>
          <w:p w:rsidR="00335C27" w:rsidRPr="0066263B" w:rsidRDefault="00335C27" w:rsidP="00845807">
            <w:pPr>
              <w:spacing w:before="20" w:after="20"/>
              <w:jc w:val="center"/>
              <w:rPr>
                <w:rFonts w:ascii="Times New Roman" w:eastAsia="Times New Roman" w:hAnsi="Times New Roman" w:cs="Times New Roman"/>
                <w:b/>
                <w:bCs/>
                <w:i/>
                <w:iCs/>
                <w:lang w:eastAsia="ru-RU"/>
              </w:rPr>
            </w:pPr>
            <w:r w:rsidRPr="0066263B">
              <w:rPr>
                <w:rFonts w:ascii="Times New Roman" w:eastAsia="Times New Roman" w:hAnsi="Times New Roman" w:cs="Times New Roman"/>
                <w:b/>
                <w:bCs/>
                <w:i/>
                <w:iCs/>
                <w:lang w:eastAsia="ru-RU"/>
              </w:rPr>
              <w:t>2021</w:t>
            </w:r>
          </w:p>
        </w:tc>
      </w:tr>
      <w:tr w:rsidR="00335C27" w:rsidRPr="0066263B" w:rsidTr="00335C27">
        <w:trPr>
          <w:trHeight w:val="221"/>
        </w:trPr>
        <w:tc>
          <w:tcPr>
            <w:tcW w:w="3242" w:type="pct"/>
            <w:gridSpan w:val="2"/>
          </w:tcPr>
          <w:p w:rsidR="00335C27" w:rsidRPr="0066263B" w:rsidRDefault="00335C27" w:rsidP="00845807">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Направлено дел об административном правонарушении в суд</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177</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198</w:t>
            </w:r>
          </w:p>
        </w:tc>
        <w:tc>
          <w:tcPr>
            <w:tcW w:w="586" w:type="pct"/>
            <w:vAlign w:val="center"/>
          </w:tcPr>
          <w:p w:rsidR="00335C27" w:rsidRPr="0066263B" w:rsidRDefault="00335C27" w:rsidP="0084580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257</w:t>
            </w:r>
          </w:p>
        </w:tc>
      </w:tr>
      <w:tr w:rsidR="00335C27" w:rsidRPr="0066263B" w:rsidTr="00335C27">
        <w:tc>
          <w:tcPr>
            <w:tcW w:w="1440" w:type="pct"/>
            <w:vMerge w:val="restart"/>
            <w:vAlign w:val="center"/>
          </w:tcPr>
          <w:p w:rsidR="00335C27" w:rsidRPr="0066263B" w:rsidRDefault="00335C27" w:rsidP="00845807">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Вынесено постановлений о назначении наказания судом</w:t>
            </w:r>
          </w:p>
        </w:tc>
        <w:tc>
          <w:tcPr>
            <w:tcW w:w="1802" w:type="pct"/>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предупреждения</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w:t>
            </w:r>
          </w:p>
        </w:tc>
        <w:tc>
          <w:tcPr>
            <w:tcW w:w="586" w:type="pct"/>
            <w:vAlign w:val="center"/>
          </w:tcPr>
          <w:p w:rsidR="00335C27" w:rsidRPr="0066263B" w:rsidRDefault="00335C27" w:rsidP="0084580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w:t>
            </w:r>
          </w:p>
        </w:tc>
      </w:tr>
      <w:tr w:rsidR="00335C27" w:rsidRPr="0066263B" w:rsidTr="00335C27">
        <w:tc>
          <w:tcPr>
            <w:tcW w:w="1440" w:type="pct"/>
            <w:vMerge/>
            <w:vAlign w:val="center"/>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p>
        </w:tc>
        <w:tc>
          <w:tcPr>
            <w:tcW w:w="1802" w:type="pct"/>
          </w:tcPr>
          <w:p w:rsidR="00335C27" w:rsidRPr="0066263B" w:rsidRDefault="00335C27" w:rsidP="00845807">
            <w:pPr>
              <w:spacing w:before="20" w:after="20"/>
              <w:jc w:val="left"/>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адм</w:t>
            </w:r>
            <w:proofErr w:type="spellEnd"/>
            <w:r w:rsidRPr="0066263B">
              <w:rPr>
                <w:rFonts w:ascii="Times New Roman" w:eastAsia="Times New Roman" w:hAnsi="Times New Roman" w:cs="Times New Roman"/>
                <w:lang w:eastAsia="ru-RU"/>
              </w:rPr>
              <w:t>. штрафа</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92</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60</w:t>
            </w:r>
          </w:p>
        </w:tc>
        <w:tc>
          <w:tcPr>
            <w:tcW w:w="586" w:type="pct"/>
            <w:vAlign w:val="center"/>
          </w:tcPr>
          <w:p w:rsidR="00335C27" w:rsidRPr="0066263B" w:rsidRDefault="00335C27" w:rsidP="0084580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168</w:t>
            </w:r>
          </w:p>
        </w:tc>
      </w:tr>
      <w:tr w:rsidR="00335C27" w:rsidRPr="0066263B" w:rsidTr="00335C27">
        <w:tc>
          <w:tcPr>
            <w:tcW w:w="1440" w:type="pct"/>
            <w:vMerge/>
            <w:vAlign w:val="center"/>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p>
        </w:tc>
        <w:tc>
          <w:tcPr>
            <w:tcW w:w="1802" w:type="pct"/>
          </w:tcPr>
          <w:p w:rsidR="00335C27" w:rsidRPr="0066263B" w:rsidRDefault="00335C27" w:rsidP="00845807">
            <w:pPr>
              <w:spacing w:before="20" w:after="20"/>
              <w:jc w:val="left"/>
              <w:rPr>
                <w:rFonts w:ascii="Times New Roman" w:eastAsia="Times New Roman" w:hAnsi="Times New Roman" w:cs="Times New Roman"/>
                <w:lang w:eastAsia="ru-RU"/>
              </w:rPr>
            </w:pPr>
            <w:proofErr w:type="spellStart"/>
            <w:r w:rsidRPr="0066263B">
              <w:rPr>
                <w:rFonts w:ascii="Times New Roman" w:eastAsia="Times New Roman" w:hAnsi="Times New Roman" w:cs="Times New Roman"/>
                <w:lang w:eastAsia="ru-RU"/>
              </w:rPr>
              <w:t>адм</w:t>
            </w:r>
            <w:proofErr w:type="spellEnd"/>
            <w:r w:rsidRPr="0066263B">
              <w:rPr>
                <w:rFonts w:ascii="Times New Roman" w:eastAsia="Times New Roman" w:hAnsi="Times New Roman" w:cs="Times New Roman"/>
                <w:lang w:eastAsia="ru-RU"/>
              </w:rPr>
              <w:t>. штрафа с конфискацией</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12</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w:t>
            </w:r>
          </w:p>
        </w:tc>
        <w:tc>
          <w:tcPr>
            <w:tcW w:w="586" w:type="pct"/>
            <w:vAlign w:val="center"/>
          </w:tcPr>
          <w:p w:rsidR="00335C27" w:rsidRPr="0066263B" w:rsidRDefault="00335C27" w:rsidP="0084580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21</w:t>
            </w:r>
          </w:p>
        </w:tc>
      </w:tr>
      <w:tr w:rsidR="00335C27" w:rsidRPr="0066263B" w:rsidTr="00335C27">
        <w:tc>
          <w:tcPr>
            <w:tcW w:w="1440" w:type="pct"/>
            <w:vMerge w:val="restart"/>
            <w:vAlign w:val="center"/>
          </w:tcPr>
          <w:p w:rsidR="00335C27" w:rsidRPr="0066263B" w:rsidRDefault="00335C27" w:rsidP="00845807">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Прекращено производство по делу судом</w:t>
            </w:r>
          </w:p>
        </w:tc>
        <w:tc>
          <w:tcPr>
            <w:tcW w:w="1802" w:type="pct"/>
          </w:tcPr>
          <w:p w:rsidR="00335C27" w:rsidRPr="0066263B" w:rsidRDefault="00335C27" w:rsidP="00845807">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АПД</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c>
          <w:tcPr>
            <w:tcW w:w="586" w:type="pct"/>
            <w:vAlign w:val="center"/>
          </w:tcPr>
          <w:p w:rsidR="00335C27" w:rsidRPr="0066263B" w:rsidRDefault="00335C27" w:rsidP="0084580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w:t>
            </w:r>
          </w:p>
        </w:tc>
      </w:tr>
      <w:tr w:rsidR="00335C27" w:rsidRPr="0066263B" w:rsidTr="00335C27">
        <w:tc>
          <w:tcPr>
            <w:tcW w:w="1440" w:type="pct"/>
            <w:vMerge/>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p>
        </w:tc>
        <w:tc>
          <w:tcPr>
            <w:tcW w:w="1802" w:type="pct"/>
          </w:tcPr>
          <w:p w:rsidR="00335C27" w:rsidRPr="0066263B" w:rsidRDefault="00335C27" w:rsidP="00845807">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всего</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24</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17</w:t>
            </w:r>
          </w:p>
        </w:tc>
        <w:tc>
          <w:tcPr>
            <w:tcW w:w="586" w:type="pct"/>
            <w:vAlign w:val="center"/>
          </w:tcPr>
          <w:p w:rsidR="00335C27" w:rsidRPr="0066263B" w:rsidRDefault="00335C27" w:rsidP="0084580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14</w:t>
            </w:r>
          </w:p>
        </w:tc>
      </w:tr>
      <w:tr w:rsidR="00335C27" w:rsidRPr="0066263B" w:rsidTr="00335C27">
        <w:tc>
          <w:tcPr>
            <w:tcW w:w="1440" w:type="pct"/>
            <w:vMerge/>
          </w:tcPr>
          <w:p w:rsidR="00335C27" w:rsidRPr="0066263B" w:rsidRDefault="00335C27" w:rsidP="00845807">
            <w:pPr>
              <w:tabs>
                <w:tab w:val="left" w:pos="1881"/>
              </w:tabs>
              <w:spacing w:before="20" w:after="20"/>
              <w:jc w:val="left"/>
              <w:rPr>
                <w:rFonts w:ascii="Times New Roman" w:eastAsia="Times New Roman" w:hAnsi="Times New Roman" w:cs="Times New Roman"/>
                <w:lang w:eastAsia="ru-RU"/>
              </w:rPr>
            </w:pPr>
          </w:p>
        </w:tc>
        <w:tc>
          <w:tcPr>
            <w:tcW w:w="1802" w:type="pct"/>
          </w:tcPr>
          <w:p w:rsidR="00335C27" w:rsidRPr="0066263B" w:rsidRDefault="00335C27" w:rsidP="00845807">
            <w:pPr>
              <w:spacing w:before="20" w:after="20"/>
              <w:jc w:val="left"/>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в связи с объявлением устного</w:t>
            </w:r>
            <w:r w:rsidRPr="0066263B">
              <w:rPr>
                <w:rFonts w:ascii="Times New Roman" w:eastAsia="Times New Roman" w:hAnsi="Times New Roman" w:cs="Times New Roman"/>
                <w:lang w:eastAsia="ru-RU"/>
              </w:rPr>
              <w:br/>
              <w:t>замечания в порядке 2.9</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9</w:t>
            </w:r>
          </w:p>
        </w:tc>
        <w:tc>
          <w:tcPr>
            <w:tcW w:w="586" w:type="pct"/>
            <w:vAlign w:val="center"/>
          </w:tcPr>
          <w:p w:rsidR="00335C27" w:rsidRPr="0066263B" w:rsidRDefault="00335C27" w:rsidP="005972B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8</w:t>
            </w:r>
          </w:p>
        </w:tc>
        <w:tc>
          <w:tcPr>
            <w:tcW w:w="586" w:type="pct"/>
            <w:vAlign w:val="center"/>
          </w:tcPr>
          <w:p w:rsidR="00335C27" w:rsidRPr="0066263B" w:rsidRDefault="00335C27" w:rsidP="00845807">
            <w:pPr>
              <w:spacing w:before="20" w:after="20"/>
              <w:jc w:val="center"/>
              <w:rPr>
                <w:rFonts w:ascii="Times New Roman" w:eastAsia="Times New Roman" w:hAnsi="Times New Roman" w:cs="Times New Roman"/>
                <w:lang w:eastAsia="ru-RU"/>
              </w:rPr>
            </w:pPr>
            <w:r w:rsidRPr="0066263B">
              <w:rPr>
                <w:rFonts w:ascii="Times New Roman" w:eastAsia="Times New Roman" w:hAnsi="Times New Roman" w:cs="Times New Roman"/>
                <w:lang w:eastAsia="ru-RU"/>
              </w:rPr>
              <w:t>5</w:t>
            </w:r>
          </w:p>
        </w:tc>
      </w:tr>
    </w:tbl>
    <w:p w:rsidR="00324483" w:rsidRPr="0066263B" w:rsidRDefault="00324483" w:rsidP="00324483">
      <w:pPr>
        <w:shd w:val="clear" w:color="auto" w:fill="FFFFFF"/>
        <w:spacing w:before="0" w:after="0"/>
        <w:ind w:firstLine="709"/>
        <w:rPr>
          <w:rFonts w:ascii="Times New Roman" w:eastAsia="Times New Roman" w:hAnsi="Times New Roman" w:cs="Times New Roman"/>
          <w:sz w:val="24"/>
          <w:szCs w:val="24"/>
          <w:lang w:eastAsia="ru-RU"/>
        </w:rPr>
      </w:pP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Общая сумма наложенных штрафов составила 8 млн. 216 тыс. 600 руб.</w:t>
      </w:r>
      <w:r w:rsidR="00260706"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(2020 – 6 млн. 128 тыс. 600 руб.; 2019 – 22 млн. 273 тыс. 700 руб.; 2018 – 14 млн. 744 тыс. 500 руб.).</w:t>
      </w: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Удельный вес взысканных штрафов за 2021 год составил 83,4% (2020 – 77,5%; 2019 – 77,1%; 2018 – 86,4%).</w:t>
      </w: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Средняя сумма штрафа по Управлению – 8 048 руб. (2020 – 6</w:t>
      </w:r>
      <w:r w:rsidR="00FD0C95">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081</w:t>
      </w:r>
      <w:r w:rsidR="00FD0C95">
        <w:rPr>
          <w:rFonts w:ascii="Times New Roman" w:eastAsia="Times New Roman" w:hAnsi="Times New Roman" w:cs="Times New Roman"/>
          <w:sz w:val="24"/>
          <w:szCs w:val="24"/>
          <w:lang w:eastAsia="ru-RU"/>
        </w:rPr>
        <w:t xml:space="preserve"> руб.</w:t>
      </w:r>
      <w:r w:rsidRPr="0066263B">
        <w:rPr>
          <w:rFonts w:ascii="Times New Roman" w:eastAsia="Times New Roman" w:hAnsi="Times New Roman" w:cs="Times New Roman"/>
          <w:sz w:val="24"/>
          <w:szCs w:val="24"/>
          <w:lang w:eastAsia="ru-RU"/>
        </w:rPr>
        <w:t>; 2019 – 18 874,7 руб.; 2018 – 8 405 руб.).</w:t>
      </w:r>
    </w:p>
    <w:p w:rsidR="00335C27" w:rsidRPr="0066263B" w:rsidRDefault="00335C27" w:rsidP="00845807">
      <w:pPr>
        <w:shd w:val="clear" w:color="auto" w:fill="FFFFFF"/>
        <w:spacing w:before="0" w:after="0"/>
        <w:ind w:firstLine="709"/>
        <w:rPr>
          <w:rFonts w:ascii="Times New Roman" w:eastAsia="Times New Roman" w:hAnsi="Times New Roman" w:cs="Times New Roman"/>
          <w:sz w:val="24"/>
          <w:szCs w:val="24"/>
          <w:lang w:eastAsia="ru-RU"/>
        </w:rPr>
      </w:pP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целях совершенствования практики в сфере административного законодательства в течение истекшего года ежеквартально проводился анализ деятельности Управления Роспотребнадзора по Брянской области в части реализации полномочий по выявлению и пресечению административных правонарушений в сфере законодательства о санитарно-эпидемиологическом благополучии населения, защиты прав потребителей, в сфере технического регулирования.</w:t>
      </w: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Исходя из вышеизложенного, следует, что сложившаяся практика по применению мер административного воздействия в целом имеет тенденцию к улучшению.</w:t>
      </w:r>
    </w:p>
    <w:p w:rsidR="00335C2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Однако</w:t>
      </w:r>
      <w:proofErr w:type="gramStart"/>
      <w:r w:rsidRPr="0066263B">
        <w:rPr>
          <w:rFonts w:ascii="Times New Roman" w:eastAsia="Times New Roman" w:hAnsi="Times New Roman" w:cs="Times New Roman"/>
          <w:sz w:val="24"/>
          <w:szCs w:val="24"/>
          <w:lang w:eastAsia="ru-RU"/>
        </w:rPr>
        <w:t>,</w:t>
      </w:r>
      <w:proofErr w:type="gramEnd"/>
      <w:r w:rsidRPr="0066263B">
        <w:rPr>
          <w:rFonts w:ascii="Times New Roman" w:eastAsia="Times New Roman" w:hAnsi="Times New Roman" w:cs="Times New Roman"/>
          <w:sz w:val="24"/>
          <w:szCs w:val="24"/>
          <w:lang w:eastAsia="ru-RU"/>
        </w:rPr>
        <w:t xml:space="preserve"> темпы изменения ситуации следует оценить как крайне недостаточные, особенно в части реализации полномочий по применению ограниченного спектра составов Кодекса об административных правонарушениях, низкого удельного веса привлечённых к ответственности юридических лиц, крайне недостаточного применения таких мер административного наказания как конфискация предмета административного правонарушения, ограниченного применения составов административных правонарушений в сфере «антитабачного» законодательства и сфере технического регулирования.</w:t>
      </w:r>
    </w:p>
    <w:p w:rsidR="00845807" w:rsidRPr="0066263B" w:rsidRDefault="00335C27" w:rsidP="00335C27">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Поэтому приоритетным направлением в деятельности Управления Роспотребнадзора по Брянской области в 2022 году следует считать коренное изменение ситуации по применению административного законодательства.</w:t>
      </w:r>
    </w:p>
    <w:p w:rsidR="00260706" w:rsidRPr="0066263B" w:rsidRDefault="00260706">
      <w:pPr>
        <w:rPr>
          <w:rFonts w:ascii="Times New Roman" w:eastAsia="Times New Roman" w:hAnsi="Times New Roman" w:cs="Times New Roman"/>
          <w:b/>
          <w:bCs/>
          <w:sz w:val="26"/>
          <w:szCs w:val="26"/>
          <w:lang w:eastAsia="ru-RU"/>
        </w:rPr>
      </w:pPr>
      <w:bookmarkStart w:id="19" w:name="_Toc2253836"/>
      <w:r w:rsidRPr="0066263B">
        <w:rPr>
          <w:rFonts w:ascii="Times New Roman" w:eastAsia="Times New Roman" w:hAnsi="Times New Roman" w:cs="Times New Roman"/>
          <w:b/>
          <w:bCs/>
          <w:sz w:val="26"/>
          <w:szCs w:val="26"/>
          <w:lang w:eastAsia="ru-RU"/>
        </w:rPr>
        <w:br w:type="page"/>
      </w:r>
    </w:p>
    <w:p w:rsidR="00324483" w:rsidRPr="0066263B" w:rsidRDefault="00324483" w:rsidP="00324483">
      <w:pPr>
        <w:jc w:val="center"/>
        <w:outlineLvl w:val="1"/>
        <w:rPr>
          <w:rFonts w:ascii="Times New Roman" w:eastAsia="Times New Roman" w:hAnsi="Times New Roman" w:cs="Times New Roman"/>
          <w:b/>
          <w:bCs/>
          <w:sz w:val="26"/>
          <w:szCs w:val="26"/>
          <w:lang w:eastAsia="ru-RU"/>
        </w:rPr>
      </w:pPr>
      <w:r w:rsidRPr="0066263B">
        <w:rPr>
          <w:rFonts w:ascii="Times New Roman" w:eastAsia="Times New Roman" w:hAnsi="Times New Roman" w:cs="Times New Roman"/>
          <w:b/>
          <w:bCs/>
          <w:sz w:val="26"/>
          <w:szCs w:val="26"/>
          <w:lang w:eastAsia="ru-RU"/>
        </w:rPr>
        <w:lastRenderedPageBreak/>
        <w:t>3.2. Проблемные вопросы при обеспечении санитарно-эпидемиологического благополучия и намечаемые меры по их решению</w:t>
      </w:r>
      <w:bookmarkEnd w:id="19"/>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Основными проблемами, решение которых необходимо обеспечить в Брянской области в 202</w:t>
      </w:r>
      <w:r w:rsidR="00C3065B" w:rsidRPr="0066263B">
        <w:rPr>
          <w:rFonts w:ascii="Times New Roman" w:eastAsia="Times New Roman" w:hAnsi="Times New Roman" w:cs="Times New Roman"/>
          <w:sz w:val="24"/>
          <w:szCs w:val="24"/>
          <w:lang w:eastAsia="ru-RU"/>
        </w:rPr>
        <w:t>2</w:t>
      </w:r>
      <w:r w:rsidRPr="0066263B">
        <w:rPr>
          <w:rFonts w:ascii="Times New Roman" w:eastAsia="Times New Roman" w:hAnsi="Times New Roman" w:cs="Times New Roman"/>
          <w:sz w:val="24"/>
          <w:szCs w:val="24"/>
          <w:lang w:eastAsia="ru-RU"/>
        </w:rPr>
        <w:t xml:space="preserve"> году являются:</w:t>
      </w:r>
    </w:p>
    <w:p w:rsidR="00235265" w:rsidRPr="0066263B" w:rsidRDefault="00235265" w:rsidP="00235265">
      <w:pPr>
        <w:numPr>
          <w:ilvl w:val="0"/>
          <w:numId w:val="3"/>
        </w:numPr>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Высокий удельный вес проб питьевой воды, подаваемой населению области, по санитарно-химическим показателям, в том числе по содержанию железа.</w:t>
      </w:r>
    </w:p>
    <w:p w:rsidR="00235265" w:rsidRPr="0066263B" w:rsidRDefault="00235265" w:rsidP="00235265">
      <w:pPr>
        <w:numPr>
          <w:ilvl w:val="0"/>
          <w:numId w:val="3"/>
        </w:numPr>
        <w:spacing w:before="0" w:after="0"/>
        <w:ind w:left="993" w:hanging="284"/>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Обеспечение обучающихся в образовательных учреждениях области полноценным, сбалансированным горячим питанием.</w:t>
      </w:r>
      <w:proofErr w:type="gramEnd"/>
    </w:p>
    <w:p w:rsidR="00331AF4" w:rsidRPr="0066263B" w:rsidRDefault="00331AF4" w:rsidP="00331AF4">
      <w:pPr>
        <w:numPr>
          <w:ilvl w:val="0"/>
          <w:numId w:val="3"/>
        </w:numPr>
        <w:tabs>
          <w:tab w:val="clear" w:pos="720"/>
          <w:tab w:val="num" w:pos="786"/>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Высокий уровень заболеваемости, превышающий средние по РФ показатели, по следующим нозологическим формам: острый вирусный гепатит</w:t>
      </w:r>
      <w:proofErr w:type="gramStart"/>
      <w:r w:rsidRPr="0066263B">
        <w:rPr>
          <w:rFonts w:ascii="Times New Roman" w:eastAsia="Times New Roman" w:hAnsi="Times New Roman" w:cs="Times New Roman"/>
          <w:sz w:val="24"/>
          <w:szCs w:val="24"/>
          <w:lang w:eastAsia="ru-RU"/>
        </w:rPr>
        <w:t xml:space="preserve"> А</w:t>
      </w:r>
      <w:proofErr w:type="gramEnd"/>
      <w:r w:rsidRPr="0066263B">
        <w:rPr>
          <w:rFonts w:ascii="Times New Roman" w:eastAsia="Times New Roman" w:hAnsi="Times New Roman" w:cs="Times New Roman"/>
          <w:sz w:val="24"/>
          <w:szCs w:val="24"/>
          <w:lang w:eastAsia="ru-RU"/>
        </w:rPr>
        <w:t>, острый вирусный гепатит В, менингококковая инфекция, болезнь Лайма, укусы животными, ОРЗ, внебольничная пневмония, пневмонии COVID-19. Необходимость принятия дополнительных мероприятий, направленных на снижение заболеваемости по вышеуказанным инфекционным заболеваниям.</w:t>
      </w:r>
    </w:p>
    <w:p w:rsidR="00331AF4" w:rsidRPr="0066263B" w:rsidRDefault="00331AF4" w:rsidP="00331AF4">
      <w:pPr>
        <w:numPr>
          <w:ilvl w:val="0"/>
          <w:numId w:val="3"/>
        </w:numPr>
        <w:tabs>
          <w:tab w:val="clear" w:pos="720"/>
          <w:tab w:val="num" w:pos="786"/>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Недостаточный охват прививками отдельных групп риска (кочующее население, религиозные общины, трудовые мигранты). Необходимость более активной работы с данными группами риска по проведению иммунизации.</w:t>
      </w:r>
    </w:p>
    <w:p w:rsidR="00331AF4" w:rsidRPr="0066263B" w:rsidRDefault="00331AF4" w:rsidP="00331AF4">
      <w:pPr>
        <w:numPr>
          <w:ilvl w:val="0"/>
          <w:numId w:val="3"/>
        </w:numPr>
        <w:tabs>
          <w:tab w:val="clear" w:pos="720"/>
          <w:tab w:val="num" w:pos="786"/>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Высокий уровень заболеваемости внебольничных пневмоний, пандемия </w:t>
      </w:r>
      <w:r w:rsidRPr="0066263B">
        <w:rPr>
          <w:rFonts w:ascii="Times New Roman" w:eastAsia="Times New Roman" w:hAnsi="Times New Roman" w:cs="Times New Roman"/>
          <w:sz w:val="24"/>
          <w:szCs w:val="24"/>
          <w:lang w:val="en-US" w:eastAsia="ru-RU"/>
        </w:rPr>
        <w:t>COVID</w:t>
      </w:r>
      <w:r w:rsidRPr="0066263B">
        <w:rPr>
          <w:rFonts w:ascii="Times New Roman" w:eastAsia="Times New Roman" w:hAnsi="Times New Roman" w:cs="Times New Roman"/>
          <w:sz w:val="24"/>
          <w:szCs w:val="24"/>
          <w:lang w:eastAsia="ru-RU"/>
        </w:rPr>
        <w:t>-19. Необходимость дальнейшего совершенствования лабораторной диагностики внебольничных пневмоний, вирусных инфекций.</w:t>
      </w:r>
    </w:p>
    <w:p w:rsidR="00331AF4" w:rsidRPr="0066263B" w:rsidRDefault="00331AF4" w:rsidP="00331AF4">
      <w:pPr>
        <w:numPr>
          <w:ilvl w:val="0"/>
          <w:numId w:val="3"/>
        </w:numPr>
        <w:tabs>
          <w:tab w:val="clear" w:pos="720"/>
          <w:tab w:val="num" w:pos="786"/>
        </w:tabs>
        <w:spacing w:before="0" w:after="0"/>
        <w:ind w:left="993" w:hanging="284"/>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Необходимость модернизации системы учёта инфекционной заболеваемости, с проведением оперативного эпидемиологического анализа, работа с ЕИАС Роспотребнадзора, повышение качества и уровня межведомственного обмена информацией.</w:t>
      </w:r>
    </w:p>
    <w:p w:rsidR="00B93C7E" w:rsidRPr="0066263B" w:rsidRDefault="00B93C7E">
      <w:pPr>
        <w:rPr>
          <w:rFonts w:ascii="Times New Roman" w:eastAsia="Times New Roman" w:hAnsi="Times New Roman" w:cs="Times New Roman"/>
          <w:b/>
          <w:bCs/>
          <w:sz w:val="26"/>
          <w:szCs w:val="26"/>
          <w:lang w:eastAsia="ru-RU"/>
        </w:rPr>
      </w:pPr>
      <w:bookmarkStart w:id="20" w:name="_Toc2253837"/>
      <w:r w:rsidRPr="0066263B">
        <w:rPr>
          <w:rFonts w:ascii="Times New Roman" w:eastAsia="Times New Roman" w:hAnsi="Times New Roman" w:cs="Times New Roman"/>
          <w:b/>
          <w:bCs/>
          <w:sz w:val="26"/>
          <w:szCs w:val="26"/>
          <w:lang w:eastAsia="ru-RU"/>
        </w:rPr>
        <w:br w:type="page"/>
      </w:r>
    </w:p>
    <w:p w:rsidR="00324483" w:rsidRPr="0066263B" w:rsidRDefault="00324483" w:rsidP="00324483">
      <w:pPr>
        <w:jc w:val="center"/>
        <w:outlineLvl w:val="1"/>
        <w:rPr>
          <w:rFonts w:ascii="Times New Roman" w:eastAsia="Times New Roman" w:hAnsi="Times New Roman" w:cs="Times New Roman"/>
          <w:b/>
          <w:bCs/>
          <w:sz w:val="26"/>
          <w:szCs w:val="26"/>
          <w:lang w:eastAsia="ru-RU"/>
        </w:rPr>
      </w:pPr>
      <w:r w:rsidRPr="0066263B">
        <w:rPr>
          <w:rFonts w:ascii="Times New Roman" w:eastAsia="Times New Roman" w:hAnsi="Times New Roman" w:cs="Times New Roman"/>
          <w:b/>
          <w:bCs/>
          <w:sz w:val="26"/>
          <w:szCs w:val="26"/>
          <w:lang w:eastAsia="ru-RU"/>
        </w:rPr>
        <w:lastRenderedPageBreak/>
        <w:t>3.3. Выполнение мер по реализации международных актов</w:t>
      </w:r>
      <w:r w:rsidRPr="0066263B">
        <w:rPr>
          <w:rFonts w:ascii="Times New Roman" w:eastAsia="Times New Roman" w:hAnsi="Times New Roman" w:cs="Times New Roman"/>
          <w:b/>
          <w:bCs/>
          <w:sz w:val="26"/>
          <w:szCs w:val="26"/>
          <w:lang w:eastAsia="ru-RU"/>
        </w:rPr>
        <w:br/>
        <w:t>и нормативных правовых актов Российской Федерации,</w:t>
      </w:r>
      <w:r w:rsidRPr="0066263B">
        <w:rPr>
          <w:rFonts w:ascii="Times New Roman" w:eastAsia="Times New Roman" w:hAnsi="Times New Roman" w:cs="Times New Roman"/>
          <w:b/>
          <w:bCs/>
          <w:sz w:val="26"/>
          <w:szCs w:val="26"/>
          <w:lang w:eastAsia="ru-RU"/>
        </w:rPr>
        <w:br/>
        <w:t>принятых в целях обеспечения санитарно-эпидемиологического</w:t>
      </w:r>
      <w:r w:rsidRPr="0066263B">
        <w:rPr>
          <w:rFonts w:ascii="Times New Roman" w:eastAsia="Times New Roman" w:hAnsi="Times New Roman" w:cs="Times New Roman"/>
          <w:b/>
          <w:bCs/>
          <w:sz w:val="26"/>
          <w:szCs w:val="26"/>
          <w:lang w:eastAsia="ru-RU"/>
        </w:rPr>
        <w:br/>
        <w:t>благополучия населения</w:t>
      </w:r>
      <w:bookmarkEnd w:id="20"/>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Управлением Роспотребнадзора по Брянской области проводятся надзорные мероприятия в рамках федерального государственного надзора за соблюдением требований технических регламентов Таможенного союза и Евразийского экономического союза. В ходе надзорных мероприятий специалистами проверяется соответствие продукции и процессов требованиям, предъявляемым техническими регламентами Таможенного союза.</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 ходе надзорных мероприятий специалистами Управления Роспотребнадзора по Брянской области проверялось соответствие продукции и процессов требованиям, предъявляемым техническими регламентами Таможенного союза (далее –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и техническими регламентами Евразийского экономического союза (далее – ТР ЕАЭС).</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Наибольшее количество субъектов и объектов надзора проверялись на соответствие техническим регламентам Таможенного союза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021/2011 «О безопасности пищевой продукции», ТР ТС 022/2011 «Пищевая продукция в части её маркировки», ТР ТС 034/2011 «О безопасности мяса и мясной продукции», ТР ТС 033/2013 «О безопасности молока и молочной продукции».</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2021 год проведено 710 контрольно-надзорных мероприятий (далее – КНМ) за соблюдением требований, установленных техническими регламентами, из них 252 плановых КНМ (выездных) или 35,5%; 458 внеплановых КНМ или 64,5%, из них: 452 выездных КНМ, 2 инспекционных визита, 1 выездное обследование, 3 внеплановых документарных КНМ.</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Экспертные организации привлекались при проведении 80% КНМ.</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Число КНМ с выявленными нарушениями – 45, что составляет 6,3% от общего количества контрольно-надзорных мероприятий.</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Общее число выявленных нарушений – 141, из них 116 (82,3%) – нарушения требований к продукции, 25 (17,7%) – к процессам.</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 результатам проведения надзорных мероприятий за соблюдением требований технических регламентов применялись различные меры административного воздействия, такие как наложение административных штрафов, выдача предписаний о приостановлении реализации продукции, об устранении нарушений требований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о разработке программ мероприятий по предотвращению причинения вреда.</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proofErr w:type="gramStart"/>
      <w:r w:rsidRPr="0066263B">
        <w:rPr>
          <w:rFonts w:ascii="Times New Roman" w:eastAsia="Times New Roman" w:hAnsi="Times New Roman" w:cs="Times New Roman"/>
          <w:sz w:val="24"/>
          <w:szCs w:val="24"/>
          <w:lang w:eastAsia="ru-RU"/>
        </w:rPr>
        <w:t>Составлено 89 протоколов об административных правонарушениях, в том числе по ч. 1 ст. 14.43 КоАП РФ – 46 протоколов, по ч. 2 ст. 14.43 КоАП РФ – 35 протоколов, по ст. 14.45 КоАП РФ – 7 протоколов, по ч. 1 ст. 14.44 КоАП РФ – 1 протокол.</w:t>
      </w:r>
      <w:proofErr w:type="gramEnd"/>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Наложено 75 штрафов на сумму 2 469 тыс. рублей без конфискации продукции, вынесено 4 постановления о назначении наказания в виде предупреждения.</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Выдано 26 предписаний об устранении нарушений требований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2 предписания – о приостановлении реализации продукции, 8 – о разработке программ по предотвращению причинения вреда.</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За 2021 год исследовано 4 134 пробы пищевой продукции на соответствие требованиям технических регламентов, из них 20 проб (0,48%) не соответствовали требованиям технических регламентов.</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Пробы не соответствовали нормативным требованиям:</w:t>
      </w:r>
    </w:p>
    <w:p w:rsidR="003143E3" w:rsidRPr="0066263B" w:rsidRDefault="003143E3" w:rsidP="00BE7104">
      <w:pPr>
        <w:numPr>
          <w:ilvl w:val="0"/>
          <w:numId w:val="65"/>
        </w:numPr>
        <w:spacing w:before="0" w:after="0"/>
        <w:ind w:left="993" w:hanging="142"/>
        <w:rPr>
          <w:rFonts w:ascii="Times New Roman" w:eastAsia="Times New Roman" w:hAnsi="Times New Roman" w:cs="Times New Roman"/>
          <w:spacing w:val="2"/>
          <w:sz w:val="24"/>
          <w:szCs w:val="24"/>
          <w:lang w:eastAsia="ru-RU"/>
        </w:rPr>
      </w:pPr>
      <w:r w:rsidRPr="0066263B">
        <w:rPr>
          <w:rFonts w:ascii="Times New Roman" w:eastAsia="Times New Roman" w:hAnsi="Times New Roman" w:cs="Times New Roman"/>
          <w:spacing w:val="2"/>
          <w:sz w:val="24"/>
          <w:szCs w:val="24"/>
          <w:lang w:eastAsia="ru-RU"/>
        </w:rPr>
        <w:t>по микробиологическим показателям – 19 проб;</w:t>
      </w:r>
    </w:p>
    <w:p w:rsidR="003143E3" w:rsidRPr="0066263B" w:rsidRDefault="003143E3" w:rsidP="00BE7104">
      <w:pPr>
        <w:numPr>
          <w:ilvl w:val="0"/>
          <w:numId w:val="65"/>
        </w:numPr>
        <w:spacing w:before="0" w:after="0"/>
        <w:ind w:left="993" w:hanging="142"/>
        <w:rPr>
          <w:rFonts w:ascii="Times New Roman" w:eastAsia="Times New Roman" w:hAnsi="Times New Roman" w:cs="Times New Roman"/>
          <w:spacing w:val="2"/>
          <w:sz w:val="24"/>
          <w:szCs w:val="24"/>
          <w:lang w:eastAsia="ru-RU"/>
        </w:rPr>
      </w:pPr>
      <w:r w:rsidRPr="0066263B">
        <w:rPr>
          <w:rFonts w:ascii="Times New Roman" w:eastAsia="Times New Roman" w:hAnsi="Times New Roman" w:cs="Times New Roman"/>
          <w:spacing w:val="2"/>
          <w:sz w:val="24"/>
          <w:szCs w:val="24"/>
          <w:lang w:eastAsia="ru-RU"/>
        </w:rPr>
        <w:t>по физико-химическим показателям – 1 проба;</w:t>
      </w:r>
    </w:p>
    <w:p w:rsidR="003143E3" w:rsidRPr="0066263B" w:rsidRDefault="003143E3" w:rsidP="00BE7104">
      <w:pPr>
        <w:numPr>
          <w:ilvl w:val="0"/>
          <w:numId w:val="65"/>
        </w:numPr>
        <w:spacing w:before="0" w:after="0"/>
        <w:ind w:left="993" w:hanging="142"/>
        <w:rPr>
          <w:rFonts w:ascii="Times New Roman" w:eastAsia="Times New Roman" w:hAnsi="Times New Roman" w:cs="Times New Roman"/>
          <w:spacing w:val="2"/>
          <w:sz w:val="24"/>
          <w:szCs w:val="24"/>
          <w:lang w:eastAsia="ru-RU"/>
        </w:rPr>
      </w:pPr>
      <w:r w:rsidRPr="0066263B">
        <w:rPr>
          <w:rFonts w:ascii="Times New Roman" w:eastAsia="Times New Roman" w:hAnsi="Times New Roman" w:cs="Times New Roman"/>
          <w:spacing w:val="2"/>
          <w:sz w:val="24"/>
          <w:szCs w:val="24"/>
          <w:lang w:eastAsia="ru-RU"/>
        </w:rPr>
        <w:t>по маркировке – 19 проб.</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Из числа исследованных проб по микробиологическим показателям не соответствовали нормативным требованиям 0,89% (2020 – 2,6%).</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 числа исследованных по физико-химическим показателям проб не соответствовали нормативным требованиям 1 из 32 исследованных (2020 – 2 из 53 исследованных).</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По маркировке не соответствовали требованиям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022/2011 8,33% проб (2020 – 8 проб из 92 исследованных).</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Исследованные по радиологическим, санитарно-гигиеническим, паразитологическим показателям пробы</w:t>
      </w:r>
      <w:r w:rsidR="00D97182" w:rsidRPr="0066263B">
        <w:rPr>
          <w:rFonts w:ascii="Times New Roman" w:eastAsia="Times New Roman" w:hAnsi="Times New Roman" w:cs="Times New Roman"/>
          <w:sz w:val="24"/>
          <w:szCs w:val="24"/>
          <w:lang w:eastAsia="ru-RU"/>
        </w:rPr>
        <w:t>, как и в 2020 году</w:t>
      </w:r>
      <w:r w:rsidRPr="0066263B">
        <w:rPr>
          <w:rFonts w:ascii="Times New Roman" w:eastAsia="Times New Roman" w:hAnsi="Times New Roman" w:cs="Times New Roman"/>
          <w:sz w:val="24"/>
          <w:szCs w:val="24"/>
          <w:lang w:eastAsia="ru-RU"/>
        </w:rPr>
        <w:t xml:space="preserve"> отвечали нормативным требованиям.</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соответствие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021/2011 «О безопасности пищевой продукции» исследовано 3</w:t>
      </w:r>
      <w:r w:rsidR="00D97182" w:rsidRPr="0066263B">
        <w:rPr>
          <w:rFonts w:ascii="Times New Roman" w:eastAsia="Times New Roman" w:hAnsi="Times New Roman" w:cs="Times New Roman"/>
          <w:sz w:val="24"/>
          <w:szCs w:val="24"/>
          <w:lang w:eastAsia="ru-RU"/>
        </w:rPr>
        <w:t> </w:t>
      </w:r>
      <w:r w:rsidRPr="0066263B">
        <w:rPr>
          <w:rFonts w:ascii="Times New Roman" w:eastAsia="Times New Roman" w:hAnsi="Times New Roman" w:cs="Times New Roman"/>
          <w:sz w:val="24"/>
          <w:szCs w:val="24"/>
          <w:lang w:eastAsia="ru-RU"/>
        </w:rPr>
        <w:t>939 проб, из них 7 проб или 0,18% не соответствовали нормативным требованиям</w:t>
      </w:r>
      <w:r w:rsidR="00D97182" w:rsidRPr="0066263B">
        <w:rPr>
          <w:rFonts w:ascii="Times New Roman" w:eastAsia="Times New Roman" w:hAnsi="Times New Roman" w:cs="Times New Roman"/>
          <w:sz w:val="24"/>
          <w:szCs w:val="24"/>
          <w:lang w:eastAsia="ru-RU"/>
        </w:rPr>
        <w:t xml:space="preserve"> (2020 – 1,1%)</w:t>
      </w:r>
      <w:r w:rsidRPr="0066263B">
        <w:rPr>
          <w:rFonts w:ascii="Times New Roman" w:eastAsia="Times New Roman" w:hAnsi="Times New Roman" w:cs="Times New Roman"/>
          <w:sz w:val="24"/>
          <w:szCs w:val="24"/>
          <w:lang w:eastAsia="ru-RU"/>
        </w:rPr>
        <w:t>.</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соответствие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023/2011 исследовано 11 проб продукции, пробы отвечали обязательным требованиям</w:t>
      </w:r>
      <w:r w:rsidR="00D97182" w:rsidRPr="0066263B">
        <w:rPr>
          <w:rFonts w:ascii="Times New Roman" w:eastAsia="Times New Roman" w:hAnsi="Times New Roman" w:cs="Times New Roman"/>
          <w:sz w:val="24"/>
          <w:szCs w:val="24"/>
          <w:lang w:eastAsia="ru-RU"/>
        </w:rPr>
        <w:t xml:space="preserve"> (2020 – пробы отвечали обязательным требованиям)</w:t>
      </w:r>
      <w:r w:rsidRPr="0066263B">
        <w:rPr>
          <w:rFonts w:ascii="Times New Roman" w:eastAsia="Times New Roman" w:hAnsi="Times New Roman" w:cs="Times New Roman"/>
          <w:sz w:val="24"/>
          <w:szCs w:val="24"/>
          <w:lang w:eastAsia="ru-RU"/>
        </w:rPr>
        <w:t>.</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соответствие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024/2011 исследовано 6 проб продукции, пробы отвечали обязательным требованиям</w:t>
      </w:r>
      <w:r w:rsidR="00D97182" w:rsidRPr="0066263B">
        <w:rPr>
          <w:rFonts w:ascii="Times New Roman" w:eastAsia="Times New Roman" w:hAnsi="Times New Roman" w:cs="Times New Roman"/>
          <w:sz w:val="24"/>
          <w:szCs w:val="24"/>
          <w:lang w:eastAsia="ru-RU"/>
        </w:rPr>
        <w:t xml:space="preserve"> (2020 – пробы отвечали обязательным требованиям)</w:t>
      </w:r>
      <w:r w:rsidRPr="0066263B">
        <w:rPr>
          <w:rFonts w:ascii="Times New Roman" w:eastAsia="Times New Roman" w:hAnsi="Times New Roman" w:cs="Times New Roman"/>
          <w:sz w:val="24"/>
          <w:szCs w:val="24"/>
          <w:lang w:eastAsia="ru-RU"/>
        </w:rPr>
        <w:t>.</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соответствие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029/2012 исследовано 32 пробы продукции, пробы отвечали обязательным требованиям</w:t>
      </w:r>
      <w:r w:rsidR="00D97182" w:rsidRPr="0066263B">
        <w:rPr>
          <w:rFonts w:ascii="Times New Roman" w:eastAsia="Times New Roman" w:hAnsi="Times New Roman" w:cs="Times New Roman"/>
          <w:sz w:val="24"/>
          <w:szCs w:val="24"/>
          <w:lang w:eastAsia="ru-RU"/>
        </w:rPr>
        <w:t xml:space="preserve"> (2020 – пробы отвечали обязательным требованиям)</w:t>
      </w:r>
      <w:r w:rsidRPr="0066263B">
        <w:rPr>
          <w:rFonts w:ascii="Times New Roman" w:eastAsia="Times New Roman" w:hAnsi="Times New Roman" w:cs="Times New Roman"/>
          <w:sz w:val="24"/>
          <w:szCs w:val="24"/>
          <w:lang w:eastAsia="ru-RU"/>
        </w:rPr>
        <w:t>.</w:t>
      </w:r>
    </w:p>
    <w:p w:rsidR="003143E3" w:rsidRPr="0066263B" w:rsidRDefault="003143E3" w:rsidP="003143E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соответствие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033/2013 исследовано 143 пробы продукции, из них не соответствовали нормативным требованиям 13 проб или 9,09% (2020 </w:t>
      </w:r>
      <w:r w:rsidR="00D97182" w:rsidRPr="0066263B">
        <w:rPr>
          <w:rFonts w:ascii="Times New Roman" w:eastAsia="Times New Roman" w:hAnsi="Times New Roman" w:cs="Times New Roman"/>
          <w:sz w:val="24"/>
          <w:szCs w:val="24"/>
          <w:lang w:eastAsia="ru-RU"/>
        </w:rPr>
        <w:t xml:space="preserve">– </w:t>
      </w:r>
      <w:r w:rsidRPr="0066263B">
        <w:rPr>
          <w:rFonts w:ascii="Times New Roman" w:eastAsia="Times New Roman" w:hAnsi="Times New Roman" w:cs="Times New Roman"/>
          <w:sz w:val="24"/>
          <w:szCs w:val="24"/>
          <w:lang w:eastAsia="ru-RU"/>
        </w:rPr>
        <w:t>5,6%):</w:t>
      </w:r>
    </w:p>
    <w:p w:rsidR="00D97182" w:rsidRPr="0066263B" w:rsidRDefault="00D97182" w:rsidP="00BE7104">
      <w:pPr>
        <w:numPr>
          <w:ilvl w:val="0"/>
          <w:numId w:val="65"/>
        </w:numPr>
        <w:spacing w:before="0" w:after="0"/>
        <w:ind w:left="993" w:hanging="142"/>
        <w:rPr>
          <w:rFonts w:ascii="Times New Roman" w:eastAsia="Times New Roman" w:hAnsi="Times New Roman" w:cs="Times New Roman"/>
          <w:spacing w:val="2"/>
          <w:sz w:val="24"/>
          <w:szCs w:val="24"/>
          <w:lang w:eastAsia="ru-RU"/>
        </w:rPr>
      </w:pPr>
      <w:r w:rsidRPr="0066263B">
        <w:rPr>
          <w:rFonts w:ascii="Times New Roman" w:eastAsia="Times New Roman" w:hAnsi="Times New Roman" w:cs="Times New Roman"/>
          <w:spacing w:val="2"/>
          <w:sz w:val="24"/>
          <w:szCs w:val="24"/>
          <w:lang w:eastAsia="ru-RU"/>
        </w:rPr>
        <w:t xml:space="preserve">по физико-химическим показателям не соответствовала 1 проба из 31 </w:t>
      </w:r>
      <w:proofErr w:type="gramStart"/>
      <w:r w:rsidRPr="0066263B">
        <w:rPr>
          <w:rFonts w:ascii="Times New Roman" w:eastAsia="Times New Roman" w:hAnsi="Times New Roman" w:cs="Times New Roman"/>
          <w:spacing w:val="2"/>
          <w:sz w:val="24"/>
          <w:szCs w:val="24"/>
          <w:lang w:eastAsia="ru-RU"/>
        </w:rPr>
        <w:t>исследованных</w:t>
      </w:r>
      <w:proofErr w:type="gramEnd"/>
      <w:r w:rsidRPr="0066263B">
        <w:rPr>
          <w:rFonts w:ascii="Times New Roman" w:eastAsia="Times New Roman" w:hAnsi="Times New Roman" w:cs="Times New Roman"/>
          <w:spacing w:val="2"/>
          <w:sz w:val="24"/>
          <w:szCs w:val="24"/>
          <w:lang w:eastAsia="ru-RU"/>
        </w:rPr>
        <w:t>;</w:t>
      </w:r>
    </w:p>
    <w:p w:rsidR="00D97182" w:rsidRPr="0066263B" w:rsidRDefault="00D97182" w:rsidP="00BE7104">
      <w:pPr>
        <w:numPr>
          <w:ilvl w:val="0"/>
          <w:numId w:val="65"/>
        </w:numPr>
        <w:spacing w:before="0" w:after="0"/>
        <w:ind w:left="993" w:hanging="142"/>
        <w:rPr>
          <w:rFonts w:ascii="Times New Roman" w:eastAsia="Times New Roman" w:hAnsi="Times New Roman" w:cs="Times New Roman"/>
          <w:spacing w:val="2"/>
          <w:sz w:val="24"/>
          <w:szCs w:val="24"/>
          <w:lang w:eastAsia="ru-RU"/>
        </w:rPr>
      </w:pPr>
      <w:r w:rsidRPr="0066263B">
        <w:rPr>
          <w:rFonts w:ascii="Times New Roman" w:eastAsia="Times New Roman" w:hAnsi="Times New Roman" w:cs="Times New Roman"/>
          <w:spacing w:val="2"/>
          <w:sz w:val="24"/>
          <w:szCs w:val="24"/>
          <w:lang w:eastAsia="ru-RU"/>
        </w:rPr>
        <w:t xml:space="preserve">по микробиологическим показателям – 12 из 117 </w:t>
      </w:r>
      <w:proofErr w:type="gramStart"/>
      <w:r w:rsidRPr="0066263B">
        <w:rPr>
          <w:rFonts w:ascii="Times New Roman" w:eastAsia="Times New Roman" w:hAnsi="Times New Roman" w:cs="Times New Roman"/>
          <w:spacing w:val="2"/>
          <w:sz w:val="24"/>
          <w:szCs w:val="24"/>
          <w:lang w:eastAsia="ru-RU"/>
        </w:rPr>
        <w:t>исследованных</w:t>
      </w:r>
      <w:proofErr w:type="gramEnd"/>
      <w:r w:rsidRPr="0066263B">
        <w:rPr>
          <w:rFonts w:ascii="Times New Roman" w:eastAsia="Times New Roman" w:hAnsi="Times New Roman" w:cs="Times New Roman"/>
          <w:spacing w:val="2"/>
          <w:sz w:val="24"/>
          <w:szCs w:val="24"/>
          <w:lang w:eastAsia="ru-RU"/>
        </w:rPr>
        <w:t xml:space="preserve"> или 10,26% (2020 - 6,9%);</w:t>
      </w:r>
    </w:p>
    <w:p w:rsidR="00D97182" w:rsidRPr="0066263B" w:rsidRDefault="00D97182" w:rsidP="00BE7104">
      <w:pPr>
        <w:numPr>
          <w:ilvl w:val="0"/>
          <w:numId w:val="65"/>
        </w:numPr>
        <w:spacing w:before="0" w:after="0"/>
        <w:ind w:left="993" w:hanging="142"/>
        <w:rPr>
          <w:rFonts w:ascii="Times New Roman" w:eastAsia="Times New Roman" w:hAnsi="Times New Roman" w:cs="Times New Roman"/>
          <w:spacing w:val="2"/>
          <w:sz w:val="24"/>
          <w:szCs w:val="24"/>
          <w:lang w:eastAsia="ru-RU"/>
        </w:rPr>
      </w:pPr>
      <w:r w:rsidRPr="0066263B">
        <w:rPr>
          <w:rFonts w:ascii="Times New Roman" w:eastAsia="Times New Roman" w:hAnsi="Times New Roman" w:cs="Times New Roman"/>
          <w:spacing w:val="2"/>
          <w:sz w:val="24"/>
          <w:szCs w:val="24"/>
          <w:lang w:eastAsia="ru-RU"/>
        </w:rPr>
        <w:t>по маркировке – 10 проб из 45 исследованных.</w:t>
      </w:r>
    </w:p>
    <w:p w:rsidR="003143E3" w:rsidRPr="0066263B" w:rsidRDefault="003143E3" w:rsidP="00235265">
      <w:pPr>
        <w:spacing w:before="0" w:after="0"/>
        <w:ind w:firstLine="709"/>
        <w:rPr>
          <w:rFonts w:ascii="Times New Roman" w:eastAsia="Times New Roman" w:hAnsi="Times New Roman" w:cs="Times New Roman"/>
          <w:sz w:val="24"/>
          <w:szCs w:val="24"/>
          <w:lang w:eastAsia="ru-RU"/>
        </w:rPr>
      </w:pPr>
    </w:p>
    <w:p w:rsidR="00D97182" w:rsidRPr="0066263B" w:rsidRDefault="00D97182" w:rsidP="00D9718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соответствие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034/2013 исследовано 27 проб, пробы отвечали обязательным требованиям.</w:t>
      </w:r>
    </w:p>
    <w:p w:rsidR="00D97182" w:rsidRPr="0066263B" w:rsidRDefault="00D97182" w:rsidP="00D9718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На соответствие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ЕАЭС 040/2016 «О безопасности рыбы и рыбной продукции» исследовано 7 проб, пробы отвечали нормативным требованиям.</w:t>
      </w:r>
    </w:p>
    <w:p w:rsidR="00D97182" w:rsidRPr="0066263B" w:rsidRDefault="00D97182" w:rsidP="00D9718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Не проводились исследования на соответствие </w:t>
      </w:r>
      <w:proofErr w:type="gramStart"/>
      <w:r w:rsidRPr="0066263B">
        <w:rPr>
          <w:rFonts w:ascii="Times New Roman" w:eastAsia="Times New Roman" w:hAnsi="Times New Roman" w:cs="Times New Roman"/>
          <w:sz w:val="24"/>
          <w:szCs w:val="24"/>
          <w:lang w:eastAsia="ru-RU"/>
        </w:rPr>
        <w:t>ТР</w:t>
      </w:r>
      <w:proofErr w:type="gramEnd"/>
      <w:r w:rsidRPr="0066263B">
        <w:rPr>
          <w:rFonts w:ascii="Times New Roman" w:eastAsia="Times New Roman" w:hAnsi="Times New Roman" w:cs="Times New Roman"/>
          <w:sz w:val="24"/>
          <w:szCs w:val="24"/>
          <w:lang w:eastAsia="ru-RU"/>
        </w:rPr>
        <w:t xml:space="preserve"> ТС 027/2012 «О безопасности отдельных видов специализированной пищевой продукции, в том числе диетического лечебного и диетического профилактического питания», ТР ТС 015/2011 «О безопасности зерна», ТР ЕАЭС 044/2017 «О безопасности упакованной питьевой воды, включая природную минеральную воду», ТР ЕАЭС 047/2018 «О безопасности алкогольной продукции».</w:t>
      </w:r>
    </w:p>
    <w:p w:rsidR="003143E3" w:rsidRPr="0066263B" w:rsidRDefault="00D97182" w:rsidP="00D97182">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Исследования непищевой продукции на соответствие требованиям технических регламентов в 2021 году не проводились.</w:t>
      </w:r>
    </w:p>
    <w:p w:rsidR="0082170B" w:rsidRPr="0066263B" w:rsidRDefault="0082170B" w:rsidP="00474DF4">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i/>
          <w:sz w:val="24"/>
          <w:szCs w:val="24"/>
          <w:u w:val="single"/>
          <w:lang w:eastAsia="ru-RU"/>
        </w:rPr>
        <w:br w:type="page"/>
      </w:r>
    </w:p>
    <w:p w:rsidR="00324483" w:rsidRPr="0066263B" w:rsidRDefault="00324483" w:rsidP="00324483">
      <w:pPr>
        <w:spacing w:before="0" w:after="0"/>
        <w:ind w:left="709"/>
        <w:jc w:val="left"/>
        <w:rPr>
          <w:rFonts w:ascii="Times New Roman" w:eastAsia="Times New Roman" w:hAnsi="Times New Roman" w:cs="Times New Roman"/>
          <w:i/>
          <w:sz w:val="24"/>
          <w:szCs w:val="24"/>
          <w:u w:val="single"/>
          <w:lang w:eastAsia="ru-RU"/>
        </w:rPr>
      </w:pPr>
      <w:r w:rsidRPr="0066263B">
        <w:rPr>
          <w:rFonts w:ascii="Times New Roman" w:eastAsia="Times New Roman" w:hAnsi="Times New Roman" w:cs="Times New Roman"/>
          <w:i/>
          <w:sz w:val="24"/>
          <w:szCs w:val="24"/>
          <w:u w:val="single"/>
          <w:lang w:eastAsia="ru-RU"/>
        </w:rPr>
        <w:lastRenderedPageBreak/>
        <w:t>Мероприятия по выполнению пункта 1.8. Плана мероприятий по реализации</w:t>
      </w:r>
      <w:r w:rsidRPr="0066263B">
        <w:rPr>
          <w:rFonts w:ascii="Times New Roman" w:eastAsia="Times New Roman" w:hAnsi="Times New Roman" w:cs="Times New Roman"/>
          <w:i/>
          <w:sz w:val="24"/>
          <w:szCs w:val="24"/>
          <w:u w:val="single"/>
          <w:lang w:eastAsia="ru-RU"/>
        </w:rPr>
        <w:br/>
        <w:t>стратегии экономического развития Содружества Независимых Государств</w:t>
      </w:r>
      <w:r w:rsidRPr="0066263B">
        <w:rPr>
          <w:rFonts w:ascii="Times New Roman" w:eastAsia="Times New Roman" w:hAnsi="Times New Roman" w:cs="Times New Roman"/>
          <w:i/>
          <w:sz w:val="24"/>
          <w:szCs w:val="24"/>
          <w:u w:val="single"/>
          <w:lang w:eastAsia="ru-RU"/>
        </w:rPr>
        <w:br/>
        <w:t>на период до 2020 года</w:t>
      </w:r>
    </w:p>
    <w:p w:rsidR="0047786E" w:rsidRPr="0066263B" w:rsidRDefault="0047786E" w:rsidP="0047786E">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случаев завоза и распространения особо опасных инфекционных заболеваний на территории Брянской области не было.</w:t>
      </w:r>
    </w:p>
    <w:p w:rsidR="0047786E" w:rsidRPr="0066263B" w:rsidRDefault="0047786E" w:rsidP="0047786E">
      <w:pPr>
        <w:shd w:val="clear" w:color="auto" w:fill="FFFFFF"/>
        <w:spacing w:before="0" w:after="0"/>
        <w:ind w:firstLine="709"/>
        <w:rPr>
          <w:rFonts w:ascii="Times New Roman" w:eastAsia="Times New Roman" w:hAnsi="Times New Roman" w:cs="Times New Roman"/>
          <w:sz w:val="24"/>
          <w:szCs w:val="24"/>
          <w:lang w:eastAsia="ru-RU"/>
        </w:rPr>
      </w:pPr>
    </w:p>
    <w:p w:rsidR="0047786E" w:rsidRPr="0066263B" w:rsidRDefault="0047786E" w:rsidP="0047786E">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работниками СКП на автомобильных пунктах пропуска через государственную границу РФ при прибытии на таможенную территорию Таможенного союза: досмотрено 73 266 ед. транспортных средств (17 099 – пассажирских и 56 167 – грузовых), приостановлен пропуск 352 транспортных средств. Досмотрено на наличие признаков инфекционных заболеваний 480 326 человек, выявлен – 1 (больные и лица с подозрением на инфекционные заболевания).</w:t>
      </w:r>
    </w:p>
    <w:p w:rsidR="0047786E" w:rsidRPr="0066263B" w:rsidRDefault="0047786E" w:rsidP="0047786E">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2021 году были проведены тренировочные учения с вводом условного больного лихорадкой на всех автомобильных пунктах пропуска и в ОАО «Международный аэропорт «Брянск». Откорректированы планы межведомственного взаимодействия.</w:t>
      </w:r>
    </w:p>
    <w:p w:rsidR="0047786E" w:rsidRPr="0066263B" w:rsidRDefault="0047786E" w:rsidP="0047786E">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В случае возникновения на сопредельных территориях особо опасных инфекционных заболеваний осуществляется передача оперативной информации в учреждения санитарно-эпидемиологических служб республики Беларусь.</w:t>
      </w:r>
    </w:p>
    <w:p w:rsidR="0047786E" w:rsidRPr="0066263B" w:rsidRDefault="0047786E" w:rsidP="0047786E">
      <w:pPr>
        <w:shd w:val="clear" w:color="auto" w:fill="FFFFFF"/>
        <w:spacing w:before="0" w:after="0"/>
        <w:ind w:firstLine="709"/>
        <w:rPr>
          <w:rFonts w:ascii="Times New Roman" w:eastAsia="Times New Roman" w:hAnsi="Times New Roman" w:cs="Times New Roman"/>
          <w:sz w:val="24"/>
          <w:szCs w:val="24"/>
          <w:lang w:eastAsia="ru-RU"/>
        </w:rPr>
      </w:pPr>
    </w:p>
    <w:p w:rsidR="0047786E" w:rsidRPr="0066263B" w:rsidRDefault="0047786E" w:rsidP="0047786E">
      <w:pPr>
        <w:shd w:val="clear" w:color="auto" w:fill="FFFFFF"/>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Управлением Роспотребнадзора по Брянской области направляется анализ заболеваемости природно-очаговыми инфекциями на территории Брянской области в Гомельскую и Могилёвскую области республики Беларусь.</w:t>
      </w:r>
    </w:p>
    <w:p w:rsidR="0047786E" w:rsidRPr="0066263B" w:rsidRDefault="0047786E" w:rsidP="00EA11E0">
      <w:pPr>
        <w:shd w:val="clear" w:color="auto" w:fill="FFFFFF"/>
        <w:spacing w:before="0" w:after="0"/>
        <w:ind w:firstLine="709"/>
        <w:rPr>
          <w:rFonts w:ascii="Times New Roman" w:eastAsia="Times New Roman" w:hAnsi="Times New Roman" w:cs="Times New Roman"/>
          <w:sz w:val="24"/>
          <w:szCs w:val="24"/>
          <w:lang w:eastAsia="ru-RU"/>
        </w:rPr>
      </w:pPr>
    </w:p>
    <w:tbl>
      <w:tblPr>
        <w:tblW w:w="9072" w:type="dxa"/>
        <w:tblInd w:w="108" w:type="dxa"/>
        <w:tblLook w:val="01E0"/>
      </w:tblPr>
      <w:tblGrid>
        <w:gridCol w:w="9072"/>
      </w:tblGrid>
      <w:tr w:rsidR="00324483" w:rsidRPr="0066263B" w:rsidTr="00C56F65">
        <w:tc>
          <w:tcPr>
            <w:tcW w:w="9072" w:type="dxa"/>
            <w:tcBorders>
              <w:bottom w:val="double" w:sz="12" w:space="0" w:color="auto"/>
            </w:tcBorders>
          </w:tcPr>
          <w:p w:rsidR="00324483" w:rsidRPr="0066263B" w:rsidRDefault="00324483" w:rsidP="00324483">
            <w:pPr>
              <w:pageBreakBefore/>
              <w:jc w:val="center"/>
              <w:outlineLvl w:val="0"/>
              <w:rPr>
                <w:rFonts w:ascii="Times New Roman" w:eastAsia="Times New Roman" w:hAnsi="Times New Roman" w:cs="Times New Roman"/>
                <w:b/>
                <w:sz w:val="28"/>
                <w:szCs w:val="28"/>
                <w:lang w:eastAsia="ru-RU"/>
              </w:rPr>
            </w:pPr>
            <w:r w:rsidRPr="0066263B">
              <w:rPr>
                <w:rFonts w:ascii="Times New Roman" w:eastAsia="Times New Roman" w:hAnsi="Times New Roman" w:cs="Times New Roman"/>
                <w:sz w:val="24"/>
                <w:szCs w:val="24"/>
                <w:lang w:eastAsia="ru-RU"/>
              </w:rPr>
              <w:lastRenderedPageBreak/>
              <w:br w:type="page"/>
            </w:r>
            <w:r w:rsidRPr="0066263B">
              <w:rPr>
                <w:rFonts w:ascii="Times New Roman" w:eastAsia="Times New Roman" w:hAnsi="Times New Roman" w:cs="Times New Roman"/>
                <w:sz w:val="24"/>
                <w:szCs w:val="24"/>
                <w:lang w:eastAsia="ru-RU"/>
              </w:rPr>
              <w:br w:type="page"/>
            </w:r>
            <w:r w:rsidRPr="0066263B">
              <w:rPr>
                <w:rFonts w:ascii="Times New Roman" w:eastAsia="Times New Roman" w:hAnsi="Times New Roman" w:cs="Times New Roman"/>
                <w:sz w:val="24"/>
                <w:szCs w:val="24"/>
                <w:lang w:eastAsia="ru-RU"/>
              </w:rPr>
              <w:br w:type="page"/>
            </w:r>
            <w:bookmarkStart w:id="21" w:name="_Toc2253838"/>
            <w:r w:rsidRPr="0066263B">
              <w:rPr>
                <w:rFonts w:ascii="Times New Roman" w:eastAsia="Times New Roman" w:hAnsi="Times New Roman" w:cs="Times New Roman"/>
                <w:b/>
                <w:sz w:val="28"/>
                <w:szCs w:val="28"/>
                <w:lang w:eastAsia="ru-RU"/>
              </w:rPr>
              <w:t>Заключение</w:t>
            </w:r>
            <w:bookmarkEnd w:id="21"/>
          </w:p>
        </w:tc>
      </w:tr>
    </w:tbl>
    <w:p w:rsidR="00324483" w:rsidRPr="0066263B" w:rsidRDefault="00324483" w:rsidP="00324483">
      <w:pPr>
        <w:spacing w:before="0" w:after="0"/>
        <w:ind w:firstLine="709"/>
        <w:rPr>
          <w:rFonts w:ascii="Times New Roman" w:eastAsia="Times New Roman" w:hAnsi="Times New Roman" w:cs="Times New Roman"/>
          <w:sz w:val="24"/>
          <w:szCs w:val="24"/>
          <w:lang w:eastAsia="ru-RU"/>
        </w:rPr>
      </w:pPr>
      <w:bookmarkStart w:id="22" w:name="Оргработа"/>
      <w:bookmarkEnd w:id="22"/>
    </w:p>
    <w:p w:rsidR="00324483" w:rsidRPr="0066263B" w:rsidRDefault="00324483" w:rsidP="00324483">
      <w:pPr>
        <w:spacing w:before="0" w:after="0"/>
        <w:ind w:firstLine="709"/>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стабилизации и обеспечения санитарно-эпидемиологического благополучия необходимо осуществление следующих первоочередных мероприятий:</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реализации государственных программ «Экология», «Демография».</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Проведение в установленном порядке в рамках осуществления государственного надзора мероприятий по </w:t>
      </w:r>
      <w:proofErr w:type="gramStart"/>
      <w:r w:rsidRPr="0066263B">
        <w:rPr>
          <w:rFonts w:ascii="Times New Roman" w:eastAsia="Times New Roman" w:hAnsi="Times New Roman" w:cs="Times New Roman"/>
          <w:sz w:val="24"/>
          <w:szCs w:val="24"/>
          <w:lang w:eastAsia="ru-RU"/>
        </w:rPr>
        <w:t>контролю за</w:t>
      </w:r>
      <w:proofErr w:type="gramEnd"/>
      <w:r w:rsidRPr="0066263B">
        <w:rPr>
          <w:rFonts w:ascii="Times New Roman" w:eastAsia="Times New Roman" w:hAnsi="Times New Roman" w:cs="Times New Roman"/>
          <w:sz w:val="24"/>
          <w:szCs w:val="24"/>
          <w:lang w:eastAsia="ru-RU"/>
        </w:rPr>
        <w:t xml:space="preserve"> соблюдением требований Технических регламентов, в части полномочий органов Роспотребнадзора.</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Строительство новых дошкольных, общеобразовательных учреждений.</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Сохранение сети детских и подростковых учреждений, в т.ч. оздоровительных.</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Организация рационального питания детей и подростков в образовательных и оздоровительных учреждениях, использование в рационах питания продуктов с повышенной пищевой и биологической ценностью, обогащённых микр</w:t>
      </w:r>
      <w:proofErr w:type="gramStart"/>
      <w:r w:rsidRPr="0066263B">
        <w:rPr>
          <w:rFonts w:ascii="Times New Roman" w:eastAsia="Times New Roman" w:hAnsi="Times New Roman" w:cs="Times New Roman"/>
          <w:sz w:val="24"/>
          <w:szCs w:val="24"/>
          <w:lang w:eastAsia="ru-RU"/>
        </w:rPr>
        <w:t>о-</w:t>
      </w:r>
      <w:proofErr w:type="gramEnd"/>
      <w:r w:rsidRPr="0066263B">
        <w:rPr>
          <w:rFonts w:ascii="Times New Roman" w:eastAsia="Times New Roman" w:hAnsi="Times New Roman" w:cs="Times New Roman"/>
          <w:sz w:val="24"/>
          <w:szCs w:val="24"/>
          <w:lang w:eastAsia="ru-RU"/>
        </w:rPr>
        <w:t xml:space="preserve"> и макронутриентами; обеспечение охвата горячим питанием обучающихся в общеобразовательных учреждениях, учреждениях начального и среднего профессионального образования в соответствии с требованиями санитарных правил.</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Углублённое внедрение единой государственной системы контроля и учёта индивидуальных доз облучения граждан от всех видов облучения.</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С целью снижения доз облучения населения, проживающего на радиоактивно загрязнённых территориях Брянской области, обеспечить дальнейшее проведение реабилитационных мероприятий на этих территориях с обеспечением сельхозпредприятий и личных подсобных хозяйств в достаточном количестве минеральными удобрениями и радиопротекторами – для снижения уровня радиоактивности в пищевой продукции местного производства.</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Проведение радиационно-гигиенического мониторинга за продуктами питания, объектами окружающей среды на радиоактивно загрязнённых территориях Брянской области.</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реализации указов Президента Российской Федерации от 7 мая 2018 года.</w:t>
      </w:r>
    </w:p>
    <w:p w:rsidR="002B48FE" w:rsidRPr="0066263B" w:rsidRDefault="002B48FE" w:rsidP="002B48FE">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реализации государственной программы «Развитие здравоохранения», в части компетенции Роспотребнадзора.</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Поддержание статуса Брянской области как территории, свободной от полиомиелита.</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эпидемиологического надзора за энтеровирусной инфекцией.</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Недопущение возникновения групповых случаев заболеваемости корью и краснухой на территории Брянской области.</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Реализация положений Соглашения Таможенного союза по санитарным мерам.</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Материально-техническое оснащение и техническое перевооружение санитарно-карантинных пунктов Управления Роспотребнадзора по Брянской области в пунктах пропуска через государственную границу Российской Федерации.</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Недопущение завоза опасных инфекционных болезней, в том числе новой коронавирусной инфекции.</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противоэпидемической готовности госпитальной базы к оперативному реагированию на чрезвычайные ситуации санитарно-эпидемиологического характера.</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lastRenderedPageBreak/>
        <w:t>Обеспечение готовности медицинских организаций к приёму инфекционных больных, в т.ч. новой коронавирусной инфекции (наличие средств индивидуальной защиты, дезсредств, оборудования и т.д.).</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готовности учреждений Роспотребнадзора и медицинских организаций Брянской области на случай выявления инфекционных болезней.</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Недопущение возникновения случаев групповой заболеваемости инфекций, связанных с оказанием медицинской помощи в медицинских организациях Брянской области.</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качественного эпизоотологического мониторинга за природно-очаговыми инфекциями: туляремия, геморрагическая лихорадка с почечным синдромом, иксодовый клещевой боррелиоз, лептоспироз.</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снижения заболеваемости ветряной оспой, менингококковой инфекцией, болезнью Лайма, внебольничными пневмониями, укусами животными до уровня показателей средних по РФ, сдерживание роста заболеваемости вирусным гепатитом А.</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достижения уровня охвата вакцинацией против гриппа не менее 60% населения области, 75% в группах риска.</w:t>
      </w:r>
    </w:p>
    <w:p w:rsidR="00EA11E0" w:rsidRPr="0066263B" w:rsidRDefault="00EA11E0" w:rsidP="00EA11E0">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Обеспечение дополнительных мероприятий по профилактике кори и краснухи, направленных на проведение внеплановой иммунизации групп риска (трудовые мигранты, кочующих групп населения и других труднодоступных контингентов).</w:t>
      </w:r>
    </w:p>
    <w:p w:rsidR="00324483" w:rsidRPr="0066263B" w:rsidRDefault="00324483" w:rsidP="00324483">
      <w:pPr>
        <w:spacing w:before="0" w:after="0"/>
        <w:ind w:firstLine="708"/>
        <w:rPr>
          <w:rFonts w:ascii="Times New Roman" w:eastAsia="Times New Roman" w:hAnsi="Times New Roman" w:cs="Times New Roman"/>
          <w:sz w:val="24"/>
          <w:szCs w:val="24"/>
          <w:lang w:eastAsia="ru-RU"/>
        </w:rPr>
      </w:pPr>
    </w:p>
    <w:p w:rsidR="00324483" w:rsidRPr="0066263B" w:rsidRDefault="00324483" w:rsidP="00324483">
      <w:pPr>
        <w:spacing w:before="0" w:after="0"/>
        <w:ind w:left="709"/>
        <w:jc w:val="center"/>
        <w:rPr>
          <w:rFonts w:ascii="Times New Roman" w:eastAsia="Times New Roman" w:hAnsi="Times New Roman" w:cs="Times New Roman"/>
          <w:i/>
          <w:sz w:val="24"/>
          <w:szCs w:val="24"/>
          <w:lang w:eastAsia="ru-RU"/>
        </w:rPr>
      </w:pPr>
      <w:r w:rsidRPr="0066263B">
        <w:rPr>
          <w:rFonts w:ascii="Times New Roman" w:eastAsia="Times New Roman" w:hAnsi="Times New Roman" w:cs="Times New Roman"/>
          <w:i/>
          <w:sz w:val="24"/>
          <w:szCs w:val="24"/>
          <w:lang w:eastAsia="ru-RU"/>
        </w:rPr>
        <w:t>Рекомендации органам исполнительной власти Брянской области</w:t>
      </w:r>
    </w:p>
    <w:p w:rsidR="00474DF4" w:rsidRPr="0066263B" w:rsidRDefault="00474DF4" w:rsidP="00474DF4">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Проведение руководителями соответствующих служб и организаций независимо от их организационно-правовых форм комплекса санитарно-технических мероприятий по реализации Федерального закона от 07.12.2011 № 416-ФЗ «О водоснабжении и водоотведении».</w:t>
      </w:r>
    </w:p>
    <w:p w:rsidR="00474DF4" w:rsidRPr="0066263B" w:rsidRDefault="00474DF4" w:rsidP="00474DF4">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Изыскать возможность выделения необходимых финансовых средств на проведение </w:t>
      </w:r>
      <w:proofErr w:type="spellStart"/>
      <w:r w:rsidRPr="0066263B">
        <w:rPr>
          <w:rFonts w:ascii="Times New Roman" w:eastAsia="Times New Roman" w:hAnsi="Times New Roman" w:cs="Times New Roman"/>
          <w:sz w:val="24"/>
          <w:szCs w:val="24"/>
          <w:lang w:eastAsia="ru-RU"/>
        </w:rPr>
        <w:t>акарицидных</w:t>
      </w:r>
      <w:proofErr w:type="spellEnd"/>
      <w:r w:rsidRPr="0066263B">
        <w:rPr>
          <w:rFonts w:ascii="Times New Roman" w:eastAsia="Times New Roman" w:hAnsi="Times New Roman" w:cs="Times New Roman"/>
          <w:sz w:val="24"/>
          <w:szCs w:val="24"/>
          <w:lang w:eastAsia="ru-RU"/>
        </w:rPr>
        <w:t xml:space="preserve"> обработок территорий высокого риска инфицирования населения клещевым энцефалитом и боррелиозом (в зонах летнего оздоровительного отдыха детей и взрослых, скверов, парков, садоводческих кооперативов, участков леса, прилегающих к населённым пунктам и др.).</w:t>
      </w:r>
    </w:p>
    <w:p w:rsidR="005201A5" w:rsidRPr="0066263B" w:rsidRDefault="005201A5" w:rsidP="005201A5">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Потребовать в пределах компетенции Роспотребнадзора от юридических лиц и индивидуальных предпринимателей выполнения требований санитарного законодательства в процессе производства, хранения и продажи продовольственных товаров, обеспечения населения доброкачественной водой и предоставлении населению качественных услуг в условиях неустойчивой эпидемической ситуации по группе острых кишечных инфекций.</w:t>
      </w:r>
    </w:p>
    <w:p w:rsidR="005201A5" w:rsidRPr="0066263B" w:rsidRDefault="005201A5" w:rsidP="005201A5">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Изыскать дополнительные средства из областного бюджета на закупку вакцин (менингококковая, пневмококковая, ветряная оспа) для иммунизации лиц призывного возраста, вакцинации населения из групп риска и в очагах против вирусного гепатита А.</w:t>
      </w:r>
    </w:p>
    <w:p w:rsidR="005201A5" w:rsidRPr="0066263B" w:rsidRDefault="005201A5" w:rsidP="005201A5">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 xml:space="preserve">Изыскать дополнительные средства из областного бюджета на закупку пневмококковой вакцины для иммунизации лиц из групп риска (больные с хроническими заболеваниями лёгочной системы, больные с хроническими заболеваниями </w:t>
      </w:r>
      <w:proofErr w:type="spellStart"/>
      <w:proofErr w:type="gramStart"/>
      <w:r w:rsidRPr="0066263B">
        <w:rPr>
          <w:rFonts w:ascii="Times New Roman" w:eastAsia="Times New Roman" w:hAnsi="Times New Roman" w:cs="Times New Roman"/>
          <w:sz w:val="24"/>
          <w:szCs w:val="24"/>
          <w:lang w:eastAsia="ru-RU"/>
        </w:rPr>
        <w:t>сердечно-сосудистой</w:t>
      </w:r>
      <w:proofErr w:type="spellEnd"/>
      <w:proofErr w:type="gramEnd"/>
      <w:r w:rsidRPr="0066263B">
        <w:rPr>
          <w:rFonts w:ascii="Times New Roman" w:eastAsia="Times New Roman" w:hAnsi="Times New Roman" w:cs="Times New Roman"/>
          <w:sz w:val="24"/>
          <w:szCs w:val="24"/>
          <w:lang w:eastAsia="ru-RU"/>
        </w:rPr>
        <w:t xml:space="preserve"> системы, </w:t>
      </w:r>
      <w:proofErr w:type="spellStart"/>
      <w:r w:rsidRPr="0066263B">
        <w:rPr>
          <w:rFonts w:ascii="Times New Roman" w:eastAsia="Times New Roman" w:hAnsi="Times New Roman" w:cs="Times New Roman"/>
          <w:sz w:val="24"/>
          <w:szCs w:val="24"/>
          <w:lang w:eastAsia="ru-RU"/>
        </w:rPr>
        <w:t>онкобольные</w:t>
      </w:r>
      <w:proofErr w:type="spellEnd"/>
      <w:r w:rsidRPr="0066263B">
        <w:rPr>
          <w:rFonts w:ascii="Times New Roman" w:eastAsia="Times New Roman" w:hAnsi="Times New Roman" w:cs="Times New Roman"/>
          <w:sz w:val="24"/>
          <w:szCs w:val="24"/>
          <w:lang w:eastAsia="ru-RU"/>
        </w:rPr>
        <w:t>, лица старше 65 лет).</w:t>
      </w:r>
    </w:p>
    <w:p w:rsidR="005201A5" w:rsidRPr="0066263B" w:rsidRDefault="005201A5" w:rsidP="005201A5">
      <w:pPr>
        <w:numPr>
          <w:ilvl w:val="0"/>
          <w:numId w:val="2"/>
        </w:numPr>
        <w:spacing w:before="0" w:after="0"/>
        <w:ind w:hanging="153"/>
        <w:rPr>
          <w:rFonts w:ascii="Times New Roman" w:eastAsia="Times New Roman" w:hAnsi="Times New Roman" w:cs="Times New Roman"/>
          <w:sz w:val="24"/>
          <w:szCs w:val="24"/>
          <w:lang w:eastAsia="ru-RU"/>
        </w:rPr>
      </w:pPr>
      <w:r w:rsidRPr="0066263B">
        <w:rPr>
          <w:rFonts w:ascii="Times New Roman" w:eastAsia="Times New Roman" w:hAnsi="Times New Roman" w:cs="Times New Roman"/>
          <w:sz w:val="24"/>
          <w:szCs w:val="24"/>
          <w:lang w:eastAsia="ru-RU"/>
        </w:rPr>
        <w:t>Изыскать дополнительные средства из областного бюджета для профилактики вируса папилломы человека у девушек и женщин из групп риска.</w:t>
      </w:r>
    </w:p>
    <w:sectPr w:rsidR="005201A5" w:rsidRPr="0066263B" w:rsidSect="00C56F65">
      <w:headerReference w:type="default" r:id="rId123"/>
      <w:footerReference w:type="default" r:id="rId124"/>
      <w:headerReference w:type="first" r:id="rId125"/>
      <w:footerReference w:type="first" r:id="rId126"/>
      <w:pgSz w:w="11906" w:h="16838" w:code="9"/>
      <w:pgMar w:top="1276" w:right="1418" w:bottom="1418" w:left="1418" w:header="964" w:footer="96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3B4" w:rsidRDefault="000B03B4" w:rsidP="00581DB6">
      <w:pPr>
        <w:spacing w:before="0" w:after="0"/>
      </w:pPr>
      <w:r>
        <w:separator/>
      </w:r>
    </w:p>
  </w:endnote>
  <w:endnote w:type="continuationSeparator" w:id="0">
    <w:p w:rsidR="000B03B4" w:rsidRDefault="000B03B4" w:rsidP="00581DB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UkrainianKudriashov">
    <w:altName w:val="Times New Roman"/>
    <w:panose1 w:val="00000000000000000000"/>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 New Roman CYR">
    <w:altName w:val="Times New Roman"/>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37E" w:rsidRDefault="002C337E" w:rsidP="00C56F65">
    <w:pPr>
      <w:pStyle w:val="a4"/>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8118D0">
      <w:rPr>
        <w:rStyle w:val="af4"/>
        <w:noProof/>
      </w:rPr>
      <w:t>2</w:t>
    </w:r>
    <w:r>
      <w:rPr>
        <w:rStyle w:val="af4"/>
      </w:rPr>
      <w:fldChar w:fldCharType="end"/>
    </w:r>
  </w:p>
  <w:p w:rsidR="002C337E" w:rsidRDefault="002C337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37E" w:rsidRDefault="002C337E" w:rsidP="00C56F65">
    <w:pPr>
      <w:pStyle w:val="a4"/>
      <w:jc w:val="center"/>
    </w:pPr>
    <w:fldSimple w:instr=" PAGE   \* MERGEFORMAT ">
      <w:r w:rsidR="008118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3B4" w:rsidRDefault="000B03B4" w:rsidP="00581DB6">
      <w:pPr>
        <w:spacing w:before="0" w:after="0"/>
      </w:pPr>
      <w:r>
        <w:separator/>
      </w:r>
    </w:p>
  </w:footnote>
  <w:footnote w:type="continuationSeparator" w:id="0">
    <w:p w:rsidR="000B03B4" w:rsidRDefault="000B03B4" w:rsidP="00581DB6">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08" w:type="dxa"/>
      <w:tblLook w:val="01E0"/>
    </w:tblPr>
    <w:tblGrid>
      <w:gridCol w:w="9072"/>
    </w:tblGrid>
    <w:tr w:rsidR="002C337E" w:rsidRPr="005C73F1" w:rsidTr="00C56F65">
      <w:tc>
        <w:tcPr>
          <w:tcW w:w="9178" w:type="dxa"/>
          <w:tcBorders>
            <w:top w:val="single" w:sz="12" w:space="0" w:color="auto"/>
            <w:bottom w:val="single" w:sz="12" w:space="0" w:color="auto"/>
          </w:tcBorders>
        </w:tcPr>
        <w:p w:rsidR="002C337E" w:rsidRPr="00777DC6" w:rsidRDefault="002C337E" w:rsidP="003A7232">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w:t>
          </w:r>
          <w:r>
            <w:rPr>
              <w:sz w:val="16"/>
              <w:szCs w:val="16"/>
            </w:rPr>
            <w:t>21</w:t>
          </w:r>
          <w:r w:rsidRPr="00777DC6">
            <w:rPr>
              <w:sz w:val="16"/>
              <w:szCs w:val="16"/>
            </w:rPr>
            <w:t> г.»</w:t>
          </w:r>
        </w:p>
      </w:tc>
    </w:tr>
  </w:tbl>
  <w:p w:rsidR="002C337E" w:rsidRPr="007E6657" w:rsidRDefault="002C337E" w:rsidP="00C56F65">
    <w:pPr>
      <w:pStyle w:val="af5"/>
      <w:spacing w:line="20" w:lineRule="exact"/>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22" w:type="pct"/>
      <w:tblLook w:val="01E0"/>
    </w:tblPr>
    <w:tblGrid>
      <w:gridCol w:w="9698"/>
    </w:tblGrid>
    <w:tr w:rsidR="002C337E" w:rsidRPr="005C73F1" w:rsidTr="00C56F65">
      <w:tc>
        <w:tcPr>
          <w:tcW w:w="5000" w:type="pct"/>
          <w:tcBorders>
            <w:top w:val="single" w:sz="12" w:space="0" w:color="auto"/>
            <w:bottom w:val="single" w:sz="12" w:space="0" w:color="auto"/>
          </w:tcBorders>
        </w:tcPr>
        <w:p w:rsidR="002C337E" w:rsidRPr="00777DC6" w:rsidRDefault="002C337E" w:rsidP="003A7232">
          <w:pPr>
            <w:pStyle w:val="af5"/>
            <w:spacing w:before="40" w:after="40"/>
            <w:rPr>
              <w:sz w:val="16"/>
              <w:szCs w:val="16"/>
            </w:rPr>
          </w:pPr>
          <w:r w:rsidRPr="00777DC6">
            <w:rPr>
              <w:sz w:val="16"/>
              <w:szCs w:val="16"/>
            </w:rPr>
            <w:t>Государственный доклад «О состоянии санитарно-эпидемиологического благополучия населения в Брянской области в 20</w:t>
          </w:r>
          <w:r>
            <w:rPr>
              <w:sz w:val="16"/>
              <w:szCs w:val="16"/>
            </w:rPr>
            <w:t>21</w:t>
          </w:r>
          <w:r w:rsidRPr="00777DC6">
            <w:rPr>
              <w:sz w:val="16"/>
              <w:szCs w:val="16"/>
            </w:rPr>
            <w:t> г.»</w:t>
          </w:r>
        </w:p>
      </w:tc>
    </w:tr>
  </w:tbl>
  <w:p w:rsidR="002C337E" w:rsidRPr="00DB5E7F" w:rsidRDefault="002C337E" w:rsidP="00C56F65">
    <w:pPr>
      <w:pStyle w:val="af5"/>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55A1D24"/>
    <w:lvl w:ilvl="0">
      <w:start w:val="1"/>
      <w:numFmt w:val="bullet"/>
      <w:pStyle w:val="a"/>
      <w:lvlText w:val=""/>
      <w:lvlJc w:val="left"/>
      <w:pPr>
        <w:tabs>
          <w:tab w:val="num" w:pos="360"/>
        </w:tabs>
        <w:ind w:left="360" w:hanging="360"/>
      </w:pPr>
      <w:rPr>
        <w:rFonts w:ascii="Symbol" w:hAnsi="Symbol" w:hint="default"/>
      </w:rPr>
    </w:lvl>
  </w:abstractNum>
  <w:abstractNum w:abstractNumId="1">
    <w:nsid w:val="00723274"/>
    <w:multiLevelType w:val="hybridMultilevel"/>
    <w:tmpl w:val="725A74CA"/>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nsid w:val="021804F9"/>
    <w:multiLevelType w:val="hybridMultilevel"/>
    <w:tmpl w:val="C9FA2178"/>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81523B"/>
    <w:multiLevelType w:val="hybridMultilevel"/>
    <w:tmpl w:val="D79AB36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5B113F7"/>
    <w:multiLevelType w:val="hybridMultilevel"/>
    <w:tmpl w:val="39EC8C5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B8046F"/>
    <w:multiLevelType w:val="hybridMultilevel"/>
    <w:tmpl w:val="9A926A0A"/>
    <w:lvl w:ilvl="0" w:tplc="04190005">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6">
    <w:nsid w:val="0D064181"/>
    <w:multiLevelType w:val="hybridMultilevel"/>
    <w:tmpl w:val="46F48E74"/>
    <w:lvl w:ilvl="0" w:tplc="F6A6F5EE">
      <w:start w:val="1"/>
      <w:numFmt w:val="bullet"/>
      <w:lvlText w:val=""/>
      <w:lvlJc w:val="left"/>
      <w:pPr>
        <w:tabs>
          <w:tab w:val="num" w:pos="720"/>
        </w:tabs>
        <w:ind w:left="720" w:hanging="360"/>
      </w:pPr>
      <w:rPr>
        <w:rFonts w:ascii="Symbol" w:hAnsi="Symbol" w:cs="Times New Roman"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F2B0C25"/>
    <w:multiLevelType w:val="hybridMultilevel"/>
    <w:tmpl w:val="3646A8FE"/>
    <w:lvl w:ilvl="0" w:tplc="D9869600">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8">
    <w:nsid w:val="10303874"/>
    <w:multiLevelType w:val="hybridMultilevel"/>
    <w:tmpl w:val="08002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B00862"/>
    <w:multiLevelType w:val="hybridMultilevel"/>
    <w:tmpl w:val="7C4E6182"/>
    <w:lvl w:ilvl="0" w:tplc="8A8478F0">
      <w:start w:val="1"/>
      <w:numFmt w:val="bullet"/>
      <w:lvlText w:val=""/>
      <w:lvlJc w:val="left"/>
      <w:pPr>
        <w:ind w:left="1429" w:hanging="360"/>
      </w:pPr>
      <w:rPr>
        <w:rFonts w:ascii="Symbol" w:hAnsi="Symbol"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630E77"/>
    <w:multiLevelType w:val="hybridMultilevel"/>
    <w:tmpl w:val="99ECA308"/>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1">
    <w:nsid w:val="1A945174"/>
    <w:multiLevelType w:val="hybridMultilevel"/>
    <w:tmpl w:val="218EA966"/>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397594"/>
    <w:multiLevelType w:val="hybridMultilevel"/>
    <w:tmpl w:val="21E6D324"/>
    <w:lvl w:ilvl="0" w:tplc="3ED86DF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4D0E4F"/>
    <w:multiLevelType w:val="hybridMultilevel"/>
    <w:tmpl w:val="90F0AA1A"/>
    <w:lvl w:ilvl="0" w:tplc="E0F80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0830FF"/>
    <w:multiLevelType w:val="hybridMultilevel"/>
    <w:tmpl w:val="C998783A"/>
    <w:lvl w:ilvl="0" w:tplc="E0F80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5CD50EB"/>
    <w:multiLevelType w:val="hybridMultilevel"/>
    <w:tmpl w:val="2C229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D772D7"/>
    <w:multiLevelType w:val="hybridMultilevel"/>
    <w:tmpl w:val="C90ECEA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7A63EBC"/>
    <w:multiLevelType w:val="hybridMultilevel"/>
    <w:tmpl w:val="CC2E8858"/>
    <w:lvl w:ilvl="0" w:tplc="0384396A">
      <w:start w:val="1"/>
      <w:numFmt w:val="bullet"/>
      <w:lvlText w:val=""/>
      <w:lvlJc w:val="left"/>
      <w:pPr>
        <w:ind w:left="1440" w:hanging="360"/>
      </w:pPr>
      <w:rPr>
        <w:rFonts w:ascii="Wingdings" w:hAnsi="Wingdings" w:cs="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90C6BAE"/>
    <w:multiLevelType w:val="hybridMultilevel"/>
    <w:tmpl w:val="7C72BC96"/>
    <w:styleLink w:val="11"/>
    <w:lvl w:ilvl="0" w:tplc="A2B8112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2B854329"/>
    <w:multiLevelType w:val="hybridMultilevel"/>
    <w:tmpl w:val="B31E2980"/>
    <w:lvl w:ilvl="0" w:tplc="04190001">
      <w:start w:val="1"/>
      <w:numFmt w:val="bullet"/>
      <w:lvlText w:val=""/>
      <w:lvlJc w:val="left"/>
      <w:pPr>
        <w:tabs>
          <w:tab w:val="num" w:pos="1743"/>
        </w:tabs>
        <w:ind w:left="1743" w:hanging="1035"/>
      </w:pPr>
      <w:rPr>
        <w:rFonts w:ascii="Symbol" w:hAnsi="Symbol" w:hint="default"/>
        <w:color w:val="000000"/>
      </w:rPr>
    </w:lvl>
    <w:lvl w:ilvl="1" w:tplc="089A6266">
      <w:start w:val="1"/>
      <w:numFmt w:val="bullet"/>
      <w:lvlText w:val=""/>
      <w:lvlJc w:val="left"/>
      <w:pPr>
        <w:tabs>
          <w:tab w:val="num" w:pos="1788"/>
        </w:tabs>
        <w:ind w:left="1788" w:hanging="360"/>
      </w:pPr>
      <w:rPr>
        <w:rFonts w:ascii="Symbol" w:hAnsi="Symbol" w:hint="default"/>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BC85360"/>
    <w:multiLevelType w:val="hybridMultilevel"/>
    <w:tmpl w:val="8A6260DE"/>
    <w:lvl w:ilvl="0" w:tplc="A2B8112A">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1">
    <w:nsid w:val="2C55018C"/>
    <w:multiLevelType w:val="hybridMultilevel"/>
    <w:tmpl w:val="F3AE20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D375A51"/>
    <w:multiLevelType w:val="hybridMultilevel"/>
    <w:tmpl w:val="62EA0770"/>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DBB0A99"/>
    <w:multiLevelType w:val="hybridMultilevel"/>
    <w:tmpl w:val="A80A2E54"/>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4">
    <w:nsid w:val="2EBF1475"/>
    <w:multiLevelType w:val="hybridMultilevel"/>
    <w:tmpl w:val="07BE3ECE"/>
    <w:lvl w:ilvl="0" w:tplc="04190005">
      <w:start w:val="1"/>
      <w:numFmt w:val="bullet"/>
      <w:lvlText w:val=""/>
      <w:lvlJc w:val="left"/>
      <w:pPr>
        <w:tabs>
          <w:tab w:val="num" w:pos="1352"/>
        </w:tabs>
        <w:ind w:left="1352" w:hanging="360"/>
      </w:pPr>
      <w:rPr>
        <w:rFonts w:ascii="Wingdings" w:hAnsi="Wingdings" w:hint="default"/>
      </w:rPr>
    </w:lvl>
    <w:lvl w:ilvl="1" w:tplc="AA449EBE">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25">
    <w:nsid w:val="2FEF1860"/>
    <w:multiLevelType w:val="hybridMultilevel"/>
    <w:tmpl w:val="7EB21384"/>
    <w:lvl w:ilvl="0" w:tplc="A2B81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4744EA"/>
    <w:multiLevelType w:val="multilevel"/>
    <w:tmpl w:val="2290477A"/>
    <w:styleLink w:val="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0C4112C"/>
    <w:multiLevelType w:val="hybridMultilevel"/>
    <w:tmpl w:val="E0801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4C170A"/>
    <w:multiLevelType w:val="hybridMultilevel"/>
    <w:tmpl w:val="1FF8F7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nsid w:val="353D2DA2"/>
    <w:multiLevelType w:val="hybridMultilevel"/>
    <w:tmpl w:val="D4A68268"/>
    <w:lvl w:ilvl="0" w:tplc="F6A6F5EE">
      <w:start w:val="1"/>
      <w:numFmt w:val="bullet"/>
      <w:lvlText w:val=""/>
      <w:lvlJc w:val="left"/>
      <w:pPr>
        <w:tabs>
          <w:tab w:val="num" w:pos="720"/>
        </w:tabs>
        <w:ind w:left="720" w:hanging="360"/>
      </w:pPr>
      <w:rPr>
        <w:rFonts w:ascii="Symbol"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6144F23"/>
    <w:multiLevelType w:val="hybridMultilevel"/>
    <w:tmpl w:val="8908819E"/>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7533713"/>
    <w:multiLevelType w:val="hybridMultilevel"/>
    <w:tmpl w:val="2BC6C8A8"/>
    <w:lvl w:ilvl="0" w:tplc="A2B8112A">
      <w:start w:val="1"/>
      <w:numFmt w:val="bullet"/>
      <w:lvlText w:val=""/>
      <w:lvlJc w:val="left"/>
      <w:pPr>
        <w:tabs>
          <w:tab w:val="num" w:pos="1826"/>
        </w:tabs>
        <w:ind w:left="1826" w:hanging="975"/>
      </w:pPr>
      <w:rPr>
        <w:rFonts w:ascii="Symbol" w:hAnsi="Symbol" w:hint="default"/>
      </w:rPr>
    </w:lvl>
    <w:lvl w:ilvl="1" w:tplc="BFE8D736">
      <w:start w:val="4"/>
      <w:numFmt w:val="decimal"/>
      <w:lvlText w:val="%2"/>
      <w:lvlJc w:val="left"/>
      <w:pPr>
        <w:tabs>
          <w:tab w:val="num" w:pos="1790"/>
        </w:tabs>
        <w:ind w:left="1790" w:hanging="360"/>
      </w:pPr>
      <w:rPr>
        <w:rFonts w:cs="Times New Roman" w:hint="default"/>
      </w:rPr>
    </w:lvl>
    <w:lvl w:ilvl="2" w:tplc="0419001B">
      <w:start w:val="1"/>
      <w:numFmt w:val="lowerRoman"/>
      <w:lvlText w:val="%3."/>
      <w:lvlJc w:val="right"/>
      <w:pPr>
        <w:tabs>
          <w:tab w:val="num" w:pos="2510"/>
        </w:tabs>
        <w:ind w:left="2510" w:hanging="180"/>
      </w:pPr>
      <w:rPr>
        <w:rFonts w:cs="Times New Roman"/>
      </w:rPr>
    </w:lvl>
    <w:lvl w:ilvl="3" w:tplc="0419000F">
      <w:start w:val="1"/>
      <w:numFmt w:val="decimal"/>
      <w:lvlText w:val="%4."/>
      <w:lvlJc w:val="left"/>
      <w:pPr>
        <w:tabs>
          <w:tab w:val="num" w:pos="3230"/>
        </w:tabs>
        <w:ind w:left="3230" w:hanging="360"/>
      </w:pPr>
      <w:rPr>
        <w:rFonts w:cs="Times New Roman"/>
      </w:rPr>
    </w:lvl>
    <w:lvl w:ilvl="4" w:tplc="04190019">
      <w:start w:val="1"/>
      <w:numFmt w:val="lowerLetter"/>
      <w:lvlText w:val="%5."/>
      <w:lvlJc w:val="left"/>
      <w:pPr>
        <w:tabs>
          <w:tab w:val="num" w:pos="3950"/>
        </w:tabs>
        <w:ind w:left="3950" w:hanging="360"/>
      </w:pPr>
      <w:rPr>
        <w:rFonts w:cs="Times New Roman"/>
      </w:rPr>
    </w:lvl>
    <w:lvl w:ilvl="5" w:tplc="0419001B">
      <w:start w:val="1"/>
      <w:numFmt w:val="lowerRoman"/>
      <w:lvlText w:val="%6."/>
      <w:lvlJc w:val="right"/>
      <w:pPr>
        <w:tabs>
          <w:tab w:val="num" w:pos="4670"/>
        </w:tabs>
        <w:ind w:left="4670" w:hanging="180"/>
      </w:pPr>
      <w:rPr>
        <w:rFonts w:cs="Times New Roman"/>
      </w:rPr>
    </w:lvl>
    <w:lvl w:ilvl="6" w:tplc="0419000F">
      <w:start w:val="1"/>
      <w:numFmt w:val="decimal"/>
      <w:lvlText w:val="%7."/>
      <w:lvlJc w:val="left"/>
      <w:pPr>
        <w:tabs>
          <w:tab w:val="num" w:pos="5390"/>
        </w:tabs>
        <w:ind w:left="5390" w:hanging="360"/>
      </w:pPr>
      <w:rPr>
        <w:rFonts w:cs="Times New Roman"/>
      </w:rPr>
    </w:lvl>
    <w:lvl w:ilvl="7" w:tplc="04190019">
      <w:start w:val="1"/>
      <w:numFmt w:val="lowerLetter"/>
      <w:lvlText w:val="%8."/>
      <w:lvlJc w:val="left"/>
      <w:pPr>
        <w:tabs>
          <w:tab w:val="num" w:pos="6110"/>
        </w:tabs>
        <w:ind w:left="6110" w:hanging="360"/>
      </w:pPr>
      <w:rPr>
        <w:rFonts w:cs="Times New Roman"/>
      </w:rPr>
    </w:lvl>
    <w:lvl w:ilvl="8" w:tplc="0419001B">
      <w:start w:val="1"/>
      <w:numFmt w:val="lowerRoman"/>
      <w:lvlText w:val="%9."/>
      <w:lvlJc w:val="right"/>
      <w:pPr>
        <w:tabs>
          <w:tab w:val="num" w:pos="6830"/>
        </w:tabs>
        <w:ind w:left="6830" w:hanging="180"/>
      </w:pPr>
      <w:rPr>
        <w:rFonts w:cs="Times New Roman"/>
      </w:rPr>
    </w:lvl>
  </w:abstractNum>
  <w:abstractNum w:abstractNumId="32">
    <w:nsid w:val="392E5315"/>
    <w:multiLevelType w:val="hybridMultilevel"/>
    <w:tmpl w:val="16AE5658"/>
    <w:lvl w:ilvl="0" w:tplc="04190005">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3">
    <w:nsid w:val="398D21E5"/>
    <w:multiLevelType w:val="hybridMultilevel"/>
    <w:tmpl w:val="1824A632"/>
    <w:lvl w:ilvl="0" w:tplc="04190005">
      <w:start w:val="1"/>
      <w:numFmt w:val="bullet"/>
      <w:lvlText w:val=""/>
      <w:lvlJc w:val="left"/>
      <w:pPr>
        <w:ind w:left="1495" w:hanging="360"/>
      </w:pPr>
      <w:rPr>
        <w:rFonts w:ascii="Wingdings" w:hAnsi="Wingdings" w:cs="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4">
    <w:nsid w:val="40F93FD6"/>
    <w:multiLevelType w:val="hybridMultilevel"/>
    <w:tmpl w:val="505E9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3235B33"/>
    <w:multiLevelType w:val="hybridMultilevel"/>
    <w:tmpl w:val="0430FC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42746BD"/>
    <w:multiLevelType w:val="hybridMultilevel"/>
    <w:tmpl w:val="74CAD97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8BD4A0E"/>
    <w:multiLevelType w:val="hybridMultilevel"/>
    <w:tmpl w:val="5AFAA9B6"/>
    <w:lvl w:ilvl="0" w:tplc="0419000D">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F373651"/>
    <w:multiLevelType w:val="hybridMultilevel"/>
    <w:tmpl w:val="BA2E1F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F9E37E9"/>
    <w:multiLevelType w:val="hybridMultilevel"/>
    <w:tmpl w:val="66123184"/>
    <w:lvl w:ilvl="0" w:tplc="A2B8112A">
      <w:start w:val="1"/>
      <w:numFmt w:val="bullet"/>
      <w:lvlText w:val=""/>
      <w:lvlJc w:val="left"/>
      <w:pPr>
        <w:tabs>
          <w:tab w:val="num" w:pos="1070"/>
        </w:tabs>
        <w:ind w:left="107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0EF2765"/>
    <w:multiLevelType w:val="hybridMultilevel"/>
    <w:tmpl w:val="EA185A60"/>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1">
    <w:nsid w:val="540044B1"/>
    <w:multiLevelType w:val="hybridMultilevel"/>
    <w:tmpl w:val="04BE67E6"/>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7F47620"/>
    <w:multiLevelType w:val="hybridMultilevel"/>
    <w:tmpl w:val="D3782A90"/>
    <w:lvl w:ilvl="0" w:tplc="0419000D">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9C478F5"/>
    <w:multiLevelType w:val="hybridMultilevel"/>
    <w:tmpl w:val="45C4E5FA"/>
    <w:lvl w:ilvl="0" w:tplc="A2B8112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4">
    <w:nsid w:val="5B4417A6"/>
    <w:multiLevelType w:val="hybridMultilevel"/>
    <w:tmpl w:val="CD663854"/>
    <w:lvl w:ilvl="0" w:tplc="04190001">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C823020"/>
    <w:multiLevelType w:val="hybridMultilevel"/>
    <w:tmpl w:val="1350321C"/>
    <w:lvl w:ilvl="0" w:tplc="A2B811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E5402B8"/>
    <w:multiLevelType w:val="hybridMultilevel"/>
    <w:tmpl w:val="1182099C"/>
    <w:lvl w:ilvl="0" w:tplc="0419000D">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0446BCD"/>
    <w:multiLevelType w:val="hybridMultilevel"/>
    <w:tmpl w:val="E922812A"/>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3CD07C7"/>
    <w:multiLevelType w:val="hybridMultilevel"/>
    <w:tmpl w:val="285829C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46A14A6"/>
    <w:multiLevelType w:val="hybridMultilevel"/>
    <w:tmpl w:val="91F253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4723961"/>
    <w:multiLevelType w:val="hybridMultilevel"/>
    <w:tmpl w:val="01267906"/>
    <w:lvl w:ilvl="0" w:tplc="0419000F">
      <w:start w:val="1"/>
      <w:numFmt w:val="bullet"/>
      <w:pStyle w:val="2"/>
      <w:lvlText w:val="-"/>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4CF22F0"/>
    <w:multiLevelType w:val="hybridMultilevel"/>
    <w:tmpl w:val="09705A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55D6601"/>
    <w:multiLevelType w:val="hybridMultilevel"/>
    <w:tmpl w:val="C6145F06"/>
    <w:lvl w:ilvl="0" w:tplc="0419000B">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3">
    <w:nsid w:val="65FE7B61"/>
    <w:multiLevelType w:val="hybridMultilevel"/>
    <w:tmpl w:val="17FA4CE6"/>
    <w:lvl w:ilvl="0" w:tplc="F6A6F5EE">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9D26533"/>
    <w:multiLevelType w:val="hybridMultilevel"/>
    <w:tmpl w:val="71CAB2B4"/>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5">
    <w:nsid w:val="69DF669C"/>
    <w:multiLevelType w:val="hybridMultilevel"/>
    <w:tmpl w:val="E0B8A808"/>
    <w:lvl w:ilvl="0" w:tplc="5B820944">
      <w:start w:val="1"/>
      <w:numFmt w:val="bullet"/>
      <w:lvlText w:val=""/>
      <w:lvlJc w:val="left"/>
      <w:pPr>
        <w:tabs>
          <w:tab w:val="num" w:pos="720"/>
        </w:tabs>
        <w:ind w:left="720" w:hanging="360"/>
      </w:pPr>
      <w:rPr>
        <w:rFonts w:ascii="Symbol" w:hAnsi="Symbol" w:hint="default"/>
      </w:rPr>
    </w:lvl>
    <w:lvl w:ilvl="1" w:tplc="DA408C5A">
      <w:start w:val="1"/>
      <w:numFmt w:val="decimal"/>
      <w:lvlText w:val="%2."/>
      <w:lvlJc w:val="left"/>
      <w:pPr>
        <w:tabs>
          <w:tab w:val="num" w:pos="1440"/>
        </w:tabs>
        <w:ind w:left="1440" w:hanging="360"/>
      </w:pPr>
    </w:lvl>
    <w:lvl w:ilvl="2" w:tplc="0384396A">
      <w:start w:val="1"/>
      <w:numFmt w:val="decimal"/>
      <w:lvlText w:val="%3."/>
      <w:lvlJc w:val="left"/>
      <w:pPr>
        <w:tabs>
          <w:tab w:val="num" w:pos="2160"/>
        </w:tabs>
        <w:ind w:left="2160" w:hanging="360"/>
      </w:pPr>
    </w:lvl>
    <w:lvl w:ilvl="3" w:tplc="27BEE7C8">
      <w:start w:val="1"/>
      <w:numFmt w:val="decimal"/>
      <w:lvlText w:val="%4."/>
      <w:lvlJc w:val="left"/>
      <w:pPr>
        <w:tabs>
          <w:tab w:val="num" w:pos="2880"/>
        </w:tabs>
        <w:ind w:left="2880" w:hanging="360"/>
      </w:pPr>
    </w:lvl>
    <w:lvl w:ilvl="4" w:tplc="6D3022C6">
      <w:start w:val="1"/>
      <w:numFmt w:val="decimal"/>
      <w:lvlText w:val="%5."/>
      <w:lvlJc w:val="left"/>
      <w:pPr>
        <w:tabs>
          <w:tab w:val="num" w:pos="3600"/>
        </w:tabs>
        <w:ind w:left="3600" w:hanging="360"/>
      </w:pPr>
    </w:lvl>
    <w:lvl w:ilvl="5" w:tplc="5418B37A">
      <w:start w:val="1"/>
      <w:numFmt w:val="decimal"/>
      <w:lvlText w:val="%6."/>
      <w:lvlJc w:val="left"/>
      <w:pPr>
        <w:tabs>
          <w:tab w:val="num" w:pos="4320"/>
        </w:tabs>
        <w:ind w:left="4320" w:hanging="360"/>
      </w:pPr>
    </w:lvl>
    <w:lvl w:ilvl="6" w:tplc="F8544594">
      <w:start w:val="1"/>
      <w:numFmt w:val="decimal"/>
      <w:lvlText w:val="%7."/>
      <w:lvlJc w:val="left"/>
      <w:pPr>
        <w:tabs>
          <w:tab w:val="num" w:pos="5040"/>
        </w:tabs>
        <w:ind w:left="5040" w:hanging="360"/>
      </w:pPr>
    </w:lvl>
    <w:lvl w:ilvl="7" w:tplc="91107ADA">
      <w:start w:val="1"/>
      <w:numFmt w:val="decimal"/>
      <w:lvlText w:val="%8."/>
      <w:lvlJc w:val="left"/>
      <w:pPr>
        <w:tabs>
          <w:tab w:val="num" w:pos="5760"/>
        </w:tabs>
        <w:ind w:left="5760" w:hanging="360"/>
      </w:pPr>
    </w:lvl>
    <w:lvl w:ilvl="8" w:tplc="7638ABDE">
      <w:start w:val="1"/>
      <w:numFmt w:val="decimal"/>
      <w:lvlText w:val="%9."/>
      <w:lvlJc w:val="left"/>
      <w:pPr>
        <w:tabs>
          <w:tab w:val="num" w:pos="6480"/>
        </w:tabs>
        <w:ind w:left="6480" w:hanging="360"/>
      </w:pPr>
    </w:lvl>
  </w:abstractNum>
  <w:abstractNum w:abstractNumId="56">
    <w:nsid w:val="6CA30AC7"/>
    <w:multiLevelType w:val="hybridMultilevel"/>
    <w:tmpl w:val="6C94F002"/>
    <w:lvl w:ilvl="0" w:tplc="5B820944">
      <w:start w:val="1"/>
      <w:numFmt w:val="bullet"/>
      <w:lvlText w:val=""/>
      <w:lvlJc w:val="left"/>
      <w:pPr>
        <w:ind w:left="24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CA42479"/>
    <w:multiLevelType w:val="hybridMultilevel"/>
    <w:tmpl w:val="E0803482"/>
    <w:lvl w:ilvl="0" w:tplc="0419000D">
      <w:start w:val="1"/>
      <w:numFmt w:val="bullet"/>
      <w:lvlText w:val=""/>
      <w:lvlJc w:val="left"/>
      <w:pPr>
        <w:tabs>
          <w:tab w:val="num" w:pos="720"/>
        </w:tabs>
        <w:ind w:left="720" w:hanging="360"/>
      </w:pPr>
      <w:rPr>
        <w:rFonts w:ascii="Wingdings" w:hAnsi="Wingdings" w:hint="default"/>
      </w:rPr>
    </w:lvl>
    <w:lvl w:ilvl="1" w:tplc="DA408C5A">
      <w:start w:val="1"/>
      <w:numFmt w:val="bullet"/>
      <w:lvlText w:val="o"/>
      <w:lvlJc w:val="left"/>
      <w:pPr>
        <w:tabs>
          <w:tab w:val="num" w:pos="1440"/>
        </w:tabs>
        <w:ind w:left="1440" w:hanging="360"/>
      </w:pPr>
      <w:rPr>
        <w:rFonts w:ascii="Courier New" w:hAnsi="Courier New" w:cs="Courier New" w:hint="default"/>
      </w:rPr>
    </w:lvl>
    <w:lvl w:ilvl="2" w:tplc="0384396A">
      <w:start w:val="1"/>
      <w:numFmt w:val="bullet"/>
      <w:lvlText w:val=""/>
      <w:lvlJc w:val="left"/>
      <w:pPr>
        <w:tabs>
          <w:tab w:val="num" w:pos="2160"/>
        </w:tabs>
        <w:ind w:left="2160" w:hanging="360"/>
      </w:pPr>
      <w:rPr>
        <w:rFonts w:ascii="Wingdings" w:hAnsi="Wingdings" w:cs="Wingdings" w:hint="default"/>
      </w:rPr>
    </w:lvl>
    <w:lvl w:ilvl="3" w:tplc="27BEE7C8">
      <w:start w:val="1"/>
      <w:numFmt w:val="bullet"/>
      <w:lvlText w:val=""/>
      <w:lvlJc w:val="left"/>
      <w:pPr>
        <w:tabs>
          <w:tab w:val="num" w:pos="2880"/>
        </w:tabs>
        <w:ind w:left="2880" w:hanging="360"/>
      </w:pPr>
      <w:rPr>
        <w:rFonts w:ascii="Symbol" w:hAnsi="Symbol" w:cs="Symbol" w:hint="default"/>
      </w:rPr>
    </w:lvl>
    <w:lvl w:ilvl="4" w:tplc="6D3022C6">
      <w:start w:val="1"/>
      <w:numFmt w:val="bullet"/>
      <w:lvlText w:val="o"/>
      <w:lvlJc w:val="left"/>
      <w:pPr>
        <w:tabs>
          <w:tab w:val="num" w:pos="3600"/>
        </w:tabs>
        <w:ind w:left="3600" w:hanging="360"/>
      </w:pPr>
      <w:rPr>
        <w:rFonts w:ascii="Courier New" w:hAnsi="Courier New" w:cs="Courier New" w:hint="default"/>
      </w:rPr>
    </w:lvl>
    <w:lvl w:ilvl="5" w:tplc="5418B37A">
      <w:start w:val="1"/>
      <w:numFmt w:val="bullet"/>
      <w:lvlText w:val=""/>
      <w:lvlJc w:val="left"/>
      <w:pPr>
        <w:tabs>
          <w:tab w:val="num" w:pos="4320"/>
        </w:tabs>
        <w:ind w:left="4320" w:hanging="360"/>
      </w:pPr>
      <w:rPr>
        <w:rFonts w:ascii="Wingdings" w:hAnsi="Wingdings" w:cs="Wingdings" w:hint="default"/>
      </w:rPr>
    </w:lvl>
    <w:lvl w:ilvl="6" w:tplc="F8544594">
      <w:start w:val="1"/>
      <w:numFmt w:val="bullet"/>
      <w:lvlText w:val=""/>
      <w:lvlJc w:val="left"/>
      <w:pPr>
        <w:tabs>
          <w:tab w:val="num" w:pos="5040"/>
        </w:tabs>
        <w:ind w:left="5040" w:hanging="360"/>
      </w:pPr>
      <w:rPr>
        <w:rFonts w:ascii="Symbol" w:hAnsi="Symbol" w:cs="Symbol" w:hint="default"/>
      </w:rPr>
    </w:lvl>
    <w:lvl w:ilvl="7" w:tplc="91107ADA">
      <w:start w:val="1"/>
      <w:numFmt w:val="bullet"/>
      <w:lvlText w:val="o"/>
      <w:lvlJc w:val="left"/>
      <w:pPr>
        <w:tabs>
          <w:tab w:val="num" w:pos="5760"/>
        </w:tabs>
        <w:ind w:left="5760" w:hanging="360"/>
      </w:pPr>
      <w:rPr>
        <w:rFonts w:ascii="Courier New" w:hAnsi="Courier New" w:cs="Courier New" w:hint="default"/>
      </w:rPr>
    </w:lvl>
    <w:lvl w:ilvl="8" w:tplc="7638ABDE">
      <w:start w:val="1"/>
      <w:numFmt w:val="bullet"/>
      <w:lvlText w:val=""/>
      <w:lvlJc w:val="left"/>
      <w:pPr>
        <w:tabs>
          <w:tab w:val="num" w:pos="6480"/>
        </w:tabs>
        <w:ind w:left="6480" w:hanging="360"/>
      </w:pPr>
      <w:rPr>
        <w:rFonts w:ascii="Wingdings" w:hAnsi="Wingdings" w:cs="Wingdings" w:hint="default"/>
      </w:rPr>
    </w:lvl>
  </w:abstractNum>
  <w:abstractNum w:abstractNumId="58">
    <w:nsid w:val="6D260790"/>
    <w:multiLevelType w:val="hybridMultilevel"/>
    <w:tmpl w:val="8D1C109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6D9D758D"/>
    <w:multiLevelType w:val="hybridMultilevel"/>
    <w:tmpl w:val="EA0A350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E660961"/>
    <w:multiLevelType w:val="hybridMultilevel"/>
    <w:tmpl w:val="F1F2735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1A63A35"/>
    <w:multiLevelType w:val="hybridMultilevel"/>
    <w:tmpl w:val="A0A0A38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4890309"/>
    <w:multiLevelType w:val="hybridMultilevel"/>
    <w:tmpl w:val="308862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74C7988"/>
    <w:multiLevelType w:val="hybridMultilevel"/>
    <w:tmpl w:val="4C9A0B58"/>
    <w:lvl w:ilvl="0" w:tplc="04190005">
      <w:start w:val="1"/>
      <w:numFmt w:val="bullet"/>
      <w:lvlText w:val=""/>
      <w:lvlJc w:val="left"/>
      <w:pPr>
        <w:ind w:left="1495" w:hanging="360"/>
      </w:pPr>
      <w:rPr>
        <w:rFonts w:ascii="Wingdings" w:hAnsi="Wingdings" w:cs="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4">
    <w:nsid w:val="7A1125F3"/>
    <w:multiLevelType w:val="hybridMultilevel"/>
    <w:tmpl w:val="290AC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AF55C6F"/>
    <w:multiLevelType w:val="hybridMultilevel"/>
    <w:tmpl w:val="A14A4158"/>
    <w:lvl w:ilvl="0" w:tplc="A2B8112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6">
    <w:nsid w:val="7CC45013"/>
    <w:multiLevelType w:val="hybridMultilevel"/>
    <w:tmpl w:val="43209F6A"/>
    <w:lvl w:ilvl="0" w:tplc="A2B8112A">
      <w:start w:val="1"/>
      <w:numFmt w:val="bullet"/>
      <w:lvlText w:val=""/>
      <w:lvlJc w:val="left"/>
      <w:pPr>
        <w:ind w:left="7023"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7">
    <w:nsid w:val="7DA9213D"/>
    <w:multiLevelType w:val="hybridMultilevel"/>
    <w:tmpl w:val="9DF4089C"/>
    <w:lvl w:ilvl="0" w:tplc="A2B8112A">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DE876B1"/>
    <w:multiLevelType w:val="hybridMultilevel"/>
    <w:tmpl w:val="5D8296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E23633F"/>
    <w:multiLevelType w:val="hybridMultilevel"/>
    <w:tmpl w:val="6EBCA022"/>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42"/>
  </w:num>
  <w:num w:numId="4">
    <w:abstractNumId w:val="0"/>
  </w:num>
  <w:num w:numId="5">
    <w:abstractNumId w:val="26"/>
  </w:num>
  <w:num w:numId="6">
    <w:abstractNumId w:val="10"/>
  </w:num>
  <w:num w:numId="7">
    <w:abstractNumId w:val="54"/>
  </w:num>
  <w:num w:numId="8">
    <w:abstractNumId w:val="27"/>
  </w:num>
  <w:num w:numId="9">
    <w:abstractNumId w:val="15"/>
  </w:num>
  <w:num w:numId="10">
    <w:abstractNumId w:val="3"/>
  </w:num>
  <w:num w:numId="11">
    <w:abstractNumId w:val="1"/>
  </w:num>
  <w:num w:numId="12">
    <w:abstractNumId w:val="32"/>
  </w:num>
  <w:num w:numId="13">
    <w:abstractNumId w:val="52"/>
  </w:num>
  <w:num w:numId="14">
    <w:abstractNumId w:val="6"/>
  </w:num>
  <w:num w:numId="15">
    <w:abstractNumId w:val="19"/>
  </w:num>
  <w:num w:numId="16">
    <w:abstractNumId w:val="30"/>
  </w:num>
  <w:num w:numId="17">
    <w:abstractNumId w:val="7"/>
  </w:num>
  <w:num w:numId="18">
    <w:abstractNumId w:val="18"/>
  </w:num>
  <w:num w:numId="19">
    <w:abstractNumId w:val="31"/>
  </w:num>
  <w:num w:numId="20">
    <w:abstractNumId w:val="41"/>
  </w:num>
  <w:num w:numId="21">
    <w:abstractNumId w:val="2"/>
  </w:num>
  <w:num w:numId="22">
    <w:abstractNumId w:val="53"/>
  </w:num>
  <w:num w:numId="23">
    <w:abstractNumId w:val="48"/>
  </w:num>
  <w:num w:numId="24">
    <w:abstractNumId w:val="62"/>
  </w:num>
  <w:num w:numId="25">
    <w:abstractNumId w:val="66"/>
  </w:num>
  <w:num w:numId="26">
    <w:abstractNumId w:val="47"/>
  </w:num>
  <w:num w:numId="27">
    <w:abstractNumId w:val="55"/>
  </w:num>
  <w:num w:numId="28">
    <w:abstractNumId w:val="49"/>
  </w:num>
  <w:num w:numId="2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8"/>
  </w:num>
  <w:num w:numId="33">
    <w:abstractNumId w:val="56"/>
  </w:num>
  <w:num w:numId="34">
    <w:abstractNumId w:val="36"/>
  </w:num>
  <w:num w:numId="35">
    <w:abstractNumId w:val="34"/>
  </w:num>
  <w:num w:numId="36">
    <w:abstractNumId w:val="37"/>
  </w:num>
  <w:num w:numId="37">
    <w:abstractNumId w:val="23"/>
  </w:num>
  <w:num w:numId="38">
    <w:abstractNumId w:val="57"/>
  </w:num>
  <w:num w:numId="39">
    <w:abstractNumId w:val="4"/>
  </w:num>
  <w:num w:numId="40">
    <w:abstractNumId w:val="39"/>
  </w:num>
  <w:num w:numId="41">
    <w:abstractNumId w:val="17"/>
  </w:num>
  <w:num w:numId="42">
    <w:abstractNumId w:val="68"/>
  </w:num>
  <w:num w:numId="4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65"/>
  </w:num>
  <w:num w:numId="46">
    <w:abstractNumId w:val="22"/>
  </w:num>
  <w:num w:numId="47">
    <w:abstractNumId w:val="60"/>
  </w:num>
  <w:num w:numId="48">
    <w:abstractNumId w:val="64"/>
  </w:num>
  <w:num w:numId="49">
    <w:abstractNumId w:val="43"/>
  </w:num>
  <w:num w:numId="50">
    <w:abstractNumId w:val="5"/>
  </w:num>
  <w:num w:numId="51">
    <w:abstractNumId w:val="24"/>
  </w:num>
  <w:num w:numId="52">
    <w:abstractNumId w:val="67"/>
  </w:num>
  <w:num w:numId="53">
    <w:abstractNumId w:val="45"/>
  </w:num>
  <w:num w:numId="54">
    <w:abstractNumId w:val="21"/>
  </w:num>
  <w:num w:numId="55">
    <w:abstractNumId w:val="16"/>
  </w:num>
  <w:num w:numId="56">
    <w:abstractNumId w:val="58"/>
  </w:num>
  <w:num w:numId="57">
    <w:abstractNumId w:val="61"/>
  </w:num>
  <w:num w:numId="58">
    <w:abstractNumId w:val="40"/>
  </w:num>
  <w:num w:numId="59">
    <w:abstractNumId w:val="69"/>
  </w:num>
  <w:num w:numId="60">
    <w:abstractNumId w:val="9"/>
  </w:num>
  <w:num w:numId="61">
    <w:abstractNumId w:val="12"/>
  </w:num>
  <w:num w:numId="6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num>
  <w:num w:numId="64">
    <w:abstractNumId w:val="20"/>
  </w:num>
  <w:num w:numId="65">
    <w:abstractNumId w:val="63"/>
  </w:num>
  <w:num w:numId="66">
    <w:abstractNumId w:val="38"/>
  </w:num>
  <w:num w:numId="67">
    <w:abstractNumId w:val="46"/>
  </w:num>
  <w:num w:numId="68">
    <w:abstractNumId w:val="13"/>
  </w:num>
  <w:num w:numId="69">
    <w:abstractNumId w:val="33"/>
  </w:num>
  <w:num w:numId="70">
    <w:abstractNumId w:val="14"/>
  </w:num>
  <w:num w:numId="71">
    <w:abstractNumId w:val="8"/>
  </w:num>
  <w:num w:numId="72">
    <w:abstractNumId w:val="2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characterSpacingControl w:val="doNotCompress"/>
  <w:footnotePr>
    <w:footnote w:id="-1"/>
    <w:footnote w:id="0"/>
  </w:footnotePr>
  <w:endnotePr>
    <w:endnote w:id="-1"/>
    <w:endnote w:id="0"/>
  </w:endnotePr>
  <w:compat/>
  <w:rsids>
    <w:rsidRoot w:val="00324483"/>
    <w:rsid w:val="00001D25"/>
    <w:rsid w:val="0000247E"/>
    <w:rsid w:val="00002A7F"/>
    <w:rsid w:val="00002F89"/>
    <w:rsid w:val="00006A81"/>
    <w:rsid w:val="00011075"/>
    <w:rsid w:val="00011A1A"/>
    <w:rsid w:val="00012368"/>
    <w:rsid w:val="00012B37"/>
    <w:rsid w:val="00012FD7"/>
    <w:rsid w:val="00014C1C"/>
    <w:rsid w:val="00014FDE"/>
    <w:rsid w:val="000151F7"/>
    <w:rsid w:val="0001550A"/>
    <w:rsid w:val="000179D1"/>
    <w:rsid w:val="00020C72"/>
    <w:rsid w:val="00021A82"/>
    <w:rsid w:val="0002305F"/>
    <w:rsid w:val="00023298"/>
    <w:rsid w:val="00024863"/>
    <w:rsid w:val="00024F2A"/>
    <w:rsid w:val="000259F1"/>
    <w:rsid w:val="0002671A"/>
    <w:rsid w:val="00027179"/>
    <w:rsid w:val="000274B7"/>
    <w:rsid w:val="00027FF7"/>
    <w:rsid w:val="00030DAE"/>
    <w:rsid w:val="00034902"/>
    <w:rsid w:val="00036763"/>
    <w:rsid w:val="00036E70"/>
    <w:rsid w:val="00037164"/>
    <w:rsid w:val="00040A7B"/>
    <w:rsid w:val="000429B1"/>
    <w:rsid w:val="0004392C"/>
    <w:rsid w:val="00044855"/>
    <w:rsid w:val="0004497F"/>
    <w:rsid w:val="00045FB6"/>
    <w:rsid w:val="00046E86"/>
    <w:rsid w:val="00047C42"/>
    <w:rsid w:val="00050DD4"/>
    <w:rsid w:val="00051305"/>
    <w:rsid w:val="00051C44"/>
    <w:rsid w:val="0005280E"/>
    <w:rsid w:val="00053DC3"/>
    <w:rsid w:val="00053F3B"/>
    <w:rsid w:val="0005461C"/>
    <w:rsid w:val="00054670"/>
    <w:rsid w:val="00055C1D"/>
    <w:rsid w:val="000561EC"/>
    <w:rsid w:val="000573FF"/>
    <w:rsid w:val="00057FD0"/>
    <w:rsid w:val="000610FD"/>
    <w:rsid w:val="00061A0A"/>
    <w:rsid w:val="000622CC"/>
    <w:rsid w:val="000631DD"/>
    <w:rsid w:val="00065A68"/>
    <w:rsid w:val="00066545"/>
    <w:rsid w:val="00066B9B"/>
    <w:rsid w:val="00067708"/>
    <w:rsid w:val="000677D6"/>
    <w:rsid w:val="00070F93"/>
    <w:rsid w:val="00072EE6"/>
    <w:rsid w:val="00076894"/>
    <w:rsid w:val="00077529"/>
    <w:rsid w:val="00083D38"/>
    <w:rsid w:val="000870FF"/>
    <w:rsid w:val="000902AD"/>
    <w:rsid w:val="000904F3"/>
    <w:rsid w:val="0009215C"/>
    <w:rsid w:val="0009239E"/>
    <w:rsid w:val="00093E80"/>
    <w:rsid w:val="00094122"/>
    <w:rsid w:val="00095C28"/>
    <w:rsid w:val="00096294"/>
    <w:rsid w:val="00097757"/>
    <w:rsid w:val="000A1CD5"/>
    <w:rsid w:val="000A518F"/>
    <w:rsid w:val="000A53B6"/>
    <w:rsid w:val="000B03B4"/>
    <w:rsid w:val="000B0B3A"/>
    <w:rsid w:val="000B2C94"/>
    <w:rsid w:val="000C0684"/>
    <w:rsid w:val="000C140F"/>
    <w:rsid w:val="000C4783"/>
    <w:rsid w:val="000C5006"/>
    <w:rsid w:val="000C6BCE"/>
    <w:rsid w:val="000C71CE"/>
    <w:rsid w:val="000C73E9"/>
    <w:rsid w:val="000C7D65"/>
    <w:rsid w:val="000D1EB4"/>
    <w:rsid w:val="000D2508"/>
    <w:rsid w:val="000D40AB"/>
    <w:rsid w:val="000D45BB"/>
    <w:rsid w:val="000D559B"/>
    <w:rsid w:val="000D6461"/>
    <w:rsid w:val="000D6A97"/>
    <w:rsid w:val="000D71E8"/>
    <w:rsid w:val="000D7910"/>
    <w:rsid w:val="000D7BE2"/>
    <w:rsid w:val="000E5A3B"/>
    <w:rsid w:val="000E7738"/>
    <w:rsid w:val="000E7BD2"/>
    <w:rsid w:val="000F0301"/>
    <w:rsid w:val="000F0E44"/>
    <w:rsid w:val="000F0F9D"/>
    <w:rsid w:val="000F1461"/>
    <w:rsid w:val="000F1F36"/>
    <w:rsid w:val="000F2165"/>
    <w:rsid w:val="000F2FEB"/>
    <w:rsid w:val="000F49CF"/>
    <w:rsid w:val="000F61C7"/>
    <w:rsid w:val="000F743D"/>
    <w:rsid w:val="001000B0"/>
    <w:rsid w:val="00102B68"/>
    <w:rsid w:val="00103C7A"/>
    <w:rsid w:val="001042BE"/>
    <w:rsid w:val="00110864"/>
    <w:rsid w:val="00110FF0"/>
    <w:rsid w:val="0011151F"/>
    <w:rsid w:val="001118D2"/>
    <w:rsid w:val="001119C1"/>
    <w:rsid w:val="00113107"/>
    <w:rsid w:val="00113557"/>
    <w:rsid w:val="00113AAF"/>
    <w:rsid w:val="001145CE"/>
    <w:rsid w:val="00115F53"/>
    <w:rsid w:val="001178D4"/>
    <w:rsid w:val="001208CF"/>
    <w:rsid w:val="00121D95"/>
    <w:rsid w:val="00122EA3"/>
    <w:rsid w:val="0012427A"/>
    <w:rsid w:val="00134023"/>
    <w:rsid w:val="001342E9"/>
    <w:rsid w:val="0013444D"/>
    <w:rsid w:val="00135167"/>
    <w:rsid w:val="001359A6"/>
    <w:rsid w:val="001362A4"/>
    <w:rsid w:val="0013762F"/>
    <w:rsid w:val="00137A19"/>
    <w:rsid w:val="00137D67"/>
    <w:rsid w:val="00140EBE"/>
    <w:rsid w:val="001418E7"/>
    <w:rsid w:val="00142437"/>
    <w:rsid w:val="00142F33"/>
    <w:rsid w:val="00145C09"/>
    <w:rsid w:val="00151409"/>
    <w:rsid w:val="001517B8"/>
    <w:rsid w:val="001517FC"/>
    <w:rsid w:val="00153C57"/>
    <w:rsid w:val="001548F1"/>
    <w:rsid w:val="00154B5C"/>
    <w:rsid w:val="00156134"/>
    <w:rsid w:val="00156652"/>
    <w:rsid w:val="00156ECF"/>
    <w:rsid w:val="00160BD2"/>
    <w:rsid w:val="00162E21"/>
    <w:rsid w:val="00165139"/>
    <w:rsid w:val="0016794F"/>
    <w:rsid w:val="001713C0"/>
    <w:rsid w:val="00171FCA"/>
    <w:rsid w:val="001721EA"/>
    <w:rsid w:val="00175E72"/>
    <w:rsid w:val="00175F22"/>
    <w:rsid w:val="001809DD"/>
    <w:rsid w:val="00182FE2"/>
    <w:rsid w:val="00184057"/>
    <w:rsid w:val="00184404"/>
    <w:rsid w:val="0018584D"/>
    <w:rsid w:val="001871F1"/>
    <w:rsid w:val="001921A7"/>
    <w:rsid w:val="00192F26"/>
    <w:rsid w:val="00194084"/>
    <w:rsid w:val="001947D3"/>
    <w:rsid w:val="001951CA"/>
    <w:rsid w:val="00195C6D"/>
    <w:rsid w:val="00197389"/>
    <w:rsid w:val="00197FEF"/>
    <w:rsid w:val="001A0A00"/>
    <w:rsid w:val="001A0A94"/>
    <w:rsid w:val="001A15FC"/>
    <w:rsid w:val="001A169C"/>
    <w:rsid w:val="001A247A"/>
    <w:rsid w:val="001A65EA"/>
    <w:rsid w:val="001B0325"/>
    <w:rsid w:val="001B0FEE"/>
    <w:rsid w:val="001B384A"/>
    <w:rsid w:val="001C01FD"/>
    <w:rsid w:val="001C5CCF"/>
    <w:rsid w:val="001C61AA"/>
    <w:rsid w:val="001C6585"/>
    <w:rsid w:val="001C6C9D"/>
    <w:rsid w:val="001D03F2"/>
    <w:rsid w:val="001D112C"/>
    <w:rsid w:val="001D2C8B"/>
    <w:rsid w:val="001D4B60"/>
    <w:rsid w:val="001D599A"/>
    <w:rsid w:val="001D5B58"/>
    <w:rsid w:val="001D6346"/>
    <w:rsid w:val="001E4860"/>
    <w:rsid w:val="001E4D03"/>
    <w:rsid w:val="001E56A2"/>
    <w:rsid w:val="001E6544"/>
    <w:rsid w:val="001E7FBE"/>
    <w:rsid w:val="001F0060"/>
    <w:rsid w:val="001F0351"/>
    <w:rsid w:val="001F0819"/>
    <w:rsid w:val="001F1432"/>
    <w:rsid w:val="001F1ACA"/>
    <w:rsid w:val="001F1C4C"/>
    <w:rsid w:val="001F1E86"/>
    <w:rsid w:val="001F2325"/>
    <w:rsid w:val="001F39C7"/>
    <w:rsid w:val="001F3BB4"/>
    <w:rsid w:val="001F507F"/>
    <w:rsid w:val="001F63A5"/>
    <w:rsid w:val="001F648E"/>
    <w:rsid w:val="001F69DB"/>
    <w:rsid w:val="001F7659"/>
    <w:rsid w:val="001F7F5C"/>
    <w:rsid w:val="002014F7"/>
    <w:rsid w:val="002053E1"/>
    <w:rsid w:val="002058A8"/>
    <w:rsid w:val="00205953"/>
    <w:rsid w:val="002065A5"/>
    <w:rsid w:val="0020729F"/>
    <w:rsid w:val="00211D4C"/>
    <w:rsid w:val="00213BE3"/>
    <w:rsid w:val="00215102"/>
    <w:rsid w:val="00215B4B"/>
    <w:rsid w:val="002160C8"/>
    <w:rsid w:val="00221333"/>
    <w:rsid w:val="00221D95"/>
    <w:rsid w:val="00222578"/>
    <w:rsid w:val="00222BFF"/>
    <w:rsid w:val="002274E2"/>
    <w:rsid w:val="00230939"/>
    <w:rsid w:val="00230F53"/>
    <w:rsid w:val="00231002"/>
    <w:rsid w:val="00231DAE"/>
    <w:rsid w:val="00232397"/>
    <w:rsid w:val="00233C18"/>
    <w:rsid w:val="00235265"/>
    <w:rsid w:val="00242BA1"/>
    <w:rsid w:val="0024396E"/>
    <w:rsid w:val="00243E2B"/>
    <w:rsid w:val="00244FFD"/>
    <w:rsid w:val="0024600B"/>
    <w:rsid w:val="00251AF1"/>
    <w:rsid w:val="0025250E"/>
    <w:rsid w:val="002534FA"/>
    <w:rsid w:val="0025416C"/>
    <w:rsid w:val="00255F4E"/>
    <w:rsid w:val="00255F9E"/>
    <w:rsid w:val="00256065"/>
    <w:rsid w:val="0025644F"/>
    <w:rsid w:val="00260706"/>
    <w:rsid w:val="00260BCD"/>
    <w:rsid w:val="002618CA"/>
    <w:rsid w:val="00262113"/>
    <w:rsid w:val="00262DC9"/>
    <w:rsid w:val="00265FF3"/>
    <w:rsid w:val="00267E34"/>
    <w:rsid w:val="00272437"/>
    <w:rsid w:val="00272512"/>
    <w:rsid w:val="00272905"/>
    <w:rsid w:val="00273062"/>
    <w:rsid w:val="00273BE8"/>
    <w:rsid w:val="00274964"/>
    <w:rsid w:val="00277A16"/>
    <w:rsid w:val="00280A83"/>
    <w:rsid w:val="002832A6"/>
    <w:rsid w:val="00286E1E"/>
    <w:rsid w:val="00292CE0"/>
    <w:rsid w:val="00294D4D"/>
    <w:rsid w:val="00295FC0"/>
    <w:rsid w:val="00296B65"/>
    <w:rsid w:val="00296E39"/>
    <w:rsid w:val="00297951"/>
    <w:rsid w:val="00297B5B"/>
    <w:rsid w:val="002A0981"/>
    <w:rsid w:val="002A1E05"/>
    <w:rsid w:val="002A3384"/>
    <w:rsid w:val="002A40B8"/>
    <w:rsid w:val="002A54CE"/>
    <w:rsid w:val="002A5871"/>
    <w:rsid w:val="002B0F2C"/>
    <w:rsid w:val="002B0F5C"/>
    <w:rsid w:val="002B1741"/>
    <w:rsid w:val="002B2B79"/>
    <w:rsid w:val="002B30F8"/>
    <w:rsid w:val="002B341E"/>
    <w:rsid w:val="002B38A0"/>
    <w:rsid w:val="002B3A14"/>
    <w:rsid w:val="002B47A7"/>
    <w:rsid w:val="002B48FE"/>
    <w:rsid w:val="002B4C1E"/>
    <w:rsid w:val="002B6D08"/>
    <w:rsid w:val="002B77DC"/>
    <w:rsid w:val="002C2B38"/>
    <w:rsid w:val="002C337E"/>
    <w:rsid w:val="002C4473"/>
    <w:rsid w:val="002C7F56"/>
    <w:rsid w:val="002D073B"/>
    <w:rsid w:val="002D37C7"/>
    <w:rsid w:val="002D446C"/>
    <w:rsid w:val="002D470F"/>
    <w:rsid w:val="002D6EE4"/>
    <w:rsid w:val="002D7233"/>
    <w:rsid w:val="002D769C"/>
    <w:rsid w:val="002E0F20"/>
    <w:rsid w:val="002E529C"/>
    <w:rsid w:val="002E54BA"/>
    <w:rsid w:val="002E5867"/>
    <w:rsid w:val="002E5999"/>
    <w:rsid w:val="002E6368"/>
    <w:rsid w:val="002E6549"/>
    <w:rsid w:val="002E698E"/>
    <w:rsid w:val="002F0617"/>
    <w:rsid w:val="002F09DD"/>
    <w:rsid w:val="002F1646"/>
    <w:rsid w:val="002F1CA3"/>
    <w:rsid w:val="002F214A"/>
    <w:rsid w:val="002F3032"/>
    <w:rsid w:val="002F3A75"/>
    <w:rsid w:val="002F64CA"/>
    <w:rsid w:val="002F696C"/>
    <w:rsid w:val="002F76B2"/>
    <w:rsid w:val="00300154"/>
    <w:rsid w:val="003005C6"/>
    <w:rsid w:val="0030081A"/>
    <w:rsid w:val="00300FBB"/>
    <w:rsid w:val="00302612"/>
    <w:rsid w:val="00303951"/>
    <w:rsid w:val="00304B05"/>
    <w:rsid w:val="00304FCF"/>
    <w:rsid w:val="003050C1"/>
    <w:rsid w:val="003064E7"/>
    <w:rsid w:val="00306846"/>
    <w:rsid w:val="0031077A"/>
    <w:rsid w:val="003134D5"/>
    <w:rsid w:val="003143E3"/>
    <w:rsid w:val="00315CFA"/>
    <w:rsid w:val="003160B2"/>
    <w:rsid w:val="003171E8"/>
    <w:rsid w:val="003174CB"/>
    <w:rsid w:val="00317696"/>
    <w:rsid w:val="00317C14"/>
    <w:rsid w:val="0032017D"/>
    <w:rsid w:val="00320825"/>
    <w:rsid w:val="00321A0A"/>
    <w:rsid w:val="00321B30"/>
    <w:rsid w:val="00324483"/>
    <w:rsid w:val="003251DB"/>
    <w:rsid w:val="003258FB"/>
    <w:rsid w:val="003259D5"/>
    <w:rsid w:val="003269CA"/>
    <w:rsid w:val="003276E0"/>
    <w:rsid w:val="0032777B"/>
    <w:rsid w:val="00330179"/>
    <w:rsid w:val="00330E98"/>
    <w:rsid w:val="0033142C"/>
    <w:rsid w:val="00331735"/>
    <w:rsid w:val="00331AF4"/>
    <w:rsid w:val="0033343B"/>
    <w:rsid w:val="003337E9"/>
    <w:rsid w:val="00333BBF"/>
    <w:rsid w:val="00333CA8"/>
    <w:rsid w:val="00333EF6"/>
    <w:rsid w:val="00334DC7"/>
    <w:rsid w:val="00335BC0"/>
    <w:rsid w:val="00335C27"/>
    <w:rsid w:val="00336850"/>
    <w:rsid w:val="00337C4E"/>
    <w:rsid w:val="0034082D"/>
    <w:rsid w:val="003419B3"/>
    <w:rsid w:val="003452EC"/>
    <w:rsid w:val="0034616F"/>
    <w:rsid w:val="00351940"/>
    <w:rsid w:val="0035271E"/>
    <w:rsid w:val="00352F39"/>
    <w:rsid w:val="003563FA"/>
    <w:rsid w:val="0035773E"/>
    <w:rsid w:val="00362A0A"/>
    <w:rsid w:val="0036318F"/>
    <w:rsid w:val="003642CE"/>
    <w:rsid w:val="00367EAC"/>
    <w:rsid w:val="00370044"/>
    <w:rsid w:val="003702B6"/>
    <w:rsid w:val="00370BB8"/>
    <w:rsid w:val="00370EFF"/>
    <w:rsid w:val="003737B4"/>
    <w:rsid w:val="00375147"/>
    <w:rsid w:val="00375AC4"/>
    <w:rsid w:val="00376019"/>
    <w:rsid w:val="00377AC0"/>
    <w:rsid w:val="00377CB7"/>
    <w:rsid w:val="003804D5"/>
    <w:rsid w:val="00381A03"/>
    <w:rsid w:val="003836C7"/>
    <w:rsid w:val="00387CA6"/>
    <w:rsid w:val="00390AA9"/>
    <w:rsid w:val="00391728"/>
    <w:rsid w:val="003917A9"/>
    <w:rsid w:val="00392C5F"/>
    <w:rsid w:val="00392F7D"/>
    <w:rsid w:val="00393637"/>
    <w:rsid w:val="003941DE"/>
    <w:rsid w:val="0039433E"/>
    <w:rsid w:val="003956FA"/>
    <w:rsid w:val="003957A9"/>
    <w:rsid w:val="003958CE"/>
    <w:rsid w:val="00397027"/>
    <w:rsid w:val="00397AF1"/>
    <w:rsid w:val="003A0626"/>
    <w:rsid w:val="003A0957"/>
    <w:rsid w:val="003A2548"/>
    <w:rsid w:val="003A2A00"/>
    <w:rsid w:val="003A4819"/>
    <w:rsid w:val="003A486C"/>
    <w:rsid w:val="003A5453"/>
    <w:rsid w:val="003A7232"/>
    <w:rsid w:val="003B12B2"/>
    <w:rsid w:val="003B37F9"/>
    <w:rsid w:val="003B3E1F"/>
    <w:rsid w:val="003B3FB0"/>
    <w:rsid w:val="003B5308"/>
    <w:rsid w:val="003B6B00"/>
    <w:rsid w:val="003B72EE"/>
    <w:rsid w:val="003C67DC"/>
    <w:rsid w:val="003C6EAC"/>
    <w:rsid w:val="003D071F"/>
    <w:rsid w:val="003D0F06"/>
    <w:rsid w:val="003D157F"/>
    <w:rsid w:val="003D2674"/>
    <w:rsid w:val="003E0136"/>
    <w:rsid w:val="003E2D18"/>
    <w:rsid w:val="003E3E37"/>
    <w:rsid w:val="003E5073"/>
    <w:rsid w:val="003E58C2"/>
    <w:rsid w:val="003E694F"/>
    <w:rsid w:val="003E6985"/>
    <w:rsid w:val="003E7181"/>
    <w:rsid w:val="003E7CEE"/>
    <w:rsid w:val="003E7DE7"/>
    <w:rsid w:val="003F0263"/>
    <w:rsid w:val="003F1255"/>
    <w:rsid w:val="003F2975"/>
    <w:rsid w:val="003F3FF2"/>
    <w:rsid w:val="003F5946"/>
    <w:rsid w:val="003F7740"/>
    <w:rsid w:val="003F7D34"/>
    <w:rsid w:val="0040154E"/>
    <w:rsid w:val="0040173A"/>
    <w:rsid w:val="0040210D"/>
    <w:rsid w:val="00402790"/>
    <w:rsid w:val="004032FD"/>
    <w:rsid w:val="004036DF"/>
    <w:rsid w:val="004042EA"/>
    <w:rsid w:val="00404A0E"/>
    <w:rsid w:val="0040523B"/>
    <w:rsid w:val="00406067"/>
    <w:rsid w:val="00411929"/>
    <w:rsid w:val="004119E7"/>
    <w:rsid w:val="00411C86"/>
    <w:rsid w:val="00413215"/>
    <w:rsid w:val="004146BC"/>
    <w:rsid w:val="00415622"/>
    <w:rsid w:val="00415CE4"/>
    <w:rsid w:val="00415FBF"/>
    <w:rsid w:val="00417806"/>
    <w:rsid w:val="00417A16"/>
    <w:rsid w:val="00417FAD"/>
    <w:rsid w:val="0042052F"/>
    <w:rsid w:val="004209CE"/>
    <w:rsid w:val="00422B7B"/>
    <w:rsid w:val="00423256"/>
    <w:rsid w:val="004238D1"/>
    <w:rsid w:val="00423D61"/>
    <w:rsid w:val="004241BF"/>
    <w:rsid w:val="00425537"/>
    <w:rsid w:val="00425C5D"/>
    <w:rsid w:val="004260D5"/>
    <w:rsid w:val="00432AFA"/>
    <w:rsid w:val="00432EF3"/>
    <w:rsid w:val="00433579"/>
    <w:rsid w:val="004341AD"/>
    <w:rsid w:val="00434ABE"/>
    <w:rsid w:val="00435287"/>
    <w:rsid w:val="00435382"/>
    <w:rsid w:val="00435B4C"/>
    <w:rsid w:val="00441259"/>
    <w:rsid w:val="004414D6"/>
    <w:rsid w:val="00441AF5"/>
    <w:rsid w:val="004421BA"/>
    <w:rsid w:val="00442796"/>
    <w:rsid w:val="00442A2F"/>
    <w:rsid w:val="00442BC2"/>
    <w:rsid w:val="004445FE"/>
    <w:rsid w:val="00445ABB"/>
    <w:rsid w:val="00445D5C"/>
    <w:rsid w:val="00446055"/>
    <w:rsid w:val="004473F8"/>
    <w:rsid w:val="00447669"/>
    <w:rsid w:val="004479C4"/>
    <w:rsid w:val="00447B31"/>
    <w:rsid w:val="00451033"/>
    <w:rsid w:val="004510A2"/>
    <w:rsid w:val="00451875"/>
    <w:rsid w:val="00452E88"/>
    <w:rsid w:val="00452FED"/>
    <w:rsid w:val="00454A13"/>
    <w:rsid w:val="00455EBB"/>
    <w:rsid w:val="00456456"/>
    <w:rsid w:val="00457B2D"/>
    <w:rsid w:val="00457B61"/>
    <w:rsid w:val="004601A9"/>
    <w:rsid w:val="00461316"/>
    <w:rsid w:val="004616F4"/>
    <w:rsid w:val="004618D5"/>
    <w:rsid w:val="00461BAC"/>
    <w:rsid w:val="00461D8E"/>
    <w:rsid w:val="00462A81"/>
    <w:rsid w:val="00462EAC"/>
    <w:rsid w:val="00464EA3"/>
    <w:rsid w:val="004651A7"/>
    <w:rsid w:val="0046581D"/>
    <w:rsid w:val="00465F23"/>
    <w:rsid w:val="00470C4D"/>
    <w:rsid w:val="00470ED8"/>
    <w:rsid w:val="004734ED"/>
    <w:rsid w:val="00473E9F"/>
    <w:rsid w:val="00474DF4"/>
    <w:rsid w:val="00475919"/>
    <w:rsid w:val="00475B87"/>
    <w:rsid w:val="0047786E"/>
    <w:rsid w:val="00480567"/>
    <w:rsid w:val="00480942"/>
    <w:rsid w:val="004812F6"/>
    <w:rsid w:val="00482972"/>
    <w:rsid w:val="00484394"/>
    <w:rsid w:val="004845F9"/>
    <w:rsid w:val="00484ED3"/>
    <w:rsid w:val="0048512C"/>
    <w:rsid w:val="00486803"/>
    <w:rsid w:val="00486C42"/>
    <w:rsid w:val="00490283"/>
    <w:rsid w:val="0049271E"/>
    <w:rsid w:val="0049482C"/>
    <w:rsid w:val="00494B4B"/>
    <w:rsid w:val="004950AC"/>
    <w:rsid w:val="0049548F"/>
    <w:rsid w:val="00497B6C"/>
    <w:rsid w:val="004A10E1"/>
    <w:rsid w:val="004A2EA8"/>
    <w:rsid w:val="004A6284"/>
    <w:rsid w:val="004B089F"/>
    <w:rsid w:val="004B29B5"/>
    <w:rsid w:val="004B541D"/>
    <w:rsid w:val="004B5CA2"/>
    <w:rsid w:val="004C05CF"/>
    <w:rsid w:val="004C0E12"/>
    <w:rsid w:val="004C4DCA"/>
    <w:rsid w:val="004D007F"/>
    <w:rsid w:val="004D0685"/>
    <w:rsid w:val="004D2042"/>
    <w:rsid w:val="004D3264"/>
    <w:rsid w:val="004D431C"/>
    <w:rsid w:val="004D4435"/>
    <w:rsid w:val="004D4EDD"/>
    <w:rsid w:val="004D51E7"/>
    <w:rsid w:val="004D559D"/>
    <w:rsid w:val="004D65F8"/>
    <w:rsid w:val="004E433A"/>
    <w:rsid w:val="004E5086"/>
    <w:rsid w:val="004E59BD"/>
    <w:rsid w:val="004E679F"/>
    <w:rsid w:val="004E7169"/>
    <w:rsid w:val="004F05AD"/>
    <w:rsid w:val="004F069E"/>
    <w:rsid w:val="004F0ECD"/>
    <w:rsid w:val="004F102F"/>
    <w:rsid w:val="004F1CDC"/>
    <w:rsid w:val="004F5A16"/>
    <w:rsid w:val="004F7562"/>
    <w:rsid w:val="004F75E2"/>
    <w:rsid w:val="005007A6"/>
    <w:rsid w:val="00500A7E"/>
    <w:rsid w:val="005030BF"/>
    <w:rsid w:val="0050325A"/>
    <w:rsid w:val="00504049"/>
    <w:rsid w:val="00504B69"/>
    <w:rsid w:val="00513EE8"/>
    <w:rsid w:val="00514657"/>
    <w:rsid w:val="00514940"/>
    <w:rsid w:val="0051685A"/>
    <w:rsid w:val="005169E5"/>
    <w:rsid w:val="0052017A"/>
    <w:rsid w:val="005201A5"/>
    <w:rsid w:val="005202FE"/>
    <w:rsid w:val="0052116A"/>
    <w:rsid w:val="005211BF"/>
    <w:rsid w:val="005228B3"/>
    <w:rsid w:val="00522C22"/>
    <w:rsid w:val="005257FB"/>
    <w:rsid w:val="00525BD7"/>
    <w:rsid w:val="00527591"/>
    <w:rsid w:val="005306CF"/>
    <w:rsid w:val="00532E3F"/>
    <w:rsid w:val="0053347E"/>
    <w:rsid w:val="00540F6D"/>
    <w:rsid w:val="005414AD"/>
    <w:rsid w:val="005420C4"/>
    <w:rsid w:val="005437F6"/>
    <w:rsid w:val="00544557"/>
    <w:rsid w:val="005447C8"/>
    <w:rsid w:val="00545322"/>
    <w:rsid w:val="005458E7"/>
    <w:rsid w:val="00546510"/>
    <w:rsid w:val="00546E8C"/>
    <w:rsid w:val="00546F46"/>
    <w:rsid w:val="00546FEC"/>
    <w:rsid w:val="0054714D"/>
    <w:rsid w:val="00550204"/>
    <w:rsid w:val="005534CE"/>
    <w:rsid w:val="00554090"/>
    <w:rsid w:val="005558DD"/>
    <w:rsid w:val="0055753D"/>
    <w:rsid w:val="005623A7"/>
    <w:rsid w:val="005630BB"/>
    <w:rsid w:val="00564810"/>
    <w:rsid w:val="00565152"/>
    <w:rsid w:val="0056622D"/>
    <w:rsid w:val="0056701A"/>
    <w:rsid w:val="005702C1"/>
    <w:rsid w:val="00570792"/>
    <w:rsid w:val="00572669"/>
    <w:rsid w:val="00572A60"/>
    <w:rsid w:val="00572F73"/>
    <w:rsid w:val="0057363C"/>
    <w:rsid w:val="00574B35"/>
    <w:rsid w:val="0057607F"/>
    <w:rsid w:val="00577335"/>
    <w:rsid w:val="005805CA"/>
    <w:rsid w:val="00580882"/>
    <w:rsid w:val="00581811"/>
    <w:rsid w:val="00581DB6"/>
    <w:rsid w:val="0058299B"/>
    <w:rsid w:val="005834AF"/>
    <w:rsid w:val="0058418B"/>
    <w:rsid w:val="00584ECA"/>
    <w:rsid w:val="00586E43"/>
    <w:rsid w:val="005875CE"/>
    <w:rsid w:val="0058762F"/>
    <w:rsid w:val="00587703"/>
    <w:rsid w:val="00587C09"/>
    <w:rsid w:val="005901A3"/>
    <w:rsid w:val="00590D8A"/>
    <w:rsid w:val="00593C93"/>
    <w:rsid w:val="00595673"/>
    <w:rsid w:val="00595DB6"/>
    <w:rsid w:val="005972B7"/>
    <w:rsid w:val="005A010F"/>
    <w:rsid w:val="005A2A4F"/>
    <w:rsid w:val="005A3292"/>
    <w:rsid w:val="005A48DF"/>
    <w:rsid w:val="005A641A"/>
    <w:rsid w:val="005A79D7"/>
    <w:rsid w:val="005A7E75"/>
    <w:rsid w:val="005B03BD"/>
    <w:rsid w:val="005B057C"/>
    <w:rsid w:val="005B3815"/>
    <w:rsid w:val="005B5959"/>
    <w:rsid w:val="005B5A2D"/>
    <w:rsid w:val="005B6B19"/>
    <w:rsid w:val="005B71F8"/>
    <w:rsid w:val="005B7B1B"/>
    <w:rsid w:val="005C0A6C"/>
    <w:rsid w:val="005C0D8C"/>
    <w:rsid w:val="005C1A13"/>
    <w:rsid w:val="005C2EFF"/>
    <w:rsid w:val="005C2F98"/>
    <w:rsid w:val="005C5CB1"/>
    <w:rsid w:val="005C6C48"/>
    <w:rsid w:val="005D04D2"/>
    <w:rsid w:val="005D158E"/>
    <w:rsid w:val="005D36E4"/>
    <w:rsid w:val="005D522B"/>
    <w:rsid w:val="005D6EA1"/>
    <w:rsid w:val="005D765B"/>
    <w:rsid w:val="005E259F"/>
    <w:rsid w:val="005E2B71"/>
    <w:rsid w:val="005E5338"/>
    <w:rsid w:val="005E6D6B"/>
    <w:rsid w:val="005E75E7"/>
    <w:rsid w:val="005E78C5"/>
    <w:rsid w:val="005E78C8"/>
    <w:rsid w:val="005E7EE0"/>
    <w:rsid w:val="005F0060"/>
    <w:rsid w:val="005F176B"/>
    <w:rsid w:val="005F2125"/>
    <w:rsid w:val="005F3A3C"/>
    <w:rsid w:val="005F66EC"/>
    <w:rsid w:val="005F7966"/>
    <w:rsid w:val="00600DE5"/>
    <w:rsid w:val="00601470"/>
    <w:rsid w:val="00601F3F"/>
    <w:rsid w:val="006022DA"/>
    <w:rsid w:val="00603293"/>
    <w:rsid w:val="006053E6"/>
    <w:rsid w:val="00606C40"/>
    <w:rsid w:val="00606FA4"/>
    <w:rsid w:val="006114AC"/>
    <w:rsid w:val="0061219C"/>
    <w:rsid w:val="0061226F"/>
    <w:rsid w:val="006133A1"/>
    <w:rsid w:val="0061574F"/>
    <w:rsid w:val="006157F6"/>
    <w:rsid w:val="00616F64"/>
    <w:rsid w:val="006172A8"/>
    <w:rsid w:val="006178B5"/>
    <w:rsid w:val="00617D46"/>
    <w:rsid w:val="00617DD8"/>
    <w:rsid w:val="00620119"/>
    <w:rsid w:val="00622DCF"/>
    <w:rsid w:val="00622DED"/>
    <w:rsid w:val="00623146"/>
    <w:rsid w:val="00624870"/>
    <w:rsid w:val="00624F35"/>
    <w:rsid w:val="00627BFA"/>
    <w:rsid w:val="00630329"/>
    <w:rsid w:val="0063068C"/>
    <w:rsid w:val="00630B55"/>
    <w:rsid w:val="00631694"/>
    <w:rsid w:val="0063171D"/>
    <w:rsid w:val="00631F68"/>
    <w:rsid w:val="006327A6"/>
    <w:rsid w:val="00632EFA"/>
    <w:rsid w:val="00632EFC"/>
    <w:rsid w:val="00633ECA"/>
    <w:rsid w:val="00637E7E"/>
    <w:rsid w:val="006418C6"/>
    <w:rsid w:val="00642281"/>
    <w:rsid w:val="00642AFB"/>
    <w:rsid w:val="00643D76"/>
    <w:rsid w:val="006443A0"/>
    <w:rsid w:val="00644E02"/>
    <w:rsid w:val="006459F8"/>
    <w:rsid w:val="0064700E"/>
    <w:rsid w:val="00650A95"/>
    <w:rsid w:val="00650E57"/>
    <w:rsid w:val="00650E7E"/>
    <w:rsid w:val="0065153C"/>
    <w:rsid w:val="006533E8"/>
    <w:rsid w:val="00656795"/>
    <w:rsid w:val="006576A3"/>
    <w:rsid w:val="006577A0"/>
    <w:rsid w:val="0065789E"/>
    <w:rsid w:val="00657974"/>
    <w:rsid w:val="0066071E"/>
    <w:rsid w:val="00660A41"/>
    <w:rsid w:val="006615EC"/>
    <w:rsid w:val="006619B3"/>
    <w:rsid w:val="0066245D"/>
    <w:rsid w:val="006624A6"/>
    <w:rsid w:val="0066263B"/>
    <w:rsid w:val="006638AA"/>
    <w:rsid w:val="00664198"/>
    <w:rsid w:val="0066625A"/>
    <w:rsid w:val="0066698D"/>
    <w:rsid w:val="00670E09"/>
    <w:rsid w:val="00671739"/>
    <w:rsid w:val="00671BA6"/>
    <w:rsid w:val="00673547"/>
    <w:rsid w:val="00676959"/>
    <w:rsid w:val="0067721F"/>
    <w:rsid w:val="006778F0"/>
    <w:rsid w:val="00680227"/>
    <w:rsid w:val="0068026C"/>
    <w:rsid w:val="00681C3C"/>
    <w:rsid w:val="00684A3D"/>
    <w:rsid w:val="00684B0F"/>
    <w:rsid w:val="00684DE9"/>
    <w:rsid w:val="00685039"/>
    <w:rsid w:val="00685168"/>
    <w:rsid w:val="0068536A"/>
    <w:rsid w:val="006854FF"/>
    <w:rsid w:val="00685FE4"/>
    <w:rsid w:val="006906FB"/>
    <w:rsid w:val="0069090E"/>
    <w:rsid w:val="00690B22"/>
    <w:rsid w:val="006916F7"/>
    <w:rsid w:val="006930C0"/>
    <w:rsid w:val="00696312"/>
    <w:rsid w:val="006964B9"/>
    <w:rsid w:val="00697689"/>
    <w:rsid w:val="006A4437"/>
    <w:rsid w:val="006A4E14"/>
    <w:rsid w:val="006A50D5"/>
    <w:rsid w:val="006A5805"/>
    <w:rsid w:val="006A6875"/>
    <w:rsid w:val="006B432E"/>
    <w:rsid w:val="006B533B"/>
    <w:rsid w:val="006B68BB"/>
    <w:rsid w:val="006B6B58"/>
    <w:rsid w:val="006B6CE9"/>
    <w:rsid w:val="006B6E52"/>
    <w:rsid w:val="006B70B3"/>
    <w:rsid w:val="006C0922"/>
    <w:rsid w:val="006C100A"/>
    <w:rsid w:val="006C1A88"/>
    <w:rsid w:val="006C225A"/>
    <w:rsid w:val="006C2270"/>
    <w:rsid w:val="006C25F1"/>
    <w:rsid w:val="006C34E2"/>
    <w:rsid w:val="006C36FC"/>
    <w:rsid w:val="006C370F"/>
    <w:rsid w:val="006C3961"/>
    <w:rsid w:val="006C42F9"/>
    <w:rsid w:val="006C5382"/>
    <w:rsid w:val="006C57E6"/>
    <w:rsid w:val="006C7506"/>
    <w:rsid w:val="006D0BEB"/>
    <w:rsid w:val="006D1A43"/>
    <w:rsid w:val="006D1CE3"/>
    <w:rsid w:val="006D1E09"/>
    <w:rsid w:val="006D23F8"/>
    <w:rsid w:val="006D2480"/>
    <w:rsid w:val="006D33DB"/>
    <w:rsid w:val="006D370F"/>
    <w:rsid w:val="006D4A50"/>
    <w:rsid w:val="006E0229"/>
    <w:rsid w:val="006E10F3"/>
    <w:rsid w:val="006E14D2"/>
    <w:rsid w:val="006E214B"/>
    <w:rsid w:val="006E3E2C"/>
    <w:rsid w:val="006E4BC5"/>
    <w:rsid w:val="006E5419"/>
    <w:rsid w:val="006E756B"/>
    <w:rsid w:val="006F02DF"/>
    <w:rsid w:val="006F18D3"/>
    <w:rsid w:val="006F3A5A"/>
    <w:rsid w:val="006F3BE8"/>
    <w:rsid w:val="006F45C5"/>
    <w:rsid w:val="006F4663"/>
    <w:rsid w:val="006F66BD"/>
    <w:rsid w:val="006F776B"/>
    <w:rsid w:val="006F7BD6"/>
    <w:rsid w:val="00701772"/>
    <w:rsid w:val="00702193"/>
    <w:rsid w:val="007033A7"/>
    <w:rsid w:val="00704D32"/>
    <w:rsid w:val="0070777A"/>
    <w:rsid w:val="00710723"/>
    <w:rsid w:val="0071310E"/>
    <w:rsid w:val="00714126"/>
    <w:rsid w:val="00714BA4"/>
    <w:rsid w:val="00714FBF"/>
    <w:rsid w:val="0071579C"/>
    <w:rsid w:val="007157F0"/>
    <w:rsid w:val="00715AAB"/>
    <w:rsid w:val="00717B04"/>
    <w:rsid w:val="00721114"/>
    <w:rsid w:val="00722E5E"/>
    <w:rsid w:val="00723A63"/>
    <w:rsid w:val="00723CA1"/>
    <w:rsid w:val="00724628"/>
    <w:rsid w:val="0072467B"/>
    <w:rsid w:val="00732072"/>
    <w:rsid w:val="007362DD"/>
    <w:rsid w:val="00736A60"/>
    <w:rsid w:val="00740165"/>
    <w:rsid w:val="00742AAB"/>
    <w:rsid w:val="00742B34"/>
    <w:rsid w:val="00743898"/>
    <w:rsid w:val="00745E5D"/>
    <w:rsid w:val="007472F0"/>
    <w:rsid w:val="0075157F"/>
    <w:rsid w:val="00752422"/>
    <w:rsid w:val="00754537"/>
    <w:rsid w:val="0075515F"/>
    <w:rsid w:val="00756D50"/>
    <w:rsid w:val="00757709"/>
    <w:rsid w:val="00761EA5"/>
    <w:rsid w:val="00762858"/>
    <w:rsid w:val="00763949"/>
    <w:rsid w:val="00764914"/>
    <w:rsid w:val="007652D4"/>
    <w:rsid w:val="00765681"/>
    <w:rsid w:val="00765A82"/>
    <w:rsid w:val="00765FFF"/>
    <w:rsid w:val="00767B00"/>
    <w:rsid w:val="00770BFC"/>
    <w:rsid w:val="00772C5B"/>
    <w:rsid w:val="007743F9"/>
    <w:rsid w:val="00774940"/>
    <w:rsid w:val="00774EC0"/>
    <w:rsid w:val="00776293"/>
    <w:rsid w:val="00781CEE"/>
    <w:rsid w:val="00782F05"/>
    <w:rsid w:val="007832B5"/>
    <w:rsid w:val="007848E6"/>
    <w:rsid w:val="00785B77"/>
    <w:rsid w:val="00785F44"/>
    <w:rsid w:val="00785F53"/>
    <w:rsid w:val="0078751E"/>
    <w:rsid w:val="00792498"/>
    <w:rsid w:val="007936FF"/>
    <w:rsid w:val="007A13CE"/>
    <w:rsid w:val="007A1F00"/>
    <w:rsid w:val="007A200D"/>
    <w:rsid w:val="007A269C"/>
    <w:rsid w:val="007A33EE"/>
    <w:rsid w:val="007A3EE2"/>
    <w:rsid w:val="007A45DF"/>
    <w:rsid w:val="007A477C"/>
    <w:rsid w:val="007A5C50"/>
    <w:rsid w:val="007A6C3F"/>
    <w:rsid w:val="007B0629"/>
    <w:rsid w:val="007B1028"/>
    <w:rsid w:val="007B108A"/>
    <w:rsid w:val="007B1E10"/>
    <w:rsid w:val="007B2302"/>
    <w:rsid w:val="007B2DB8"/>
    <w:rsid w:val="007B6403"/>
    <w:rsid w:val="007B7757"/>
    <w:rsid w:val="007C010A"/>
    <w:rsid w:val="007C10A0"/>
    <w:rsid w:val="007C12CD"/>
    <w:rsid w:val="007C3067"/>
    <w:rsid w:val="007C47A7"/>
    <w:rsid w:val="007C5A53"/>
    <w:rsid w:val="007C7715"/>
    <w:rsid w:val="007D1E5F"/>
    <w:rsid w:val="007D2C1D"/>
    <w:rsid w:val="007D6240"/>
    <w:rsid w:val="007E20DE"/>
    <w:rsid w:val="007E29AB"/>
    <w:rsid w:val="007E4D06"/>
    <w:rsid w:val="007F0DE3"/>
    <w:rsid w:val="007F443E"/>
    <w:rsid w:val="007F5A85"/>
    <w:rsid w:val="007F74F9"/>
    <w:rsid w:val="00800417"/>
    <w:rsid w:val="00801890"/>
    <w:rsid w:val="00801946"/>
    <w:rsid w:val="00801FAA"/>
    <w:rsid w:val="00804D3B"/>
    <w:rsid w:val="00805ED7"/>
    <w:rsid w:val="00810796"/>
    <w:rsid w:val="0081094E"/>
    <w:rsid w:val="00810E7A"/>
    <w:rsid w:val="008118D0"/>
    <w:rsid w:val="00812320"/>
    <w:rsid w:val="008124AD"/>
    <w:rsid w:val="0081290D"/>
    <w:rsid w:val="00812FED"/>
    <w:rsid w:val="00813897"/>
    <w:rsid w:val="008141EF"/>
    <w:rsid w:val="00816777"/>
    <w:rsid w:val="008209DE"/>
    <w:rsid w:val="0082170B"/>
    <w:rsid w:val="0082199B"/>
    <w:rsid w:val="008242BC"/>
    <w:rsid w:val="00824F4E"/>
    <w:rsid w:val="0082542E"/>
    <w:rsid w:val="00826523"/>
    <w:rsid w:val="0082766F"/>
    <w:rsid w:val="00827A0E"/>
    <w:rsid w:val="00830B80"/>
    <w:rsid w:val="008321BD"/>
    <w:rsid w:val="00832E28"/>
    <w:rsid w:val="00833C9C"/>
    <w:rsid w:val="00834548"/>
    <w:rsid w:val="00837D8E"/>
    <w:rsid w:val="00837FEE"/>
    <w:rsid w:val="0084507A"/>
    <w:rsid w:val="00845807"/>
    <w:rsid w:val="008474EF"/>
    <w:rsid w:val="00847C60"/>
    <w:rsid w:val="00851858"/>
    <w:rsid w:val="0085187C"/>
    <w:rsid w:val="00851BAC"/>
    <w:rsid w:val="00851CA7"/>
    <w:rsid w:val="008522CF"/>
    <w:rsid w:val="00853DCD"/>
    <w:rsid w:val="00860372"/>
    <w:rsid w:val="00861685"/>
    <w:rsid w:val="0086273E"/>
    <w:rsid w:val="00862F19"/>
    <w:rsid w:val="00864DF4"/>
    <w:rsid w:val="00864F3F"/>
    <w:rsid w:val="00867674"/>
    <w:rsid w:val="008703C2"/>
    <w:rsid w:val="0087045F"/>
    <w:rsid w:val="00872450"/>
    <w:rsid w:val="008739CA"/>
    <w:rsid w:val="00873C34"/>
    <w:rsid w:val="008759D5"/>
    <w:rsid w:val="00875DF0"/>
    <w:rsid w:val="008760C9"/>
    <w:rsid w:val="00876131"/>
    <w:rsid w:val="008769F9"/>
    <w:rsid w:val="0088059B"/>
    <w:rsid w:val="00881668"/>
    <w:rsid w:val="008825CE"/>
    <w:rsid w:val="00882CF9"/>
    <w:rsid w:val="008860EB"/>
    <w:rsid w:val="00886C0E"/>
    <w:rsid w:val="00887BB0"/>
    <w:rsid w:val="00890CDD"/>
    <w:rsid w:val="00891431"/>
    <w:rsid w:val="00892A13"/>
    <w:rsid w:val="008955DE"/>
    <w:rsid w:val="008A09C9"/>
    <w:rsid w:val="008A173D"/>
    <w:rsid w:val="008A1AEB"/>
    <w:rsid w:val="008A1FF6"/>
    <w:rsid w:val="008A3178"/>
    <w:rsid w:val="008A4BC2"/>
    <w:rsid w:val="008A4F55"/>
    <w:rsid w:val="008A55BD"/>
    <w:rsid w:val="008B079C"/>
    <w:rsid w:val="008B0946"/>
    <w:rsid w:val="008B2E45"/>
    <w:rsid w:val="008B3921"/>
    <w:rsid w:val="008B3C62"/>
    <w:rsid w:val="008B7354"/>
    <w:rsid w:val="008B73E1"/>
    <w:rsid w:val="008B741A"/>
    <w:rsid w:val="008C13AD"/>
    <w:rsid w:val="008C1F10"/>
    <w:rsid w:val="008C1F63"/>
    <w:rsid w:val="008C2BBC"/>
    <w:rsid w:val="008C403E"/>
    <w:rsid w:val="008C5E0C"/>
    <w:rsid w:val="008C65B3"/>
    <w:rsid w:val="008C71ED"/>
    <w:rsid w:val="008C73F0"/>
    <w:rsid w:val="008D11A2"/>
    <w:rsid w:val="008D6E5E"/>
    <w:rsid w:val="008D7A4E"/>
    <w:rsid w:val="008E01AC"/>
    <w:rsid w:val="008E2A12"/>
    <w:rsid w:val="008E3293"/>
    <w:rsid w:val="008E5F92"/>
    <w:rsid w:val="008E719D"/>
    <w:rsid w:val="008F0319"/>
    <w:rsid w:val="008F3D15"/>
    <w:rsid w:val="008F4B77"/>
    <w:rsid w:val="008F5E19"/>
    <w:rsid w:val="008F63D8"/>
    <w:rsid w:val="008F72EF"/>
    <w:rsid w:val="008F7320"/>
    <w:rsid w:val="00901745"/>
    <w:rsid w:val="00902F75"/>
    <w:rsid w:val="00903A15"/>
    <w:rsid w:val="00904E40"/>
    <w:rsid w:val="009070FB"/>
    <w:rsid w:val="0091008D"/>
    <w:rsid w:val="009105CD"/>
    <w:rsid w:val="0091062A"/>
    <w:rsid w:val="0091261E"/>
    <w:rsid w:val="00912F08"/>
    <w:rsid w:val="00915A87"/>
    <w:rsid w:val="009165F9"/>
    <w:rsid w:val="00916FFD"/>
    <w:rsid w:val="00917A35"/>
    <w:rsid w:val="00917E53"/>
    <w:rsid w:val="00920E9A"/>
    <w:rsid w:val="0092197C"/>
    <w:rsid w:val="00921A39"/>
    <w:rsid w:val="00922174"/>
    <w:rsid w:val="00923DC9"/>
    <w:rsid w:val="00923EE6"/>
    <w:rsid w:val="00924253"/>
    <w:rsid w:val="0092528E"/>
    <w:rsid w:val="009262B4"/>
    <w:rsid w:val="00931CF3"/>
    <w:rsid w:val="009357A7"/>
    <w:rsid w:val="00936B20"/>
    <w:rsid w:val="00936B4D"/>
    <w:rsid w:val="009371F7"/>
    <w:rsid w:val="009414A4"/>
    <w:rsid w:val="00941D94"/>
    <w:rsid w:val="00942470"/>
    <w:rsid w:val="00943569"/>
    <w:rsid w:val="00943622"/>
    <w:rsid w:val="00943EFC"/>
    <w:rsid w:val="00944507"/>
    <w:rsid w:val="00944DE4"/>
    <w:rsid w:val="00945627"/>
    <w:rsid w:val="00945F5D"/>
    <w:rsid w:val="00950D6E"/>
    <w:rsid w:val="009515F8"/>
    <w:rsid w:val="00951F3A"/>
    <w:rsid w:val="00952C56"/>
    <w:rsid w:val="009542BD"/>
    <w:rsid w:val="0095541C"/>
    <w:rsid w:val="00957745"/>
    <w:rsid w:val="00960E8B"/>
    <w:rsid w:val="00963AD7"/>
    <w:rsid w:val="00963EBD"/>
    <w:rsid w:val="009645B6"/>
    <w:rsid w:val="0096529E"/>
    <w:rsid w:val="009659E1"/>
    <w:rsid w:val="009672BA"/>
    <w:rsid w:val="00967C12"/>
    <w:rsid w:val="00970981"/>
    <w:rsid w:val="00971C3B"/>
    <w:rsid w:val="00972000"/>
    <w:rsid w:val="00972745"/>
    <w:rsid w:val="0097318F"/>
    <w:rsid w:val="00974CE6"/>
    <w:rsid w:val="009808BC"/>
    <w:rsid w:val="00981180"/>
    <w:rsid w:val="00982B21"/>
    <w:rsid w:val="009835B5"/>
    <w:rsid w:val="00986206"/>
    <w:rsid w:val="00986290"/>
    <w:rsid w:val="0098707E"/>
    <w:rsid w:val="0098732B"/>
    <w:rsid w:val="00990252"/>
    <w:rsid w:val="00990CC5"/>
    <w:rsid w:val="009913FE"/>
    <w:rsid w:val="00991403"/>
    <w:rsid w:val="0099187B"/>
    <w:rsid w:val="00994C91"/>
    <w:rsid w:val="00996CB1"/>
    <w:rsid w:val="009971E5"/>
    <w:rsid w:val="00997C67"/>
    <w:rsid w:val="009A1BDB"/>
    <w:rsid w:val="009A2002"/>
    <w:rsid w:val="009A2060"/>
    <w:rsid w:val="009A2FF3"/>
    <w:rsid w:val="009A5574"/>
    <w:rsid w:val="009A60B9"/>
    <w:rsid w:val="009A6A11"/>
    <w:rsid w:val="009A7872"/>
    <w:rsid w:val="009A7D31"/>
    <w:rsid w:val="009B204E"/>
    <w:rsid w:val="009B5135"/>
    <w:rsid w:val="009B570B"/>
    <w:rsid w:val="009B6E05"/>
    <w:rsid w:val="009C0E78"/>
    <w:rsid w:val="009C1584"/>
    <w:rsid w:val="009C196D"/>
    <w:rsid w:val="009C4881"/>
    <w:rsid w:val="009C55F9"/>
    <w:rsid w:val="009C5CFA"/>
    <w:rsid w:val="009D0B93"/>
    <w:rsid w:val="009D75C8"/>
    <w:rsid w:val="009E1AB0"/>
    <w:rsid w:val="009E25DD"/>
    <w:rsid w:val="009E36EB"/>
    <w:rsid w:val="009E385A"/>
    <w:rsid w:val="009E54DC"/>
    <w:rsid w:val="009E6F36"/>
    <w:rsid w:val="009F1B1B"/>
    <w:rsid w:val="009F3663"/>
    <w:rsid w:val="009F3E53"/>
    <w:rsid w:val="009F7B3A"/>
    <w:rsid w:val="00A007F0"/>
    <w:rsid w:val="00A00D0C"/>
    <w:rsid w:val="00A023B3"/>
    <w:rsid w:val="00A02944"/>
    <w:rsid w:val="00A04645"/>
    <w:rsid w:val="00A0606D"/>
    <w:rsid w:val="00A07432"/>
    <w:rsid w:val="00A10B3A"/>
    <w:rsid w:val="00A11798"/>
    <w:rsid w:val="00A1393D"/>
    <w:rsid w:val="00A17D8D"/>
    <w:rsid w:val="00A20E58"/>
    <w:rsid w:val="00A215A9"/>
    <w:rsid w:val="00A22BCB"/>
    <w:rsid w:val="00A24934"/>
    <w:rsid w:val="00A253D7"/>
    <w:rsid w:val="00A26125"/>
    <w:rsid w:val="00A31586"/>
    <w:rsid w:val="00A32FB7"/>
    <w:rsid w:val="00A32FD1"/>
    <w:rsid w:val="00A342A2"/>
    <w:rsid w:val="00A37B3D"/>
    <w:rsid w:val="00A40227"/>
    <w:rsid w:val="00A404E7"/>
    <w:rsid w:val="00A409A3"/>
    <w:rsid w:val="00A4185F"/>
    <w:rsid w:val="00A41E13"/>
    <w:rsid w:val="00A467A4"/>
    <w:rsid w:val="00A509AF"/>
    <w:rsid w:val="00A52B73"/>
    <w:rsid w:val="00A52C6B"/>
    <w:rsid w:val="00A53863"/>
    <w:rsid w:val="00A54DBA"/>
    <w:rsid w:val="00A56D76"/>
    <w:rsid w:val="00A57849"/>
    <w:rsid w:val="00A60081"/>
    <w:rsid w:val="00A62522"/>
    <w:rsid w:val="00A64C00"/>
    <w:rsid w:val="00A66098"/>
    <w:rsid w:val="00A700E6"/>
    <w:rsid w:val="00A70AA8"/>
    <w:rsid w:val="00A72B2B"/>
    <w:rsid w:val="00A72BCD"/>
    <w:rsid w:val="00A731A0"/>
    <w:rsid w:val="00A731BE"/>
    <w:rsid w:val="00A75318"/>
    <w:rsid w:val="00A75B34"/>
    <w:rsid w:val="00A770DE"/>
    <w:rsid w:val="00A77C56"/>
    <w:rsid w:val="00A77F0A"/>
    <w:rsid w:val="00A800FF"/>
    <w:rsid w:val="00A81D3E"/>
    <w:rsid w:val="00A81DA2"/>
    <w:rsid w:val="00A82F35"/>
    <w:rsid w:val="00A83422"/>
    <w:rsid w:val="00A83A85"/>
    <w:rsid w:val="00A84F6C"/>
    <w:rsid w:val="00A85478"/>
    <w:rsid w:val="00A861EF"/>
    <w:rsid w:val="00A90B4E"/>
    <w:rsid w:val="00A91162"/>
    <w:rsid w:val="00A93FDB"/>
    <w:rsid w:val="00A944AF"/>
    <w:rsid w:val="00A977D4"/>
    <w:rsid w:val="00A97BF6"/>
    <w:rsid w:val="00AA0150"/>
    <w:rsid w:val="00AA19CF"/>
    <w:rsid w:val="00AA21A0"/>
    <w:rsid w:val="00AA3636"/>
    <w:rsid w:val="00AA4919"/>
    <w:rsid w:val="00AA498F"/>
    <w:rsid w:val="00AA5954"/>
    <w:rsid w:val="00AA66AE"/>
    <w:rsid w:val="00AA701F"/>
    <w:rsid w:val="00AA73A6"/>
    <w:rsid w:val="00AB07AB"/>
    <w:rsid w:val="00AB2B3D"/>
    <w:rsid w:val="00AB2E56"/>
    <w:rsid w:val="00AB324A"/>
    <w:rsid w:val="00AB3BCA"/>
    <w:rsid w:val="00AC02C8"/>
    <w:rsid w:val="00AC293D"/>
    <w:rsid w:val="00AC30B0"/>
    <w:rsid w:val="00AC60D9"/>
    <w:rsid w:val="00AC6DDB"/>
    <w:rsid w:val="00AD608F"/>
    <w:rsid w:val="00AD632D"/>
    <w:rsid w:val="00AD6830"/>
    <w:rsid w:val="00AD6BEB"/>
    <w:rsid w:val="00AE0DE8"/>
    <w:rsid w:val="00AE1DD9"/>
    <w:rsid w:val="00AE2270"/>
    <w:rsid w:val="00AE23D1"/>
    <w:rsid w:val="00AE2CBE"/>
    <w:rsid w:val="00AE4DF2"/>
    <w:rsid w:val="00AE57A2"/>
    <w:rsid w:val="00AE6BDB"/>
    <w:rsid w:val="00AE6EBB"/>
    <w:rsid w:val="00AF0D18"/>
    <w:rsid w:val="00AF1B33"/>
    <w:rsid w:val="00AF1F51"/>
    <w:rsid w:val="00AF40A2"/>
    <w:rsid w:val="00AF47CB"/>
    <w:rsid w:val="00AF4E72"/>
    <w:rsid w:val="00AF5DD1"/>
    <w:rsid w:val="00AF6A1B"/>
    <w:rsid w:val="00B0036A"/>
    <w:rsid w:val="00B01390"/>
    <w:rsid w:val="00B01465"/>
    <w:rsid w:val="00B026A0"/>
    <w:rsid w:val="00B02F24"/>
    <w:rsid w:val="00B0437C"/>
    <w:rsid w:val="00B05D13"/>
    <w:rsid w:val="00B062AC"/>
    <w:rsid w:val="00B10A98"/>
    <w:rsid w:val="00B12C57"/>
    <w:rsid w:val="00B1414B"/>
    <w:rsid w:val="00B14598"/>
    <w:rsid w:val="00B15CEF"/>
    <w:rsid w:val="00B1745A"/>
    <w:rsid w:val="00B20442"/>
    <w:rsid w:val="00B217D9"/>
    <w:rsid w:val="00B22099"/>
    <w:rsid w:val="00B22A82"/>
    <w:rsid w:val="00B22BBF"/>
    <w:rsid w:val="00B24706"/>
    <w:rsid w:val="00B247D0"/>
    <w:rsid w:val="00B2489F"/>
    <w:rsid w:val="00B24D02"/>
    <w:rsid w:val="00B26909"/>
    <w:rsid w:val="00B269F3"/>
    <w:rsid w:val="00B2770D"/>
    <w:rsid w:val="00B31350"/>
    <w:rsid w:val="00B3172A"/>
    <w:rsid w:val="00B32C97"/>
    <w:rsid w:val="00B32E47"/>
    <w:rsid w:val="00B33BD8"/>
    <w:rsid w:val="00B341DD"/>
    <w:rsid w:val="00B34659"/>
    <w:rsid w:val="00B3469D"/>
    <w:rsid w:val="00B35BCA"/>
    <w:rsid w:val="00B36A29"/>
    <w:rsid w:val="00B36E66"/>
    <w:rsid w:val="00B443B1"/>
    <w:rsid w:val="00B44A53"/>
    <w:rsid w:val="00B44B03"/>
    <w:rsid w:val="00B44DDD"/>
    <w:rsid w:val="00B477B5"/>
    <w:rsid w:val="00B47C7B"/>
    <w:rsid w:val="00B47DEA"/>
    <w:rsid w:val="00B5295C"/>
    <w:rsid w:val="00B52F36"/>
    <w:rsid w:val="00B545E2"/>
    <w:rsid w:val="00B5769A"/>
    <w:rsid w:val="00B6066B"/>
    <w:rsid w:val="00B60A9F"/>
    <w:rsid w:val="00B60CE4"/>
    <w:rsid w:val="00B60DEE"/>
    <w:rsid w:val="00B6147F"/>
    <w:rsid w:val="00B63AAA"/>
    <w:rsid w:val="00B645E5"/>
    <w:rsid w:val="00B64D0E"/>
    <w:rsid w:val="00B671A6"/>
    <w:rsid w:val="00B70C8F"/>
    <w:rsid w:val="00B70CE9"/>
    <w:rsid w:val="00B7239E"/>
    <w:rsid w:val="00B7478E"/>
    <w:rsid w:val="00B74DF0"/>
    <w:rsid w:val="00B751C5"/>
    <w:rsid w:val="00B75E14"/>
    <w:rsid w:val="00B76141"/>
    <w:rsid w:val="00B76E54"/>
    <w:rsid w:val="00B77A6C"/>
    <w:rsid w:val="00B80A6D"/>
    <w:rsid w:val="00B80DF9"/>
    <w:rsid w:val="00B8119B"/>
    <w:rsid w:val="00B81831"/>
    <w:rsid w:val="00B82C36"/>
    <w:rsid w:val="00B8338B"/>
    <w:rsid w:val="00B846D6"/>
    <w:rsid w:val="00B8571A"/>
    <w:rsid w:val="00B862A1"/>
    <w:rsid w:val="00B873EA"/>
    <w:rsid w:val="00B87B77"/>
    <w:rsid w:val="00B90A67"/>
    <w:rsid w:val="00B91942"/>
    <w:rsid w:val="00B93C7E"/>
    <w:rsid w:val="00B94C07"/>
    <w:rsid w:val="00B94E68"/>
    <w:rsid w:val="00B94F46"/>
    <w:rsid w:val="00B97A59"/>
    <w:rsid w:val="00BA2D23"/>
    <w:rsid w:val="00BA311C"/>
    <w:rsid w:val="00BA4464"/>
    <w:rsid w:val="00BA5F0A"/>
    <w:rsid w:val="00BA60E4"/>
    <w:rsid w:val="00BB121E"/>
    <w:rsid w:val="00BB3BBD"/>
    <w:rsid w:val="00BB3D0E"/>
    <w:rsid w:val="00BB3F51"/>
    <w:rsid w:val="00BB50B9"/>
    <w:rsid w:val="00BB5AA9"/>
    <w:rsid w:val="00BB65F9"/>
    <w:rsid w:val="00BB6A5C"/>
    <w:rsid w:val="00BB746E"/>
    <w:rsid w:val="00BC0647"/>
    <w:rsid w:val="00BC233A"/>
    <w:rsid w:val="00BC2CC8"/>
    <w:rsid w:val="00BC39FE"/>
    <w:rsid w:val="00BC7927"/>
    <w:rsid w:val="00BD7471"/>
    <w:rsid w:val="00BD74E0"/>
    <w:rsid w:val="00BD7D91"/>
    <w:rsid w:val="00BE1F9C"/>
    <w:rsid w:val="00BE2044"/>
    <w:rsid w:val="00BE3DAD"/>
    <w:rsid w:val="00BE47DD"/>
    <w:rsid w:val="00BE4F0F"/>
    <w:rsid w:val="00BE64BF"/>
    <w:rsid w:val="00BE7104"/>
    <w:rsid w:val="00BE7A69"/>
    <w:rsid w:val="00BF2D04"/>
    <w:rsid w:val="00BF2E93"/>
    <w:rsid w:val="00BF34FE"/>
    <w:rsid w:val="00BF40F1"/>
    <w:rsid w:val="00BF4384"/>
    <w:rsid w:val="00BF5132"/>
    <w:rsid w:val="00BF6C84"/>
    <w:rsid w:val="00BF7BC1"/>
    <w:rsid w:val="00C00A30"/>
    <w:rsid w:val="00C02BFE"/>
    <w:rsid w:val="00C02CC2"/>
    <w:rsid w:val="00C040D6"/>
    <w:rsid w:val="00C045C6"/>
    <w:rsid w:val="00C058AE"/>
    <w:rsid w:val="00C05A08"/>
    <w:rsid w:val="00C0681F"/>
    <w:rsid w:val="00C11B9B"/>
    <w:rsid w:val="00C127D6"/>
    <w:rsid w:val="00C12EB9"/>
    <w:rsid w:val="00C146A4"/>
    <w:rsid w:val="00C1508C"/>
    <w:rsid w:val="00C15F8A"/>
    <w:rsid w:val="00C1606C"/>
    <w:rsid w:val="00C16442"/>
    <w:rsid w:val="00C16CBC"/>
    <w:rsid w:val="00C20BCB"/>
    <w:rsid w:val="00C20BD4"/>
    <w:rsid w:val="00C23DA5"/>
    <w:rsid w:val="00C23EB0"/>
    <w:rsid w:val="00C24F2D"/>
    <w:rsid w:val="00C26160"/>
    <w:rsid w:val="00C3065B"/>
    <w:rsid w:val="00C30AA2"/>
    <w:rsid w:val="00C34D73"/>
    <w:rsid w:val="00C35F3A"/>
    <w:rsid w:val="00C374EA"/>
    <w:rsid w:val="00C37961"/>
    <w:rsid w:val="00C37E01"/>
    <w:rsid w:val="00C40EE2"/>
    <w:rsid w:val="00C4220C"/>
    <w:rsid w:val="00C427A2"/>
    <w:rsid w:val="00C43D3E"/>
    <w:rsid w:val="00C43F0D"/>
    <w:rsid w:val="00C44CA0"/>
    <w:rsid w:val="00C45595"/>
    <w:rsid w:val="00C458F9"/>
    <w:rsid w:val="00C47D50"/>
    <w:rsid w:val="00C50843"/>
    <w:rsid w:val="00C517DC"/>
    <w:rsid w:val="00C5183E"/>
    <w:rsid w:val="00C51B0E"/>
    <w:rsid w:val="00C52B13"/>
    <w:rsid w:val="00C53F22"/>
    <w:rsid w:val="00C55FFC"/>
    <w:rsid w:val="00C564CD"/>
    <w:rsid w:val="00C56F65"/>
    <w:rsid w:val="00C60507"/>
    <w:rsid w:val="00C61CFF"/>
    <w:rsid w:val="00C6458E"/>
    <w:rsid w:val="00C66C3D"/>
    <w:rsid w:val="00C67500"/>
    <w:rsid w:val="00C73656"/>
    <w:rsid w:val="00C737F3"/>
    <w:rsid w:val="00C74226"/>
    <w:rsid w:val="00C74AA1"/>
    <w:rsid w:val="00C75FAC"/>
    <w:rsid w:val="00C76950"/>
    <w:rsid w:val="00C81360"/>
    <w:rsid w:val="00C824F6"/>
    <w:rsid w:val="00C83567"/>
    <w:rsid w:val="00C838C3"/>
    <w:rsid w:val="00C83A96"/>
    <w:rsid w:val="00C847D3"/>
    <w:rsid w:val="00C84D41"/>
    <w:rsid w:val="00C856BC"/>
    <w:rsid w:val="00C86362"/>
    <w:rsid w:val="00C87D5D"/>
    <w:rsid w:val="00C9082D"/>
    <w:rsid w:val="00C90DFE"/>
    <w:rsid w:val="00C95B37"/>
    <w:rsid w:val="00C96087"/>
    <w:rsid w:val="00C96C19"/>
    <w:rsid w:val="00C976E9"/>
    <w:rsid w:val="00CA1124"/>
    <w:rsid w:val="00CA12DE"/>
    <w:rsid w:val="00CA1634"/>
    <w:rsid w:val="00CA41A9"/>
    <w:rsid w:val="00CA509B"/>
    <w:rsid w:val="00CA5892"/>
    <w:rsid w:val="00CA6888"/>
    <w:rsid w:val="00CA6D99"/>
    <w:rsid w:val="00CB09A0"/>
    <w:rsid w:val="00CB1CAA"/>
    <w:rsid w:val="00CB1D8C"/>
    <w:rsid w:val="00CB1FCF"/>
    <w:rsid w:val="00CB2205"/>
    <w:rsid w:val="00CB2961"/>
    <w:rsid w:val="00CB2AB7"/>
    <w:rsid w:val="00CB2AC1"/>
    <w:rsid w:val="00CB3D82"/>
    <w:rsid w:val="00CB4D11"/>
    <w:rsid w:val="00CB5A28"/>
    <w:rsid w:val="00CB5E20"/>
    <w:rsid w:val="00CB6664"/>
    <w:rsid w:val="00CC15B1"/>
    <w:rsid w:val="00CC533E"/>
    <w:rsid w:val="00CC53C7"/>
    <w:rsid w:val="00CC69E1"/>
    <w:rsid w:val="00CD2BE4"/>
    <w:rsid w:val="00CD3272"/>
    <w:rsid w:val="00CD3318"/>
    <w:rsid w:val="00CD3440"/>
    <w:rsid w:val="00CD724D"/>
    <w:rsid w:val="00CD7685"/>
    <w:rsid w:val="00CE054F"/>
    <w:rsid w:val="00CE2E72"/>
    <w:rsid w:val="00CE50DF"/>
    <w:rsid w:val="00CE5304"/>
    <w:rsid w:val="00CE6D0F"/>
    <w:rsid w:val="00CE6D1B"/>
    <w:rsid w:val="00CF16D8"/>
    <w:rsid w:val="00CF2721"/>
    <w:rsid w:val="00CF35BC"/>
    <w:rsid w:val="00CF3719"/>
    <w:rsid w:val="00CF421C"/>
    <w:rsid w:val="00CF5EB1"/>
    <w:rsid w:val="00CF65E5"/>
    <w:rsid w:val="00CF6CE5"/>
    <w:rsid w:val="00CF7F24"/>
    <w:rsid w:val="00D0024E"/>
    <w:rsid w:val="00D007AB"/>
    <w:rsid w:val="00D011F5"/>
    <w:rsid w:val="00D012B5"/>
    <w:rsid w:val="00D0292A"/>
    <w:rsid w:val="00D03A5D"/>
    <w:rsid w:val="00D03B8A"/>
    <w:rsid w:val="00D03C7C"/>
    <w:rsid w:val="00D046CE"/>
    <w:rsid w:val="00D068E7"/>
    <w:rsid w:val="00D0722E"/>
    <w:rsid w:val="00D10E34"/>
    <w:rsid w:val="00D119EA"/>
    <w:rsid w:val="00D1295A"/>
    <w:rsid w:val="00D154A4"/>
    <w:rsid w:val="00D16A50"/>
    <w:rsid w:val="00D20A47"/>
    <w:rsid w:val="00D20DCF"/>
    <w:rsid w:val="00D26074"/>
    <w:rsid w:val="00D26793"/>
    <w:rsid w:val="00D276A5"/>
    <w:rsid w:val="00D30A4A"/>
    <w:rsid w:val="00D317BF"/>
    <w:rsid w:val="00D318A1"/>
    <w:rsid w:val="00D326B5"/>
    <w:rsid w:val="00D32930"/>
    <w:rsid w:val="00D351BB"/>
    <w:rsid w:val="00D35BED"/>
    <w:rsid w:val="00D36492"/>
    <w:rsid w:val="00D403FC"/>
    <w:rsid w:val="00D4198E"/>
    <w:rsid w:val="00D41D32"/>
    <w:rsid w:val="00D41F83"/>
    <w:rsid w:val="00D439A0"/>
    <w:rsid w:val="00D465D3"/>
    <w:rsid w:val="00D4732F"/>
    <w:rsid w:val="00D5001F"/>
    <w:rsid w:val="00D5003B"/>
    <w:rsid w:val="00D50B18"/>
    <w:rsid w:val="00D51FDF"/>
    <w:rsid w:val="00D53E62"/>
    <w:rsid w:val="00D555A1"/>
    <w:rsid w:val="00D55BA3"/>
    <w:rsid w:val="00D56ECD"/>
    <w:rsid w:val="00D570E2"/>
    <w:rsid w:val="00D579BF"/>
    <w:rsid w:val="00D6012C"/>
    <w:rsid w:val="00D605D1"/>
    <w:rsid w:val="00D61982"/>
    <w:rsid w:val="00D622DA"/>
    <w:rsid w:val="00D62F95"/>
    <w:rsid w:val="00D631E8"/>
    <w:rsid w:val="00D63268"/>
    <w:rsid w:val="00D634F6"/>
    <w:rsid w:val="00D6430A"/>
    <w:rsid w:val="00D6479A"/>
    <w:rsid w:val="00D66BEA"/>
    <w:rsid w:val="00D671EF"/>
    <w:rsid w:val="00D67E4E"/>
    <w:rsid w:val="00D70AA4"/>
    <w:rsid w:val="00D71594"/>
    <w:rsid w:val="00D7335D"/>
    <w:rsid w:val="00D761E9"/>
    <w:rsid w:val="00D77AEC"/>
    <w:rsid w:val="00D80E05"/>
    <w:rsid w:val="00D81B74"/>
    <w:rsid w:val="00D83AD4"/>
    <w:rsid w:val="00D83F78"/>
    <w:rsid w:val="00D84322"/>
    <w:rsid w:val="00D847F0"/>
    <w:rsid w:val="00D87920"/>
    <w:rsid w:val="00D949FD"/>
    <w:rsid w:val="00D94A7A"/>
    <w:rsid w:val="00D94FE4"/>
    <w:rsid w:val="00D9540B"/>
    <w:rsid w:val="00D95C64"/>
    <w:rsid w:val="00D97182"/>
    <w:rsid w:val="00DA2E54"/>
    <w:rsid w:val="00DA330D"/>
    <w:rsid w:val="00DA3743"/>
    <w:rsid w:val="00DA638C"/>
    <w:rsid w:val="00DA6695"/>
    <w:rsid w:val="00DA6CBD"/>
    <w:rsid w:val="00DA7544"/>
    <w:rsid w:val="00DB0CD6"/>
    <w:rsid w:val="00DB4872"/>
    <w:rsid w:val="00DB564B"/>
    <w:rsid w:val="00DB5873"/>
    <w:rsid w:val="00DC0DA8"/>
    <w:rsid w:val="00DC2A2C"/>
    <w:rsid w:val="00DC7141"/>
    <w:rsid w:val="00DD1852"/>
    <w:rsid w:val="00DD396E"/>
    <w:rsid w:val="00DD3C28"/>
    <w:rsid w:val="00DD3C34"/>
    <w:rsid w:val="00DE072B"/>
    <w:rsid w:val="00DE1E47"/>
    <w:rsid w:val="00DE2DEB"/>
    <w:rsid w:val="00DE40F6"/>
    <w:rsid w:val="00DE5878"/>
    <w:rsid w:val="00DE783E"/>
    <w:rsid w:val="00DF0C16"/>
    <w:rsid w:val="00DF1583"/>
    <w:rsid w:val="00DF1AAF"/>
    <w:rsid w:val="00DF2980"/>
    <w:rsid w:val="00DF2A04"/>
    <w:rsid w:val="00DF305B"/>
    <w:rsid w:val="00DF44B9"/>
    <w:rsid w:val="00DF4950"/>
    <w:rsid w:val="00DF4CC8"/>
    <w:rsid w:val="00DF5AF5"/>
    <w:rsid w:val="00E006A8"/>
    <w:rsid w:val="00E00899"/>
    <w:rsid w:val="00E00CC7"/>
    <w:rsid w:val="00E00F63"/>
    <w:rsid w:val="00E025B7"/>
    <w:rsid w:val="00E03835"/>
    <w:rsid w:val="00E04173"/>
    <w:rsid w:val="00E06A59"/>
    <w:rsid w:val="00E06FD4"/>
    <w:rsid w:val="00E13A00"/>
    <w:rsid w:val="00E14223"/>
    <w:rsid w:val="00E14FA6"/>
    <w:rsid w:val="00E1785A"/>
    <w:rsid w:val="00E1795D"/>
    <w:rsid w:val="00E200D3"/>
    <w:rsid w:val="00E21B02"/>
    <w:rsid w:val="00E22142"/>
    <w:rsid w:val="00E234A3"/>
    <w:rsid w:val="00E25CF6"/>
    <w:rsid w:val="00E264D7"/>
    <w:rsid w:val="00E265F2"/>
    <w:rsid w:val="00E27DE6"/>
    <w:rsid w:val="00E31522"/>
    <w:rsid w:val="00E31F2A"/>
    <w:rsid w:val="00E33ABD"/>
    <w:rsid w:val="00E35072"/>
    <w:rsid w:val="00E36783"/>
    <w:rsid w:val="00E36A1E"/>
    <w:rsid w:val="00E372DE"/>
    <w:rsid w:val="00E3776F"/>
    <w:rsid w:val="00E426A8"/>
    <w:rsid w:val="00E429DA"/>
    <w:rsid w:val="00E4368B"/>
    <w:rsid w:val="00E43D4B"/>
    <w:rsid w:val="00E447F2"/>
    <w:rsid w:val="00E44C01"/>
    <w:rsid w:val="00E474A2"/>
    <w:rsid w:val="00E52B1A"/>
    <w:rsid w:val="00E53BA6"/>
    <w:rsid w:val="00E54516"/>
    <w:rsid w:val="00E5490E"/>
    <w:rsid w:val="00E56BA0"/>
    <w:rsid w:val="00E57AF9"/>
    <w:rsid w:val="00E57F50"/>
    <w:rsid w:val="00E6005B"/>
    <w:rsid w:val="00E606D7"/>
    <w:rsid w:val="00E60C15"/>
    <w:rsid w:val="00E610E9"/>
    <w:rsid w:val="00E63071"/>
    <w:rsid w:val="00E636F3"/>
    <w:rsid w:val="00E65491"/>
    <w:rsid w:val="00E675C3"/>
    <w:rsid w:val="00E6779F"/>
    <w:rsid w:val="00E709F3"/>
    <w:rsid w:val="00E7437B"/>
    <w:rsid w:val="00E75988"/>
    <w:rsid w:val="00E7607E"/>
    <w:rsid w:val="00E77C4B"/>
    <w:rsid w:val="00E8063D"/>
    <w:rsid w:val="00E81F35"/>
    <w:rsid w:val="00E8218F"/>
    <w:rsid w:val="00E82E55"/>
    <w:rsid w:val="00E838B7"/>
    <w:rsid w:val="00E87F5F"/>
    <w:rsid w:val="00E9234C"/>
    <w:rsid w:val="00E930C5"/>
    <w:rsid w:val="00E930DA"/>
    <w:rsid w:val="00E93626"/>
    <w:rsid w:val="00E93B70"/>
    <w:rsid w:val="00EA11E0"/>
    <w:rsid w:val="00EA384C"/>
    <w:rsid w:val="00EA5D9B"/>
    <w:rsid w:val="00EA666E"/>
    <w:rsid w:val="00EB18F4"/>
    <w:rsid w:val="00EB1A9C"/>
    <w:rsid w:val="00EB25BB"/>
    <w:rsid w:val="00EB2E23"/>
    <w:rsid w:val="00EB54F6"/>
    <w:rsid w:val="00EB5664"/>
    <w:rsid w:val="00EB6EA5"/>
    <w:rsid w:val="00EC01AB"/>
    <w:rsid w:val="00EC0FF0"/>
    <w:rsid w:val="00EC1056"/>
    <w:rsid w:val="00EC146A"/>
    <w:rsid w:val="00EC1792"/>
    <w:rsid w:val="00EC1D99"/>
    <w:rsid w:val="00EC2971"/>
    <w:rsid w:val="00EC4C45"/>
    <w:rsid w:val="00EC4E39"/>
    <w:rsid w:val="00EC5203"/>
    <w:rsid w:val="00EC5446"/>
    <w:rsid w:val="00ED331C"/>
    <w:rsid w:val="00ED4AD4"/>
    <w:rsid w:val="00ED56B5"/>
    <w:rsid w:val="00ED5C30"/>
    <w:rsid w:val="00EE05F4"/>
    <w:rsid w:val="00EE06FA"/>
    <w:rsid w:val="00EE156F"/>
    <w:rsid w:val="00EE4A35"/>
    <w:rsid w:val="00EE5ABC"/>
    <w:rsid w:val="00EE6368"/>
    <w:rsid w:val="00EE7CCA"/>
    <w:rsid w:val="00EF070F"/>
    <w:rsid w:val="00EF326F"/>
    <w:rsid w:val="00EF4957"/>
    <w:rsid w:val="00EF4F64"/>
    <w:rsid w:val="00EF677B"/>
    <w:rsid w:val="00F03106"/>
    <w:rsid w:val="00F04851"/>
    <w:rsid w:val="00F0632B"/>
    <w:rsid w:val="00F07270"/>
    <w:rsid w:val="00F07478"/>
    <w:rsid w:val="00F079D7"/>
    <w:rsid w:val="00F10049"/>
    <w:rsid w:val="00F107FA"/>
    <w:rsid w:val="00F10FAB"/>
    <w:rsid w:val="00F119FA"/>
    <w:rsid w:val="00F1236B"/>
    <w:rsid w:val="00F1255A"/>
    <w:rsid w:val="00F13CF5"/>
    <w:rsid w:val="00F14058"/>
    <w:rsid w:val="00F17B9B"/>
    <w:rsid w:val="00F2163B"/>
    <w:rsid w:val="00F21EDA"/>
    <w:rsid w:val="00F232A9"/>
    <w:rsid w:val="00F25F40"/>
    <w:rsid w:val="00F2636D"/>
    <w:rsid w:val="00F27CE5"/>
    <w:rsid w:val="00F37D77"/>
    <w:rsid w:val="00F4113C"/>
    <w:rsid w:val="00F4204D"/>
    <w:rsid w:val="00F42FEE"/>
    <w:rsid w:val="00F44BC8"/>
    <w:rsid w:val="00F50D95"/>
    <w:rsid w:val="00F54216"/>
    <w:rsid w:val="00F545F5"/>
    <w:rsid w:val="00F54ABC"/>
    <w:rsid w:val="00F5530D"/>
    <w:rsid w:val="00F5569A"/>
    <w:rsid w:val="00F579CF"/>
    <w:rsid w:val="00F57C21"/>
    <w:rsid w:val="00F57FC9"/>
    <w:rsid w:val="00F6014A"/>
    <w:rsid w:val="00F61014"/>
    <w:rsid w:val="00F6258B"/>
    <w:rsid w:val="00F66B40"/>
    <w:rsid w:val="00F6794F"/>
    <w:rsid w:val="00F715D5"/>
    <w:rsid w:val="00F7224C"/>
    <w:rsid w:val="00F72A65"/>
    <w:rsid w:val="00F72F40"/>
    <w:rsid w:val="00F7440E"/>
    <w:rsid w:val="00F76468"/>
    <w:rsid w:val="00F76703"/>
    <w:rsid w:val="00F76CD4"/>
    <w:rsid w:val="00F77282"/>
    <w:rsid w:val="00F80B97"/>
    <w:rsid w:val="00F81C52"/>
    <w:rsid w:val="00F826C6"/>
    <w:rsid w:val="00F848AF"/>
    <w:rsid w:val="00F85246"/>
    <w:rsid w:val="00F864DC"/>
    <w:rsid w:val="00F87527"/>
    <w:rsid w:val="00F90C0B"/>
    <w:rsid w:val="00F91C52"/>
    <w:rsid w:val="00F9248A"/>
    <w:rsid w:val="00F92815"/>
    <w:rsid w:val="00F942FB"/>
    <w:rsid w:val="00F96717"/>
    <w:rsid w:val="00F9683E"/>
    <w:rsid w:val="00FA143E"/>
    <w:rsid w:val="00FA257F"/>
    <w:rsid w:val="00FA2820"/>
    <w:rsid w:val="00FA39F8"/>
    <w:rsid w:val="00FA3D82"/>
    <w:rsid w:val="00FA4179"/>
    <w:rsid w:val="00FA4A86"/>
    <w:rsid w:val="00FA5176"/>
    <w:rsid w:val="00FA53EA"/>
    <w:rsid w:val="00FA56FD"/>
    <w:rsid w:val="00FA5776"/>
    <w:rsid w:val="00FA6148"/>
    <w:rsid w:val="00FA769E"/>
    <w:rsid w:val="00FA7F50"/>
    <w:rsid w:val="00FB030E"/>
    <w:rsid w:val="00FB2375"/>
    <w:rsid w:val="00FB565F"/>
    <w:rsid w:val="00FB5CF9"/>
    <w:rsid w:val="00FB6C24"/>
    <w:rsid w:val="00FB6FB1"/>
    <w:rsid w:val="00FB7F86"/>
    <w:rsid w:val="00FC12F1"/>
    <w:rsid w:val="00FC152E"/>
    <w:rsid w:val="00FC1AEF"/>
    <w:rsid w:val="00FC25F2"/>
    <w:rsid w:val="00FC2CC8"/>
    <w:rsid w:val="00FC39EF"/>
    <w:rsid w:val="00FC4CB6"/>
    <w:rsid w:val="00FC50DA"/>
    <w:rsid w:val="00FC5570"/>
    <w:rsid w:val="00FC6563"/>
    <w:rsid w:val="00FC73AB"/>
    <w:rsid w:val="00FC775B"/>
    <w:rsid w:val="00FC7AB4"/>
    <w:rsid w:val="00FD0AD5"/>
    <w:rsid w:val="00FD0C95"/>
    <w:rsid w:val="00FD331F"/>
    <w:rsid w:val="00FD5FB1"/>
    <w:rsid w:val="00FD6681"/>
    <w:rsid w:val="00FD6DD7"/>
    <w:rsid w:val="00FD721D"/>
    <w:rsid w:val="00FD7B48"/>
    <w:rsid w:val="00FE0466"/>
    <w:rsid w:val="00FE0F56"/>
    <w:rsid w:val="00FE14F6"/>
    <w:rsid w:val="00FE17D7"/>
    <w:rsid w:val="00FE3A32"/>
    <w:rsid w:val="00FE3EAC"/>
    <w:rsid w:val="00FE5071"/>
    <w:rsid w:val="00FE598F"/>
    <w:rsid w:val="00FE662C"/>
    <w:rsid w:val="00FE6A7B"/>
    <w:rsid w:val="00FE6D9F"/>
    <w:rsid w:val="00FE6F6C"/>
    <w:rsid w:val="00FE709D"/>
    <w:rsid w:val="00FE713D"/>
    <w:rsid w:val="00FF13E1"/>
    <w:rsid w:val="00FF2300"/>
    <w:rsid w:val="00FF4976"/>
    <w:rsid w:val="00FF56AA"/>
    <w:rsid w:val="00FF5918"/>
    <w:rsid w:val="00FF688F"/>
    <w:rsid w:val="00FF696B"/>
    <w:rsid w:val="00FF70FB"/>
    <w:rsid w:val="00FF738E"/>
    <w:rsid w:val="00FF7682"/>
    <w:rsid w:val="00FF782D"/>
    <w:rsid w:val="00FF7D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4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nhideWhenUsed="0" w:qFormat="1"/>
    <w:lsdException w:name="Body Text 2" w:uiPriority="0"/>
    <w:lsdException w:name="Body Text Indent 2"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00154"/>
  </w:style>
  <w:style w:type="paragraph" w:styleId="10">
    <w:name w:val="heading 1"/>
    <w:basedOn w:val="a0"/>
    <w:next w:val="a0"/>
    <w:link w:val="12"/>
    <w:uiPriority w:val="99"/>
    <w:qFormat/>
    <w:rsid w:val="00324483"/>
    <w:pPr>
      <w:keepNext/>
      <w:spacing w:before="0" w:after="0"/>
      <w:outlineLvl w:val="0"/>
    </w:pPr>
    <w:rPr>
      <w:rFonts w:ascii="Times New Roman" w:eastAsia="Arial Unicode MS" w:hAnsi="Times New Roman" w:cs="Times New Roman"/>
      <w:b/>
      <w:bCs/>
      <w:sz w:val="24"/>
      <w:szCs w:val="24"/>
      <w:lang w:eastAsia="ru-RU"/>
    </w:rPr>
  </w:style>
  <w:style w:type="paragraph" w:styleId="20">
    <w:name w:val="heading 2"/>
    <w:basedOn w:val="a0"/>
    <w:next w:val="a0"/>
    <w:link w:val="21"/>
    <w:uiPriority w:val="99"/>
    <w:qFormat/>
    <w:rsid w:val="00324483"/>
    <w:pPr>
      <w:keepNext/>
      <w:spacing w:after="60"/>
      <w:outlineLvl w:val="1"/>
    </w:pPr>
    <w:rPr>
      <w:rFonts w:ascii="Arial" w:eastAsia="Times New Roman" w:hAnsi="Arial" w:cs="Arial"/>
      <w:b/>
      <w:bCs/>
      <w:i/>
      <w:iCs/>
      <w:sz w:val="28"/>
      <w:szCs w:val="28"/>
      <w:lang w:eastAsia="ru-RU"/>
    </w:rPr>
  </w:style>
  <w:style w:type="paragraph" w:styleId="3">
    <w:name w:val="heading 3"/>
    <w:basedOn w:val="a0"/>
    <w:next w:val="a0"/>
    <w:link w:val="30"/>
    <w:uiPriority w:val="99"/>
    <w:qFormat/>
    <w:rsid w:val="00324483"/>
    <w:pPr>
      <w:keepNext/>
      <w:spacing w:after="60"/>
      <w:outlineLvl w:val="2"/>
    </w:pPr>
    <w:rPr>
      <w:rFonts w:ascii="Arial" w:eastAsia="Times New Roman" w:hAnsi="Arial" w:cs="Arial"/>
      <w:b/>
      <w:bCs/>
      <w:sz w:val="26"/>
      <w:szCs w:val="26"/>
      <w:lang w:eastAsia="ru-RU"/>
    </w:rPr>
  </w:style>
  <w:style w:type="paragraph" w:styleId="4">
    <w:name w:val="heading 4"/>
    <w:basedOn w:val="a0"/>
    <w:next w:val="a0"/>
    <w:link w:val="40"/>
    <w:uiPriority w:val="99"/>
    <w:qFormat/>
    <w:rsid w:val="00324483"/>
    <w:pPr>
      <w:keepNext/>
      <w:spacing w:after="60"/>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324483"/>
    <w:pPr>
      <w:spacing w:after="60"/>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324483"/>
    <w:pPr>
      <w:keepNext/>
      <w:spacing w:before="0" w:after="0"/>
      <w:ind w:firstLine="680"/>
      <w:outlineLvl w:val="5"/>
    </w:pPr>
    <w:rPr>
      <w:rFonts w:ascii="Times New Roman" w:eastAsia="Times New Roman" w:hAnsi="Times New Roman" w:cs="Times New Roman"/>
      <w:sz w:val="28"/>
      <w:szCs w:val="28"/>
      <w:lang w:eastAsia="ru-RU"/>
    </w:rPr>
  </w:style>
  <w:style w:type="paragraph" w:styleId="7">
    <w:name w:val="heading 7"/>
    <w:basedOn w:val="a0"/>
    <w:next w:val="a0"/>
    <w:link w:val="70"/>
    <w:uiPriority w:val="99"/>
    <w:qFormat/>
    <w:rsid w:val="00324483"/>
    <w:pPr>
      <w:keepNext/>
      <w:spacing w:before="0" w:after="0"/>
      <w:ind w:firstLine="720"/>
      <w:jc w:val="right"/>
      <w:outlineLvl w:val="6"/>
    </w:pPr>
    <w:rPr>
      <w:rFonts w:ascii="Times New Roman" w:eastAsia="Times New Roman" w:hAnsi="Times New Roman" w:cs="Times New Roman"/>
      <w:sz w:val="28"/>
      <w:szCs w:val="28"/>
      <w:lang w:eastAsia="ru-RU"/>
    </w:rPr>
  </w:style>
  <w:style w:type="paragraph" w:styleId="8">
    <w:name w:val="heading 8"/>
    <w:basedOn w:val="a0"/>
    <w:next w:val="a0"/>
    <w:link w:val="80"/>
    <w:uiPriority w:val="99"/>
    <w:qFormat/>
    <w:rsid w:val="00324483"/>
    <w:pPr>
      <w:keepNext/>
      <w:spacing w:before="0" w:after="0"/>
      <w:outlineLvl w:val="7"/>
    </w:pPr>
    <w:rPr>
      <w:rFonts w:ascii="Times New Roman" w:eastAsia="Times New Roman" w:hAnsi="Times New Roman" w:cs="Times New Roman"/>
      <w:sz w:val="28"/>
      <w:szCs w:val="28"/>
      <w:lang w:eastAsia="ru-RU"/>
    </w:rPr>
  </w:style>
  <w:style w:type="paragraph" w:styleId="9">
    <w:name w:val="heading 9"/>
    <w:basedOn w:val="a0"/>
    <w:next w:val="a0"/>
    <w:link w:val="90"/>
    <w:uiPriority w:val="99"/>
    <w:qFormat/>
    <w:rsid w:val="00324483"/>
    <w:pPr>
      <w:spacing w:after="60"/>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rsid w:val="00324483"/>
    <w:rPr>
      <w:rFonts w:ascii="Times New Roman" w:eastAsia="Arial Unicode MS" w:hAnsi="Times New Roman" w:cs="Times New Roman"/>
      <w:b/>
      <w:bCs/>
      <w:sz w:val="24"/>
      <w:szCs w:val="24"/>
      <w:lang w:eastAsia="ru-RU"/>
    </w:rPr>
  </w:style>
  <w:style w:type="character" w:customStyle="1" w:styleId="21">
    <w:name w:val="Заголовок 2 Знак"/>
    <w:basedOn w:val="a1"/>
    <w:link w:val="20"/>
    <w:uiPriority w:val="99"/>
    <w:rsid w:val="00324483"/>
    <w:rPr>
      <w:rFonts w:ascii="Arial" w:eastAsia="Times New Roman" w:hAnsi="Arial" w:cs="Arial"/>
      <w:b/>
      <w:bCs/>
      <w:i/>
      <w:iCs/>
      <w:sz w:val="28"/>
      <w:szCs w:val="28"/>
      <w:lang w:eastAsia="ru-RU"/>
    </w:rPr>
  </w:style>
  <w:style w:type="character" w:customStyle="1" w:styleId="30">
    <w:name w:val="Заголовок 3 Знак"/>
    <w:basedOn w:val="a1"/>
    <w:link w:val="3"/>
    <w:uiPriority w:val="99"/>
    <w:rsid w:val="00324483"/>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324483"/>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324483"/>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324483"/>
    <w:rPr>
      <w:rFonts w:ascii="Times New Roman" w:eastAsia="Times New Roman" w:hAnsi="Times New Roman" w:cs="Times New Roman"/>
      <w:sz w:val="28"/>
      <w:szCs w:val="28"/>
      <w:lang w:eastAsia="ru-RU"/>
    </w:rPr>
  </w:style>
  <w:style w:type="character" w:customStyle="1" w:styleId="70">
    <w:name w:val="Заголовок 7 Знак"/>
    <w:basedOn w:val="a1"/>
    <w:link w:val="7"/>
    <w:uiPriority w:val="99"/>
    <w:rsid w:val="00324483"/>
    <w:rPr>
      <w:rFonts w:ascii="Times New Roman" w:eastAsia="Times New Roman" w:hAnsi="Times New Roman" w:cs="Times New Roman"/>
      <w:sz w:val="28"/>
      <w:szCs w:val="28"/>
      <w:lang w:eastAsia="ru-RU"/>
    </w:rPr>
  </w:style>
  <w:style w:type="character" w:customStyle="1" w:styleId="80">
    <w:name w:val="Заголовок 8 Знак"/>
    <w:basedOn w:val="a1"/>
    <w:link w:val="8"/>
    <w:uiPriority w:val="99"/>
    <w:rsid w:val="00324483"/>
    <w:rPr>
      <w:rFonts w:ascii="Times New Roman" w:eastAsia="Times New Roman" w:hAnsi="Times New Roman" w:cs="Times New Roman"/>
      <w:sz w:val="28"/>
      <w:szCs w:val="28"/>
      <w:lang w:eastAsia="ru-RU"/>
    </w:rPr>
  </w:style>
  <w:style w:type="character" w:customStyle="1" w:styleId="90">
    <w:name w:val="Заголовок 9 Знак"/>
    <w:basedOn w:val="a1"/>
    <w:link w:val="9"/>
    <w:uiPriority w:val="99"/>
    <w:rsid w:val="00324483"/>
    <w:rPr>
      <w:rFonts w:ascii="Arial" w:eastAsia="Times New Roman" w:hAnsi="Arial" w:cs="Arial"/>
      <w:lang w:eastAsia="ru-RU"/>
    </w:rPr>
  </w:style>
  <w:style w:type="numbering" w:customStyle="1" w:styleId="13">
    <w:name w:val="Нет списка1"/>
    <w:next w:val="a3"/>
    <w:uiPriority w:val="99"/>
    <w:semiHidden/>
    <w:unhideWhenUsed/>
    <w:rsid w:val="00324483"/>
  </w:style>
  <w:style w:type="paragraph" w:styleId="a4">
    <w:name w:val="footer"/>
    <w:aliases w:val="Íèæíèé êîëîíòèòóë"/>
    <w:basedOn w:val="a0"/>
    <w:link w:val="a5"/>
    <w:uiPriority w:val="99"/>
    <w:rsid w:val="00324483"/>
    <w:pPr>
      <w:tabs>
        <w:tab w:val="center" w:pos="4677"/>
        <w:tab w:val="right" w:pos="9355"/>
      </w:tabs>
      <w:spacing w:before="0" w:after="0"/>
    </w:pPr>
    <w:rPr>
      <w:rFonts w:ascii="Times New Roman" w:eastAsia="Times New Roman" w:hAnsi="Times New Roman" w:cs="Times New Roman"/>
      <w:sz w:val="24"/>
      <w:szCs w:val="24"/>
      <w:lang w:eastAsia="ru-RU"/>
    </w:rPr>
  </w:style>
  <w:style w:type="character" w:customStyle="1" w:styleId="a5">
    <w:name w:val="Нижний колонтитул Знак"/>
    <w:aliases w:val="Íèæíèé êîëîíòèòóë Знак"/>
    <w:basedOn w:val="a1"/>
    <w:link w:val="a4"/>
    <w:uiPriority w:val="99"/>
    <w:rsid w:val="00324483"/>
    <w:rPr>
      <w:rFonts w:ascii="Times New Roman" w:eastAsia="Times New Roman" w:hAnsi="Times New Roman" w:cs="Times New Roman"/>
      <w:sz w:val="24"/>
      <w:szCs w:val="24"/>
      <w:lang w:eastAsia="ru-RU"/>
    </w:rPr>
  </w:style>
  <w:style w:type="character" w:customStyle="1" w:styleId="a6">
    <w:name w:val="Название объекта Знак"/>
    <w:aliases w:val="Знак Знак2, Знак Знак"/>
    <w:basedOn w:val="a1"/>
    <w:link w:val="a7"/>
    <w:locked/>
    <w:rsid w:val="00324483"/>
    <w:rPr>
      <w:b/>
      <w:bCs/>
      <w:sz w:val="24"/>
      <w:szCs w:val="24"/>
      <w:lang w:eastAsia="ru-RU"/>
    </w:rPr>
  </w:style>
  <w:style w:type="paragraph" w:styleId="a7">
    <w:name w:val="caption"/>
    <w:aliases w:val="Знак, Знак"/>
    <w:basedOn w:val="a0"/>
    <w:next w:val="a0"/>
    <w:link w:val="a6"/>
    <w:qFormat/>
    <w:rsid w:val="00324483"/>
    <w:pPr>
      <w:spacing w:before="120"/>
      <w:ind w:firstLine="709"/>
      <w:jc w:val="center"/>
    </w:pPr>
    <w:rPr>
      <w:b/>
      <w:bCs/>
      <w:sz w:val="24"/>
      <w:szCs w:val="24"/>
      <w:lang w:eastAsia="ru-RU"/>
    </w:rPr>
  </w:style>
  <w:style w:type="paragraph" w:styleId="a8">
    <w:name w:val="Title"/>
    <w:basedOn w:val="a0"/>
    <w:link w:val="a9"/>
    <w:qFormat/>
    <w:rsid w:val="00324483"/>
    <w:pPr>
      <w:spacing w:before="0" w:after="0"/>
      <w:jc w:val="center"/>
    </w:pPr>
    <w:rPr>
      <w:rFonts w:ascii="Times New Roman" w:eastAsia="Times New Roman" w:hAnsi="Times New Roman" w:cs="Times New Roman"/>
      <w:b/>
      <w:bCs/>
      <w:sz w:val="28"/>
      <w:szCs w:val="28"/>
      <w:lang w:eastAsia="ru-RU"/>
    </w:rPr>
  </w:style>
  <w:style w:type="character" w:customStyle="1" w:styleId="a9">
    <w:name w:val="Название Знак"/>
    <w:basedOn w:val="a1"/>
    <w:link w:val="a8"/>
    <w:rsid w:val="00324483"/>
    <w:rPr>
      <w:rFonts w:ascii="Times New Roman" w:eastAsia="Times New Roman" w:hAnsi="Times New Roman" w:cs="Times New Roman"/>
      <w:b/>
      <w:bCs/>
      <w:sz w:val="28"/>
      <w:szCs w:val="28"/>
      <w:lang w:eastAsia="ru-RU"/>
    </w:rPr>
  </w:style>
  <w:style w:type="paragraph" w:styleId="aa">
    <w:name w:val="Body Text"/>
    <w:aliases w:val="Знак2,Знак2 Знак,Знак2 Знак Знак, Знак2"/>
    <w:basedOn w:val="a0"/>
    <w:link w:val="ab"/>
    <w:rsid w:val="00324483"/>
    <w:pPr>
      <w:spacing w:before="0"/>
    </w:pPr>
    <w:rPr>
      <w:rFonts w:ascii="Times New Roman" w:eastAsia="Times New Roman" w:hAnsi="Times New Roman" w:cs="Times New Roman"/>
      <w:sz w:val="24"/>
      <w:szCs w:val="24"/>
      <w:lang w:eastAsia="ru-RU"/>
    </w:rPr>
  </w:style>
  <w:style w:type="character" w:customStyle="1" w:styleId="ab">
    <w:name w:val="Основной текст Знак"/>
    <w:aliases w:val="Знак2 Знак1,Знак2 Знак Знак1,Знак2 Знак Знак Знак, Знак2 Знак"/>
    <w:basedOn w:val="a1"/>
    <w:link w:val="aa"/>
    <w:rsid w:val="00324483"/>
    <w:rPr>
      <w:rFonts w:ascii="Times New Roman" w:eastAsia="Times New Roman" w:hAnsi="Times New Roman" w:cs="Times New Roman"/>
      <w:sz w:val="24"/>
      <w:szCs w:val="24"/>
      <w:lang w:eastAsia="ru-RU"/>
    </w:rPr>
  </w:style>
  <w:style w:type="paragraph" w:styleId="ac">
    <w:name w:val="Body Text Indent"/>
    <w:basedOn w:val="a0"/>
    <w:link w:val="ad"/>
    <w:rsid w:val="00324483"/>
    <w:pPr>
      <w:spacing w:before="0"/>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1"/>
    <w:link w:val="ac"/>
    <w:rsid w:val="00324483"/>
    <w:rPr>
      <w:rFonts w:ascii="Times New Roman" w:eastAsia="Times New Roman" w:hAnsi="Times New Roman" w:cs="Times New Roman"/>
      <w:sz w:val="24"/>
      <w:szCs w:val="24"/>
      <w:lang w:eastAsia="ru-RU"/>
    </w:rPr>
  </w:style>
  <w:style w:type="paragraph" w:styleId="ae">
    <w:name w:val="Body Text First Indent"/>
    <w:basedOn w:val="aa"/>
    <w:link w:val="af"/>
    <w:uiPriority w:val="99"/>
    <w:rsid w:val="00324483"/>
    <w:pPr>
      <w:ind w:firstLine="210"/>
    </w:pPr>
    <w:rPr>
      <w:sz w:val="20"/>
      <w:szCs w:val="20"/>
    </w:rPr>
  </w:style>
  <w:style w:type="character" w:customStyle="1" w:styleId="af">
    <w:name w:val="Красная строка Знак"/>
    <w:basedOn w:val="ab"/>
    <w:link w:val="ae"/>
    <w:uiPriority w:val="99"/>
    <w:rsid w:val="00324483"/>
    <w:rPr>
      <w:sz w:val="20"/>
      <w:szCs w:val="20"/>
    </w:rPr>
  </w:style>
  <w:style w:type="paragraph" w:styleId="22">
    <w:name w:val="Body Text 2"/>
    <w:basedOn w:val="a0"/>
    <w:link w:val="23"/>
    <w:rsid w:val="00324483"/>
    <w:pPr>
      <w:spacing w:before="0" w:line="480" w:lineRule="auto"/>
    </w:pPr>
    <w:rPr>
      <w:rFonts w:ascii="Times New Roman" w:eastAsia="Times New Roman" w:hAnsi="Times New Roman" w:cs="Times New Roman"/>
      <w:sz w:val="28"/>
      <w:szCs w:val="28"/>
      <w:lang w:eastAsia="ru-RU"/>
    </w:rPr>
  </w:style>
  <w:style w:type="character" w:customStyle="1" w:styleId="23">
    <w:name w:val="Основной текст 2 Знак"/>
    <w:basedOn w:val="a1"/>
    <w:link w:val="22"/>
    <w:rsid w:val="00324483"/>
    <w:rPr>
      <w:rFonts w:ascii="Times New Roman" w:eastAsia="Times New Roman" w:hAnsi="Times New Roman" w:cs="Times New Roman"/>
      <w:sz w:val="28"/>
      <w:szCs w:val="28"/>
      <w:lang w:eastAsia="ru-RU"/>
    </w:rPr>
  </w:style>
  <w:style w:type="paragraph" w:styleId="31">
    <w:name w:val="Body Text 3"/>
    <w:basedOn w:val="a0"/>
    <w:link w:val="32"/>
    <w:uiPriority w:val="99"/>
    <w:rsid w:val="00324483"/>
    <w:pPr>
      <w:spacing w:before="0"/>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324483"/>
    <w:rPr>
      <w:rFonts w:ascii="Times New Roman" w:eastAsia="Times New Roman" w:hAnsi="Times New Roman" w:cs="Times New Roman"/>
      <w:sz w:val="16"/>
      <w:szCs w:val="16"/>
      <w:lang w:eastAsia="ru-RU"/>
    </w:rPr>
  </w:style>
  <w:style w:type="paragraph" w:styleId="24">
    <w:name w:val="Body Text Indent 2"/>
    <w:basedOn w:val="a0"/>
    <w:link w:val="25"/>
    <w:rsid w:val="00324483"/>
    <w:pPr>
      <w:spacing w:before="0" w:after="0" w:line="360" w:lineRule="auto"/>
      <w:ind w:firstLine="720"/>
    </w:pPr>
    <w:rPr>
      <w:rFonts w:ascii="Times New Roman" w:eastAsia="Times New Roman" w:hAnsi="Times New Roman" w:cs="Times New Roman"/>
      <w:sz w:val="28"/>
      <w:szCs w:val="28"/>
      <w:lang w:eastAsia="ru-RU"/>
    </w:rPr>
  </w:style>
  <w:style w:type="character" w:customStyle="1" w:styleId="25">
    <w:name w:val="Основной текст с отступом 2 Знак"/>
    <w:basedOn w:val="a1"/>
    <w:link w:val="24"/>
    <w:rsid w:val="00324483"/>
    <w:rPr>
      <w:rFonts w:ascii="Times New Roman" w:eastAsia="Times New Roman" w:hAnsi="Times New Roman" w:cs="Times New Roman"/>
      <w:sz w:val="28"/>
      <w:szCs w:val="28"/>
      <w:lang w:eastAsia="ru-RU"/>
    </w:rPr>
  </w:style>
  <w:style w:type="paragraph" w:styleId="33">
    <w:name w:val="Body Text Indent 3"/>
    <w:basedOn w:val="a0"/>
    <w:link w:val="34"/>
    <w:uiPriority w:val="99"/>
    <w:rsid w:val="00324483"/>
    <w:pPr>
      <w:spacing w:before="0" w:after="0"/>
      <w:ind w:firstLine="851"/>
    </w:pPr>
    <w:rPr>
      <w:rFonts w:ascii="Times New Roman" w:eastAsia="Times New Roman" w:hAnsi="Times New Roman" w:cs="Times New Roman"/>
      <w:spacing w:val="2"/>
      <w:sz w:val="28"/>
      <w:szCs w:val="28"/>
      <w:lang w:eastAsia="ru-RU"/>
    </w:rPr>
  </w:style>
  <w:style w:type="character" w:customStyle="1" w:styleId="34">
    <w:name w:val="Основной текст с отступом 3 Знак"/>
    <w:basedOn w:val="a1"/>
    <w:link w:val="33"/>
    <w:uiPriority w:val="99"/>
    <w:rsid w:val="00324483"/>
    <w:rPr>
      <w:rFonts w:ascii="Times New Roman" w:eastAsia="Times New Roman" w:hAnsi="Times New Roman" w:cs="Times New Roman"/>
      <w:spacing w:val="2"/>
      <w:sz w:val="28"/>
      <w:szCs w:val="28"/>
      <w:lang w:eastAsia="ru-RU"/>
    </w:rPr>
  </w:style>
  <w:style w:type="paragraph" w:styleId="af0">
    <w:name w:val="Plain Text"/>
    <w:aliases w:val=" Знак1,Знак1 Знак,Знак1"/>
    <w:basedOn w:val="a0"/>
    <w:link w:val="af1"/>
    <w:qFormat/>
    <w:rsid w:val="00324483"/>
    <w:pPr>
      <w:spacing w:before="0" w:after="0"/>
    </w:pPr>
    <w:rPr>
      <w:rFonts w:ascii="Courier New" w:eastAsia="Times New Roman" w:hAnsi="Courier New" w:cs="Courier New"/>
      <w:sz w:val="20"/>
      <w:szCs w:val="20"/>
      <w:lang w:eastAsia="ru-RU"/>
    </w:rPr>
  </w:style>
  <w:style w:type="character" w:customStyle="1" w:styleId="af1">
    <w:name w:val="Текст Знак"/>
    <w:aliases w:val=" Знак1 Знак,Знак1 Знак Знак,Знак1 Знак1"/>
    <w:basedOn w:val="a1"/>
    <w:link w:val="af0"/>
    <w:rsid w:val="00324483"/>
    <w:rPr>
      <w:rFonts w:ascii="Courier New" w:eastAsia="Times New Roman" w:hAnsi="Courier New" w:cs="Courier New"/>
      <w:sz w:val="20"/>
      <w:szCs w:val="20"/>
      <w:lang w:eastAsia="ru-RU"/>
    </w:rPr>
  </w:style>
  <w:style w:type="paragraph" w:customStyle="1" w:styleId="af2">
    <w:name w:val="Шапка таблицы"/>
    <w:uiPriority w:val="99"/>
    <w:rsid w:val="00324483"/>
    <w:pPr>
      <w:spacing w:before="0" w:after="0"/>
      <w:jc w:val="center"/>
    </w:pPr>
    <w:rPr>
      <w:rFonts w:ascii="Times New Roman" w:eastAsia="Times New Roman" w:hAnsi="Times New Roman" w:cs="Times New Roman"/>
      <w:b/>
      <w:bCs/>
      <w:i/>
      <w:iCs/>
      <w:color w:val="000000"/>
      <w:lang w:eastAsia="ru-RU"/>
    </w:rPr>
  </w:style>
  <w:style w:type="table" w:styleId="af3">
    <w:name w:val="Table Grid"/>
    <w:basedOn w:val="a2"/>
    <w:uiPriority w:val="59"/>
    <w:rsid w:val="00324483"/>
    <w:pPr>
      <w:spacing w:before="0" w:after="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1"/>
    <w:uiPriority w:val="99"/>
    <w:rsid w:val="00324483"/>
  </w:style>
  <w:style w:type="paragraph" w:styleId="af5">
    <w:name w:val="header"/>
    <w:basedOn w:val="a0"/>
    <w:link w:val="af6"/>
    <w:uiPriority w:val="99"/>
    <w:rsid w:val="00324483"/>
    <w:pPr>
      <w:tabs>
        <w:tab w:val="center" w:pos="4677"/>
        <w:tab w:val="right" w:pos="9355"/>
      </w:tabs>
      <w:spacing w:before="0" w:after="0"/>
    </w:pPr>
    <w:rPr>
      <w:rFonts w:ascii="Times New Roman" w:eastAsia="Times New Roman" w:hAnsi="Times New Roman" w:cs="Times New Roman"/>
      <w:sz w:val="28"/>
      <w:szCs w:val="28"/>
      <w:lang w:eastAsia="ru-RU"/>
    </w:rPr>
  </w:style>
  <w:style w:type="character" w:customStyle="1" w:styleId="af6">
    <w:name w:val="Верхний колонтитул Знак"/>
    <w:basedOn w:val="a1"/>
    <w:link w:val="af5"/>
    <w:uiPriority w:val="99"/>
    <w:rsid w:val="00324483"/>
    <w:rPr>
      <w:rFonts w:ascii="Times New Roman" w:eastAsia="Times New Roman" w:hAnsi="Times New Roman" w:cs="Times New Roman"/>
      <w:sz w:val="28"/>
      <w:szCs w:val="28"/>
      <w:lang w:eastAsia="ru-RU"/>
    </w:rPr>
  </w:style>
  <w:style w:type="paragraph" w:customStyle="1" w:styleId="xl28">
    <w:name w:val="xl28"/>
    <w:basedOn w:val="a0"/>
    <w:uiPriority w:val="99"/>
    <w:rsid w:val="0032448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22">
    <w:name w:val="xl22"/>
    <w:basedOn w:val="a0"/>
    <w:rsid w:val="0032448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ru-RU"/>
    </w:rPr>
  </w:style>
  <w:style w:type="paragraph" w:customStyle="1" w:styleId="xl24">
    <w:name w:val="xl24"/>
    <w:basedOn w:val="a0"/>
    <w:rsid w:val="00324483"/>
    <w:pPr>
      <w:pBdr>
        <w:left w:val="single" w:sz="4" w:space="0" w:color="auto"/>
        <w:right w:val="single" w:sz="4" w:space="0" w:color="auto"/>
      </w:pBdr>
      <w:spacing w:before="100" w:beforeAutospacing="1" w:after="100" w:afterAutospacing="1"/>
    </w:pPr>
    <w:rPr>
      <w:rFonts w:ascii="Arial" w:eastAsia="Arial Unicode MS" w:hAnsi="Arial" w:cs="Arial"/>
      <w:sz w:val="16"/>
      <w:szCs w:val="16"/>
      <w:lang w:eastAsia="ru-RU"/>
    </w:rPr>
  </w:style>
  <w:style w:type="paragraph" w:styleId="af7">
    <w:name w:val="Document Map"/>
    <w:basedOn w:val="a0"/>
    <w:link w:val="af8"/>
    <w:rsid w:val="00324483"/>
    <w:pPr>
      <w:shd w:val="clear" w:color="auto" w:fill="000080"/>
      <w:spacing w:before="0" w:after="0"/>
    </w:pPr>
    <w:rPr>
      <w:rFonts w:ascii="Tahoma" w:eastAsia="Times New Roman" w:hAnsi="Tahoma" w:cs="Tahoma"/>
      <w:sz w:val="20"/>
      <w:szCs w:val="20"/>
      <w:lang w:eastAsia="ru-RU"/>
    </w:rPr>
  </w:style>
  <w:style w:type="character" w:customStyle="1" w:styleId="af8">
    <w:name w:val="Схема документа Знак"/>
    <w:basedOn w:val="a1"/>
    <w:link w:val="af7"/>
    <w:rsid w:val="00324483"/>
    <w:rPr>
      <w:rFonts w:ascii="Tahoma" w:eastAsia="Times New Roman" w:hAnsi="Tahoma" w:cs="Tahoma"/>
      <w:sz w:val="20"/>
      <w:szCs w:val="20"/>
      <w:shd w:val="clear" w:color="auto" w:fill="000080"/>
      <w:lang w:eastAsia="ru-RU"/>
    </w:rPr>
  </w:style>
  <w:style w:type="paragraph" w:styleId="af9">
    <w:name w:val="Normal (Web)"/>
    <w:basedOn w:val="a0"/>
    <w:uiPriority w:val="99"/>
    <w:rsid w:val="0032448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Normal">
    <w:name w:val="ConsNormal"/>
    <w:rsid w:val="00324483"/>
    <w:pPr>
      <w:widowControl w:val="0"/>
      <w:autoSpaceDE w:val="0"/>
      <w:autoSpaceDN w:val="0"/>
      <w:adjustRightInd w:val="0"/>
      <w:spacing w:before="0" w:after="0"/>
      <w:ind w:right="19772" w:firstLine="720"/>
    </w:pPr>
    <w:rPr>
      <w:rFonts w:ascii="Arial" w:eastAsia="Times New Roman" w:hAnsi="Arial" w:cs="Arial"/>
      <w:sz w:val="20"/>
      <w:szCs w:val="20"/>
      <w:lang w:eastAsia="ru-RU"/>
    </w:rPr>
  </w:style>
  <w:style w:type="paragraph" w:styleId="afa">
    <w:name w:val="Subtitle"/>
    <w:basedOn w:val="a0"/>
    <w:link w:val="afb"/>
    <w:uiPriority w:val="99"/>
    <w:qFormat/>
    <w:rsid w:val="00324483"/>
    <w:pPr>
      <w:spacing w:before="0" w:after="0"/>
      <w:ind w:firstLine="709"/>
      <w:jc w:val="center"/>
    </w:pPr>
    <w:rPr>
      <w:rFonts w:ascii="Times New Roman" w:eastAsia="Times New Roman" w:hAnsi="Times New Roman" w:cs="Times New Roman"/>
      <w:sz w:val="28"/>
      <w:szCs w:val="28"/>
      <w:lang w:eastAsia="ru-RU"/>
    </w:rPr>
  </w:style>
  <w:style w:type="character" w:customStyle="1" w:styleId="afb">
    <w:name w:val="Подзаголовок Знак"/>
    <w:basedOn w:val="a1"/>
    <w:link w:val="afa"/>
    <w:uiPriority w:val="99"/>
    <w:rsid w:val="00324483"/>
    <w:rPr>
      <w:rFonts w:ascii="Times New Roman" w:eastAsia="Times New Roman" w:hAnsi="Times New Roman" w:cs="Times New Roman"/>
      <w:sz w:val="28"/>
      <w:szCs w:val="28"/>
      <w:lang w:eastAsia="ru-RU"/>
    </w:rPr>
  </w:style>
  <w:style w:type="paragraph" w:styleId="afc">
    <w:name w:val="List"/>
    <w:basedOn w:val="a0"/>
    <w:uiPriority w:val="99"/>
    <w:rsid w:val="00324483"/>
    <w:pPr>
      <w:spacing w:before="0" w:after="0"/>
      <w:ind w:left="283" w:hanging="283"/>
    </w:pPr>
    <w:rPr>
      <w:rFonts w:ascii="Times New Roman" w:eastAsia="Times New Roman" w:hAnsi="Times New Roman" w:cs="Times New Roman"/>
      <w:sz w:val="20"/>
      <w:szCs w:val="20"/>
      <w:lang w:eastAsia="ru-RU"/>
    </w:rPr>
  </w:style>
  <w:style w:type="paragraph" w:styleId="afd">
    <w:name w:val="List Continue"/>
    <w:basedOn w:val="a0"/>
    <w:rsid w:val="00324483"/>
    <w:pPr>
      <w:spacing w:before="0"/>
      <w:ind w:left="283"/>
    </w:pPr>
    <w:rPr>
      <w:rFonts w:ascii="Times New Roman" w:eastAsia="Times New Roman" w:hAnsi="Times New Roman" w:cs="Times New Roman"/>
      <w:sz w:val="20"/>
      <w:szCs w:val="20"/>
      <w:lang w:eastAsia="ru-RU"/>
    </w:rPr>
  </w:style>
  <w:style w:type="paragraph" w:customStyle="1" w:styleId="afe">
    <w:name w:val="Стиль"/>
    <w:uiPriority w:val="99"/>
    <w:rsid w:val="00324483"/>
    <w:pPr>
      <w:widowControl w:val="0"/>
      <w:autoSpaceDE w:val="0"/>
      <w:autoSpaceDN w:val="0"/>
      <w:adjustRightInd w:val="0"/>
      <w:spacing w:before="0" w:after="0"/>
    </w:pPr>
    <w:rPr>
      <w:rFonts w:ascii="Arial" w:eastAsia="Times New Roman" w:hAnsi="Arial" w:cs="Arial"/>
      <w:sz w:val="24"/>
      <w:szCs w:val="24"/>
      <w:lang w:eastAsia="ru-RU"/>
    </w:rPr>
  </w:style>
  <w:style w:type="paragraph" w:styleId="26">
    <w:name w:val="List Number 2"/>
    <w:basedOn w:val="a0"/>
    <w:uiPriority w:val="99"/>
    <w:rsid w:val="00324483"/>
    <w:pPr>
      <w:spacing w:before="0" w:after="0"/>
    </w:pPr>
    <w:rPr>
      <w:rFonts w:ascii="Times New Roman" w:eastAsia="Times New Roman" w:hAnsi="Times New Roman" w:cs="Times New Roman"/>
      <w:sz w:val="28"/>
      <w:szCs w:val="28"/>
      <w:lang w:eastAsia="ru-RU"/>
    </w:rPr>
  </w:style>
  <w:style w:type="paragraph" w:styleId="aff">
    <w:name w:val="Balloon Text"/>
    <w:basedOn w:val="a0"/>
    <w:link w:val="aff0"/>
    <w:uiPriority w:val="99"/>
    <w:semiHidden/>
    <w:rsid w:val="00324483"/>
    <w:pPr>
      <w:spacing w:before="0" w:after="0"/>
    </w:pPr>
    <w:rPr>
      <w:rFonts w:ascii="Tahoma" w:eastAsia="Times New Roman" w:hAnsi="Tahoma" w:cs="Tahoma"/>
      <w:sz w:val="16"/>
      <w:szCs w:val="16"/>
      <w:lang w:eastAsia="ru-RU"/>
    </w:rPr>
  </w:style>
  <w:style w:type="character" w:customStyle="1" w:styleId="aff0">
    <w:name w:val="Текст выноски Знак"/>
    <w:basedOn w:val="a1"/>
    <w:link w:val="aff"/>
    <w:uiPriority w:val="99"/>
    <w:semiHidden/>
    <w:rsid w:val="00324483"/>
    <w:rPr>
      <w:rFonts w:ascii="Tahoma" w:eastAsia="Times New Roman" w:hAnsi="Tahoma" w:cs="Tahoma"/>
      <w:sz w:val="16"/>
      <w:szCs w:val="16"/>
      <w:lang w:eastAsia="ru-RU"/>
    </w:rPr>
  </w:style>
  <w:style w:type="paragraph" w:styleId="14">
    <w:name w:val="toc 1"/>
    <w:basedOn w:val="a0"/>
    <w:next w:val="a0"/>
    <w:autoRedefine/>
    <w:uiPriority w:val="39"/>
    <w:rsid w:val="00324483"/>
    <w:pPr>
      <w:tabs>
        <w:tab w:val="right" w:leader="dot" w:pos="9060"/>
      </w:tabs>
      <w:spacing w:before="0" w:after="0"/>
      <w:ind w:left="142"/>
      <w:jc w:val="left"/>
    </w:pPr>
    <w:rPr>
      <w:rFonts w:ascii="Times New Roman" w:eastAsia="Times New Roman" w:hAnsi="Times New Roman" w:cs="Times New Roman"/>
      <w:noProof/>
      <w:lang w:eastAsia="ru-RU"/>
    </w:rPr>
  </w:style>
  <w:style w:type="paragraph" w:styleId="27">
    <w:name w:val="toc 2"/>
    <w:basedOn w:val="a0"/>
    <w:next w:val="a0"/>
    <w:autoRedefine/>
    <w:uiPriority w:val="39"/>
    <w:rsid w:val="00324483"/>
    <w:pPr>
      <w:tabs>
        <w:tab w:val="right" w:leader="dot" w:pos="9060"/>
      </w:tabs>
      <w:spacing w:before="0" w:after="0"/>
      <w:ind w:left="567" w:hanging="425"/>
      <w:jc w:val="left"/>
    </w:pPr>
    <w:rPr>
      <w:rFonts w:ascii="Times New Roman" w:eastAsia="Times New Roman" w:hAnsi="Times New Roman" w:cs="Times New Roman"/>
      <w:noProof/>
      <w:lang w:eastAsia="ru-RU"/>
    </w:rPr>
  </w:style>
  <w:style w:type="paragraph" w:styleId="35">
    <w:name w:val="toc 3"/>
    <w:basedOn w:val="a0"/>
    <w:next w:val="a0"/>
    <w:autoRedefine/>
    <w:uiPriority w:val="39"/>
    <w:rsid w:val="00324483"/>
    <w:pPr>
      <w:tabs>
        <w:tab w:val="left" w:pos="1320"/>
        <w:tab w:val="right" w:leader="dot" w:pos="9060"/>
      </w:tabs>
      <w:spacing w:before="0" w:after="0"/>
      <w:ind w:left="561"/>
      <w:jc w:val="left"/>
    </w:pPr>
    <w:rPr>
      <w:rFonts w:ascii="Times New Roman" w:eastAsia="Times New Roman" w:hAnsi="Times New Roman" w:cs="Times New Roman"/>
      <w:bCs/>
      <w:noProof/>
      <w:lang w:eastAsia="ru-RU"/>
    </w:rPr>
  </w:style>
  <w:style w:type="character" w:styleId="aff1">
    <w:name w:val="Hyperlink"/>
    <w:basedOn w:val="a1"/>
    <w:uiPriority w:val="99"/>
    <w:rsid w:val="00324483"/>
    <w:rPr>
      <w:color w:val="0000FF"/>
      <w:u w:val="single"/>
    </w:rPr>
  </w:style>
  <w:style w:type="paragraph" w:customStyle="1" w:styleId="15">
    <w:name w:val="Мой 1"/>
    <w:basedOn w:val="10"/>
    <w:rsid w:val="00324483"/>
    <w:pPr>
      <w:spacing w:before="240" w:after="120"/>
      <w:jc w:val="center"/>
    </w:pPr>
    <w:rPr>
      <w:sz w:val="28"/>
    </w:rPr>
  </w:style>
  <w:style w:type="paragraph" w:styleId="2">
    <w:name w:val="List Bullet 2"/>
    <w:basedOn w:val="a0"/>
    <w:autoRedefine/>
    <w:uiPriority w:val="99"/>
    <w:rsid w:val="00324483"/>
    <w:pPr>
      <w:numPr>
        <w:numId w:val="1"/>
      </w:numPr>
      <w:tabs>
        <w:tab w:val="left" w:pos="2340"/>
        <w:tab w:val="left" w:pos="5940"/>
      </w:tabs>
      <w:spacing w:before="0" w:after="0"/>
    </w:pPr>
    <w:rPr>
      <w:rFonts w:ascii="Times New Roman" w:eastAsia="Times New Roman" w:hAnsi="Times New Roman" w:cs="Times New Roman"/>
      <w:sz w:val="24"/>
      <w:szCs w:val="24"/>
      <w:lang w:eastAsia="ru-RU"/>
    </w:rPr>
  </w:style>
  <w:style w:type="character" w:styleId="aff2">
    <w:name w:val="Strong"/>
    <w:basedOn w:val="a1"/>
    <w:uiPriority w:val="99"/>
    <w:qFormat/>
    <w:rsid w:val="00324483"/>
    <w:rPr>
      <w:b/>
      <w:bCs/>
    </w:rPr>
  </w:style>
  <w:style w:type="paragraph" w:customStyle="1" w:styleId="ConsPlusTitle">
    <w:name w:val="ConsPlusTitle"/>
    <w:uiPriority w:val="99"/>
    <w:rsid w:val="00324483"/>
    <w:pPr>
      <w:widowControl w:val="0"/>
      <w:autoSpaceDE w:val="0"/>
      <w:autoSpaceDN w:val="0"/>
      <w:adjustRightInd w:val="0"/>
      <w:spacing w:before="0" w:after="0"/>
    </w:pPr>
    <w:rPr>
      <w:rFonts w:ascii="Arial" w:eastAsia="Times New Roman" w:hAnsi="Arial" w:cs="Arial"/>
      <w:b/>
      <w:bCs/>
      <w:sz w:val="20"/>
      <w:szCs w:val="20"/>
      <w:lang w:eastAsia="ru-RU"/>
    </w:rPr>
  </w:style>
  <w:style w:type="character" w:customStyle="1" w:styleId="aff3">
    <w:name w:val="Знак Знак"/>
    <w:aliases w:val="Знак Знак Знак1,Знак Знак Знак11"/>
    <w:basedOn w:val="a1"/>
    <w:uiPriority w:val="99"/>
    <w:locked/>
    <w:rsid w:val="00324483"/>
    <w:rPr>
      <w:b/>
      <w:bCs/>
      <w:sz w:val="22"/>
      <w:szCs w:val="24"/>
      <w:lang w:val="ru-RU" w:eastAsia="ru-RU" w:bidi="ar-SA"/>
    </w:rPr>
  </w:style>
  <w:style w:type="paragraph" w:customStyle="1" w:styleId="100">
    <w:name w:val="Стиль Заголовок 1 + Перед:  0 пт"/>
    <w:basedOn w:val="10"/>
    <w:autoRedefine/>
    <w:uiPriority w:val="99"/>
    <w:rsid w:val="00324483"/>
    <w:pPr>
      <w:spacing w:after="120"/>
      <w:jc w:val="center"/>
    </w:pPr>
    <w:rPr>
      <w:rFonts w:eastAsia="Times New Roman"/>
      <w:kern w:val="32"/>
      <w:sz w:val="28"/>
      <w:szCs w:val="22"/>
      <w:lang w:val="en-US"/>
    </w:rPr>
  </w:style>
  <w:style w:type="character" w:customStyle="1" w:styleId="110">
    <w:name w:val="Стиль Название объекта + 11 пт Знак"/>
    <w:basedOn w:val="aff3"/>
    <w:link w:val="111"/>
    <w:uiPriority w:val="99"/>
    <w:locked/>
    <w:rsid w:val="00324483"/>
    <w:rPr>
      <w:b/>
      <w:bCs/>
    </w:rPr>
  </w:style>
  <w:style w:type="paragraph" w:customStyle="1" w:styleId="111">
    <w:name w:val="Стиль Название объекта + 11 пт"/>
    <w:basedOn w:val="a7"/>
    <w:link w:val="110"/>
    <w:autoRedefine/>
    <w:uiPriority w:val="99"/>
    <w:rsid w:val="00324483"/>
    <w:rPr>
      <w:sz w:val="22"/>
    </w:rPr>
  </w:style>
  <w:style w:type="character" w:customStyle="1" w:styleId="36">
    <w:name w:val="Знак Знак3"/>
    <w:aliases w:val=" Знак Знак Знак"/>
    <w:basedOn w:val="a1"/>
    <w:locked/>
    <w:rsid w:val="00324483"/>
    <w:rPr>
      <w:b/>
      <w:bCs/>
      <w:sz w:val="24"/>
      <w:szCs w:val="24"/>
      <w:lang w:val="ru-RU" w:eastAsia="ru-RU" w:bidi="ar-SA"/>
    </w:rPr>
  </w:style>
  <w:style w:type="numbering" w:customStyle="1" w:styleId="112">
    <w:name w:val="Нет списка11"/>
    <w:next w:val="a3"/>
    <w:uiPriority w:val="99"/>
    <w:semiHidden/>
    <w:rsid w:val="00324483"/>
  </w:style>
  <w:style w:type="paragraph" w:styleId="aff4">
    <w:name w:val="Block Text"/>
    <w:basedOn w:val="a0"/>
    <w:rsid w:val="00324483"/>
    <w:pPr>
      <w:overflowPunct w:val="0"/>
      <w:autoSpaceDE w:val="0"/>
      <w:autoSpaceDN w:val="0"/>
      <w:adjustRightInd w:val="0"/>
      <w:spacing w:before="0" w:after="0"/>
      <w:ind w:left="284" w:right="-483" w:hanging="142"/>
      <w:textAlignment w:val="baseline"/>
    </w:pPr>
    <w:rPr>
      <w:rFonts w:ascii="Times New Roman" w:eastAsia="Times New Roman" w:hAnsi="Times New Roman" w:cs="Times New Roman"/>
      <w:szCs w:val="24"/>
      <w:lang w:eastAsia="ru-RU"/>
    </w:rPr>
  </w:style>
  <w:style w:type="paragraph" w:customStyle="1" w:styleId="aff5">
    <w:name w:val="=ТАБЛ_ЦЕНТР"/>
    <w:uiPriority w:val="99"/>
    <w:rsid w:val="00324483"/>
    <w:pPr>
      <w:spacing w:before="40" w:after="40"/>
      <w:jc w:val="center"/>
    </w:pPr>
    <w:rPr>
      <w:rFonts w:ascii="Times New Roman" w:eastAsia="Times New Roman" w:hAnsi="Times New Roman" w:cs="Times New Roman"/>
      <w:szCs w:val="20"/>
      <w:lang w:eastAsia="ru-RU"/>
    </w:rPr>
  </w:style>
  <w:style w:type="paragraph" w:customStyle="1" w:styleId="ConsNonformat">
    <w:name w:val="ConsNonformat"/>
    <w:rsid w:val="00324483"/>
    <w:pPr>
      <w:widowControl w:val="0"/>
      <w:autoSpaceDE w:val="0"/>
      <w:autoSpaceDN w:val="0"/>
      <w:adjustRightInd w:val="0"/>
      <w:spacing w:before="0" w:after="0"/>
    </w:pPr>
    <w:rPr>
      <w:rFonts w:ascii="Courier New" w:eastAsia="Times New Roman" w:hAnsi="Courier New" w:cs="Courier New"/>
      <w:sz w:val="20"/>
      <w:szCs w:val="20"/>
      <w:lang w:eastAsia="ru-RU"/>
    </w:rPr>
  </w:style>
  <w:style w:type="paragraph" w:customStyle="1" w:styleId="ConsCell">
    <w:name w:val="ConsCell"/>
    <w:rsid w:val="00324483"/>
    <w:pPr>
      <w:widowControl w:val="0"/>
      <w:autoSpaceDE w:val="0"/>
      <w:autoSpaceDN w:val="0"/>
      <w:adjustRightInd w:val="0"/>
      <w:spacing w:before="0" w:after="0"/>
    </w:pPr>
    <w:rPr>
      <w:rFonts w:ascii="Arial" w:eastAsia="Times New Roman" w:hAnsi="Arial" w:cs="Arial"/>
      <w:sz w:val="20"/>
      <w:szCs w:val="20"/>
      <w:lang w:eastAsia="ru-RU"/>
    </w:rPr>
  </w:style>
  <w:style w:type="paragraph" w:styleId="a">
    <w:name w:val="List Bullet"/>
    <w:basedOn w:val="a0"/>
    <w:autoRedefine/>
    <w:rsid w:val="00324483"/>
    <w:pPr>
      <w:numPr>
        <w:numId w:val="4"/>
      </w:numPr>
      <w:spacing w:before="0" w:after="0"/>
    </w:pPr>
    <w:rPr>
      <w:rFonts w:ascii="Times New Roman" w:eastAsia="Times New Roman" w:hAnsi="Times New Roman" w:cs="Times New Roman"/>
      <w:sz w:val="24"/>
      <w:szCs w:val="24"/>
      <w:lang w:eastAsia="ru-RU"/>
    </w:rPr>
  </w:style>
  <w:style w:type="paragraph" w:customStyle="1" w:styleId="aff6">
    <w:name w:val="Таб"/>
    <w:basedOn w:val="a0"/>
    <w:uiPriority w:val="99"/>
    <w:rsid w:val="00324483"/>
    <w:pPr>
      <w:spacing w:before="120" w:after="0"/>
      <w:jc w:val="right"/>
    </w:pPr>
    <w:rPr>
      <w:rFonts w:ascii="Times New Roman" w:eastAsia="Times New Roman" w:hAnsi="Times New Roman" w:cs="Times New Roman"/>
      <w:bCs/>
      <w:sz w:val="24"/>
      <w:szCs w:val="24"/>
      <w:lang w:eastAsia="ru-RU"/>
    </w:rPr>
  </w:style>
  <w:style w:type="paragraph" w:customStyle="1" w:styleId="28">
    <w:name w:val="Знак Знак Знак2 Знак"/>
    <w:basedOn w:val="a0"/>
    <w:uiPriority w:val="99"/>
    <w:rsid w:val="00324483"/>
    <w:pPr>
      <w:widowControl w:val="0"/>
      <w:adjustRightInd w:val="0"/>
      <w:spacing w:before="0" w:after="160" w:line="240" w:lineRule="exact"/>
      <w:jc w:val="right"/>
    </w:pPr>
    <w:rPr>
      <w:rFonts w:ascii="Times New Roman" w:eastAsia="Times New Roman" w:hAnsi="Times New Roman" w:cs="Times New Roman"/>
      <w:sz w:val="20"/>
      <w:szCs w:val="20"/>
      <w:lang w:val="en-GB"/>
    </w:rPr>
  </w:style>
  <w:style w:type="paragraph" w:customStyle="1" w:styleId="210">
    <w:name w:val="Знак Знак Знак2 Знак1"/>
    <w:basedOn w:val="a0"/>
    <w:uiPriority w:val="99"/>
    <w:rsid w:val="00324483"/>
    <w:pPr>
      <w:widowControl w:val="0"/>
      <w:adjustRightInd w:val="0"/>
      <w:spacing w:before="0" w:after="160" w:line="240" w:lineRule="exact"/>
      <w:jc w:val="right"/>
    </w:pPr>
    <w:rPr>
      <w:rFonts w:ascii="Times New Roman" w:eastAsia="Times New Roman" w:hAnsi="Times New Roman" w:cs="Times New Roman"/>
      <w:sz w:val="20"/>
      <w:szCs w:val="20"/>
      <w:lang w:val="en-GB"/>
    </w:rPr>
  </w:style>
  <w:style w:type="character" w:customStyle="1" w:styleId="16">
    <w:name w:val="Знак Знак1"/>
    <w:aliases w:val=" Знак Знак Знак1"/>
    <w:basedOn w:val="a1"/>
    <w:uiPriority w:val="99"/>
    <w:locked/>
    <w:rsid w:val="00324483"/>
    <w:rPr>
      <w:b/>
      <w:bCs/>
      <w:sz w:val="24"/>
      <w:szCs w:val="24"/>
    </w:rPr>
  </w:style>
  <w:style w:type="paragraph" w:customStyle="1" w:styleId="211">
    <w:name w:val="Основной текст 21"/>
    <w:basedOn w:val="a0"/>
    <w:rsid w:val="00324483"/>
    <w:pPr>
      <w:suppressAutoHyphens/>
      <w:spacing w:before="0" w:line="480" w:lineRule="auto"/>
    </w:pPr>
    <w:rPr>
      <w:rFonts w:ascii="Times New Roman" w:eastAsia="Times New Roman" w:hAnsi="Times New Roman" w:cs="Times New Roman"/>
      <w:sz w:val="20"/>
      <w:szCs w:val="20"/>
      <w:lang w:eastAsia="ar-SA"/>
    </w:rPr>
  </w:style>
  <w:style w:type="paragraph" w:styleId="29">
    <w:name w:val="List 2"/>
    <w:basedOn w:val="a0"/>
    <w:uiPriority w:val="99"/>
    <w:rsid w:val="00324483"/>
    <w:pPr>
      <w:spacing w:before="0" w:after="0"/>
      <w:ind w:left="566" w:hanging="283"/>
      <w:contextualSpacing/>
    </w:pPr>
    <w:rPr>
      <w:rFonts w:ascii="Times New Roman" w:eastAsia="Times New Roman" w:hAnsi="Times New Roman" w:cs="Times New Roman"/>
      <w:sz w:val="28"/>
      <w:szCs w:val="28"/>
      <w:lang w:eastAsia="ru-RU"/>
    </w:rPr>
  </w:style>
  <w:style w:type="paragraph" w:customStyle="1" w:styleId="aff7">
    <w:name w:val="Знак Знак Знак Знак"/>
    <w:basedOn w:val="a0"/>
    <w:uiPriority w:val="99"/>
    <w:rsid w:val="00324483"/>
    <w:pPr>
      <w:spacing w:before="100" w:beforeAutospacing="1" w:after="100" w:afterAutospacing="1"/>
      <w:jc w:val="left"/>
    </w:pPr>
    <w:rPr>
      <w:rFonts w:ascii="Tahoma" w:eastAsia="Times New Roman" w:hAnsi="Tahoma" w:cs="Tahoma"/>
      <w:sz w:val="20"/>
      <w:szCs w:val="20"/>
      <w:lang w:val="en-US"/>
    </w:rPr>
  </w:style>
  <w:style w:type="character" w:customStyle="1" w:styleId="apple-converted-space">
    <w:name w:val="apple-converted-space"/>
    <w:basedOn w:val="a1"/>
    <w:rsid w:val="00324483"/>
  </w:style>
  <w:style w:type="paragraph" w:customStyle="1" w:styleId="220">
    <w:name w:val="Основной текст 22"/>
    <w:basedOn w:val="a0"/>
    <w:rsid w:val="00324483"/>
    <w:pPr>
      <w:widowControl w:val="0"/>
      <w:snapToGrid w:val="0"/>
      <w:spacing w:before="0" w:after="0"/>
      <w:ind w:firstLine="709"/>
    </w:pPr>
    <w:rPr>
      <w:rFonts w:ascii="Times New Roman" w:eastAsia="Times New Roman" w:hAnsi="Times New Roman" w:cs="Times New Roman"/>
      <w:sz w:val="28"/>
      <w:szCs w:val="24"/>
      <w:lang w:eastAsia="ru-RU"/>
    </w:rPr>
  </w:style>
  <w:style w:type="paragraph" w:styleId="aff8">
    <w:name w:val="No Spacing"/>
    <w:qFormat/>
    <w:rsid w:val="00324483"/>
    <w:pPr>
      <w:suppressAutoHyphens/>
      <w:spacing w:before="0" w:after="0"/>
      <w:jc w:val="left"/>
    </w:pPr>
    <w:rPr>
      <w:rFonts w:ascii="Calibri" w:eastAsia="Arial" w:hAnsi="Calibri" w:cs="Times New Roman"/>
      <w:lang w:eastAsia="ar-SA"/>
    </w:rPr>
  </w:style>
  <w:style w:type="paragraph" w:styleId="aff9">
    <w:name w:val="List Paragraph"/>
    <w:basedOn w:val="a0"/>
    <w:uiPriority w:val="34"/>
    <w:qFormat/>
    <w:rsid w:val="00324483"/>
    <w:pPr>
      <w:spacing w:before="0" w:after="0"/>
      <w:ind w:left="720"/>
      <w:contextualSpacing/>
      <w:jc w:val="left"/>
    </w:pPr>
    <w:rPr>
      <w:rFonts w:ascii="Times New Roman" w:eastAsia="Times New Roman" w:hAnsi="Times New Roman" w:cs="Times New Roman"/>
      <w:sz w:val="24"/>
      <w:szCs w:val="24"/>
      <w:lang w:eastAsia="ru-RU"/>
    </w:rPr>
  </w:style>
  <w:style w:type="numbering" w:customStyle="1" w:styleId="1">
    <w:name w:val="Стиль1"/>
    <w:rsid w:val="00324483"/>
    <w:pPr>
      <w:numPr>
        <w:numId w:val="5"/>
      </w:numPr>
    </w:pPr>
  </w:style>
  <w:style w:type="paragraph" w:customStyle="1" w:styleId="51">
    <w:name w:val="Знак5"/>
    <w:basedOn w:val="a0"/>
    <w:rsid w:val="00324483"/>
    <w:pPr>
      <w:spacing w:before="0" w:after="160" w:line="240" w:lineRule="exact"/>
    </w:pPr>
    <w:rPr>
      <w:rFonts w:ascii="Verdana" w:eastAsia="Times New Roman" w:hAnsi="Verdana" w:cs="Times New Roman"/>
      <w:sz w:val="24"/>
      <w:szCs w:val="24"/>
      <w:lang w:val="en-US"/>
    </w:rPr>
  </w:style>
  <w:style w:type="paragraph" w:customStyle="1" w:styleId="Web">
    <w:name w:val="Обычный (Web)"/>
    <w:basedOn w:val="a0"/>
    <w:rsid w:val="00324483"/>
    <w:pPr>
      <w:suppressAutoHyphens/>
      <w:spacing w:before="100" w:after="119"/>
      <w:jc w:val="left"/>
    </w:pPr>
    <w:rPr>
      <w:rFonts w:ascii="Times New Roman" w:eastAsia="Times New Roman" w:hAnsi="Times New Roman" w:cs="Times New Roman"/>
      <w:sz w:val="24"/>
      <w:szCs w:val="24"/>
      <w:lang w:eastAsia="ar-SA"/>
    </w:rPr>
  </w:style>
  <w:style w:type="numbering" w:customStyle="1" w:styleId="2a">
    <w:name w:val="Нет списка2"/>
    <w:next w:val="a3"/>
    <w:semiHidden/>
    <w:rsid w:val="00324483"/>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324483"/>
    <w:pPr>
      <w:spacing w:before="100" w:beforeAutospacing="1" w:after="100" w:afterAutospacing="1"/>
      <w:jc w:val="left"/>
    </w:pPr>
    <w:rPr>
      <w:rFonts w:ascii="Tahoma" w:eastAsia="Times New Roman" w:hAnsi="Tahoma" w:cs="Times New Roman"/>
      <w:sz w:val="20"/>
      <w:szCs w:val="20"/>
      <w:lang w:val="en-US"/>
    </w:rPr>
  </w:style>
  <w:style w:type="paragraph" w:customStyle="1" w:styleId="17">
    <w:name w:val="Знак Знак Знак Знак1"/>
    <w:basedOn w:val="a0"/>
    <w:uiPriority w:val="99"/>
    <w:rsid w:val="00324483"/>
    <w:pPr>
      <w:spacing w:before="0" w:after="160" w:line="240" w:lineRule="exact"/>
      <w:jc w:val="left"/>
    </w:pPr>
    <w:rPr>
      <w:rFonts w:ascii="Verdana" w:eastAsia="Times New Roman" w:hAnsi="Verdana" w:cs="Times New Roman"/>
      <w:sz w:val="20"/>
      <w:szCs w:val="20"/>
      <w:lang w:val="en-US"/>
    </w:rPr>
  </w:style>
  <w:style w:type="paragraph" w:customStyle="1" w:styleId="Default">
    <w:name w:val="Default"/>
    <w:rsid w:val="00324483"/>
    <w:pPr>
      <w:autoSpaceDE w:val="0"/>
      <w:autoSpaceDN w:val="0"/>
      <w:adjustRightInd w:val="0"/>
      <w:spacing w:before="0" w:after="0"/>
      <w:jc w:val="left"/>
    </w:pPr>
    <w:rPr>
      <w:rFonts w:ascii="Times New Roman" w:eastAsia="Times New Roman" w:hAnsi="Times New Roman" w:cs="Times New Roman"/>
      <w:color w:val="000000"/>
      <w:sz w:val="24"/>
      <w:szCs w:val="24"/>
      <w:lang w:eastAsia="ru-RU"/>
    </w:rPr>
  </w:style>
  <w:style w:type="paragraph" w:customStyle="1" w:styleId="bodytext">
    <w:name w:val="body text"/>
    <w:basedOn w:val="a0"/>
    <w:rsid w:val="00324483"/>
    <w:pPr>
      <w:widowControl w:val="0"/>
      <w:snapToGrid w:val="0"/>
      <w:spacing w:before="0" w:after="0"/>
    </w:pPr>
    <w:rPr>
      <w:rFonts w:ascii="Times New Roman" w:eastAsia="Times New Roman" w:hAnsi="Times New Roman" w:cs="Times New Roman"/>
      <w:sz w:val="24"/>
      <w:szCs w:val="20"/>
      <w:lang w:eastAsia="ru-RU"/>
    </w:rPr>
  </w:style>
  <w:style w:type="paragraph" w:customStyle="1" w:styleId="212">
    <w:name w:val="Основной текст с отступом 21"/>
    <w:basedOn w:val="a0"/>
    <w:rsid w:val="00324483"/>
    <w:pPr>
      <w:widowControl w:val="0"/>
      <w:spacing w:before="0" w:after="0"/>
      <w:ind w:firstLine="567"/>
    </w:pPr>
    <w:rPr>
      <w:rFonts w:ascii="Times New Roman" w:eastAsia="Times New Roman" w:hAnsi="Times New Roman" w:cs="Times New Roman"/>
      <w:sz w:val="28"/>
      <w:szCs w:val="20"/>
      <w:lang w:eastAsia="yi-Hebr" w:bidi="yi-Hebr"/>
    </w:rPr>
  </w:style>
  <w:style w:type="character" w:customStyle="1" w:styleId="affa">
    <w:name w:val="Основной текст_"/>
    <w:basedOn w:val="a1"/>
    <w:link w:val="37"/>
    <w:uiPriority w:val="99"/>
    <w:locked/>
    <w:rsid w:val="00324483"/>
    <w:rPr>
      <w:spacing w:val="2"/>
      <w:sz w:val="23"/>
      <w:szCs w:val="23"/>
      <w:shd w:val="clear" w:color="auto" w:fill="FFFFFF"/>
    </w:rPr>
  </w:style>
  <w:style w:type="paragraph" w:customStyle="1" w:styleId="37">
    <w:name w:val="Основной текст3"/>
    <w:basedOn w:val="a0"/>
    <w:link w:val="affa"/>
    <w:uiPriority w:val="99"/>
    <w:rsid w:val="00324483"/>
    <w:pPr>
      <w:shd w:val="clear" w:color="auto" w:fill="FFFFFF"/>
      <w:spacing w:before="0" w:after="0" w:line="298" w:lineRule="exact"/>
      <w:ind w:hanging="520"/>
    </w:pPr>
    <w:rPr>
      <w:spacing w:val="2"/>
      <w:sz w:val="23"/>
      <w:szCs w:val="23"/>
      <w:shd w:val="clear" w:color="auto" w:fill="FFFFFF"/>
    </w:rPr>
  </w:style>
  <w:style w:type="paragraph" w:customStyle="1" w:styleId="ConsPlusNormal">
    <w:name w:val="ConsPlusNormal"/>
    <w:rsid w:val="00324483"/>
    <w:pPr>
      <w:autoSpaceDE w:val="0"/>
      <w:autoSpaceDN w:val="0"/>
      <w:adjustRightInd w:val="0"/>
      <w:spacing w:before="0" w:after="0"/>
      <w:jc w:val="left"/>
    </w:pPr>
    <w:rPr>
      <w:rFonts w:ascii="Calibri" w:hAnsi="Calibri" w:cs="Calibri"/>
    </w:rPr>
  </w:style>
  <w:style w:type="numbering" w:customStyle="1" w:styleId="38">
    <w:name w:val="Нет списка3"/>
    <w:next w:val="a3"/>
    <w:uiPriority w:val="99"/>
    <w:semiHidden/>
    <w:unhideWhenUsed/>
    <w:rsid w:val="00324483"/>
  </w:style>
  <w:style w:type="numbering" w:customStyle="1" w:styleId="1110">
    <w:name w:val="Нет списка111"/>
    <w:next w:val="a3"/>
    <w:uiPriority w:val="99"/>
    <w:semiHidden/>
    <w:unhideWhenUsed/>
    <w:rsid w:val="00324483"/>
  </w:style>
  <w:style w:type="paragraph" w:customStyle="1" w:styleId="affb">
    <w:name w:val="Раздел"/>
    <w:basedOn w:val="a0"/>
    <w:uiPriority w:val="99"/>
    <w:rsid w:val="00324483"/>
    <w:pPr>
      <w:spacing w:before="120"/>
      <w:jc w:val="center"/>
    </w:pPr>
    <w:rPr>
      <w:rFonts w:ascii="Times New Roman" w:eastAsia="Times New Roman" w:hAnsi="Times New Roman" w:cs="Times New Roman"/>
      <w:i/>
      <w:iCs/>
      <w:sz w:val="24"/>
      <w:szCs w:val="24"/>
      <w:lang w:eastAsia="ru-RU"/>
    </w:rPr>
  </w:style>
  <w:style w:type="character" w:styleId="affc">
    <w:name w:val="FollowedHyperlink"/>
    <w:basedOn w:val="a1"/>
    <w:uiPriority w:val="99"/>
    <w:rsid w:val="00324483"/>
    <w:rPr>
      <w:color w:val="800080"/>
      <w:u w:val="single"/>
    </w:rPr>
  </w:style>
  <w:style w:type="paragraph" w:styleId="affd">
    <w:name w:val="List Number"/>
    <w:basedOn w:val="a0"/>
    <w:uiPriority w:val="99"/>
    <w:rsid w:val="00324483"/>
    <w:pPr>
      <w:tabs>
        <w:tab w:val="num" w:pos="720"/>
      </w:tabs>
      <w:spacing w:before="0" w:after="0"/>
      <w:ind w:left="720" w:hanging="360"/>
    </w:pPr>
    <w:rPr>
      <w:rFonts w:ascii="Times New Roman" w:eastAsia="Times New Roman" w:hAnsi="Times New Roman" w:cs="Times New Roman"/>
      <w:sz w:val="24"/>
      <w:szCs w:val="24"/>
      <w:lang w:eastAsia="ru-RU"/>
    </w:rPr>
  </w:style>
  <w:style w:type="character" w:customStyle="1" w:styleId="affe">
    <w:name w:val="Знак Знак Знак"/>
    <w:basedOn w:val="a1"/>
    <w:uiPriority w:val="99"/>
    <w:locked/>
    <w:rsid w:val="00324483"/>
    <w:rPr>
      <w:b/>
      <w:bCs/>
      <w:sz w:val="24"/>
      <w:szCs w:val="24"/>
      <w:lang w:val="ru-RU" w:eastAsia="ru-RU"/>
    </w:rPr>
  </w:style>
  <w:style w:type="paragraph" w:customStyle="1" w:styleId="CharCharCarCarCharCharCarCarCharCharCarCarCharChar">
    <w:name w:val="Char Char Car Car Char Char Car Car Char Char Car Car Char Char"/>
    <w:basedOn w:val="a0"/>
    <w:uiPriority w:val="99"/>
    <w:rsid w:val="00324483"/>
    <w:pPr>
      <w:spacing w:before="0" w:after="160" w:line="240" w:lineRule="exact"/>
      <w:jc w:val="left"/>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324483"/>
    <w:pPr>
      <w:widowControl w:val="0"/>
      <w:autoSpaceDE w:val="0"/>
      <w:autoSpaceDN w:val="0"/>
      <w:adjustRightInd w:val="0"/>
      <w:spacing w:before="0" w:after="0"/>
      <w:jc w:val="left"/>
    </w:pPr>
    <w:rPr>
      <w:rFonts w:ascii="Courier New" w:eastAsia="Times New Roman" w:hAnsi="Courier New" w:cs="Courier New"/>
      <w:sz w:val="20"/>
      <w:szCs w:val="20"/>
      <w:lang w:eastAsia="ru-RU"/>
    </w:rPr>
  </w:style>
  <w:style w:type="character" w:customStyle="1" w:styleId="afff">
    <w:name w:val="Гипертекстовая ссылка"/>
    <w:basedOn w:val="a1"/>
    <w:uiPriority w:val="99"/>
    <w:rsid w:val="00324483"/>
    <w:rPr>
      <w:color w:val="008000"/>
    </w:rPr>
  </w:style>
  <w:style w:type="paragraph" w:customStyle="1" w:styleId="221">
    <w:name w:val="Знак Знак Знак2 Знак2"/>
    <w:basedOn w:val="a0"/>
    <w:uiPriority w:val="99"/>
    <w:rsid w:val="00324483"/>
    <w:pPr>
      <w:widowControl w:val="0"/>
      <w:adjustRightInd w:val="0"/>
      <w:spacing w:before="0" w:after="160" w:line="240" w:lineRule="exact"/>
      <w:jc w:val="right"/>
    </w:pPr>
    <w:rPr>
      <w:rFonts w:ascii="Times New Roman" w:eastAsia="Times New Roman" w:hAnsi="Times New Roman" w:cs="Times New Roman"/>
      <w:sz w:val="20"/>
      <w:szCs w:val="20"/>
      <w:lang w:val="en-GB"/>
    </w:rPr>
  </w:style>
  <w:style w:type="character" w:customStyle="1" w:styleId="91">
    <w:name w:val="Знак Знак9"/>
    <w:basedOn w:val="a1"/>
    <w:uiPriority w:val="99"/>
    <w:locked/>
    <w:rsid w:val="00324483"/>
    <w:rPr>
      <w:sz w:val="24"/>
      <w:szCs w:val="24"/>
      <w:lang w:val="ru-RU" w:eastAsia="ru-RU"/>
    </w:rPr>
  </w:style>
  <w:style w:type="character" w:customStyle="1" w:styleId="101">
    <w:name w:val="Знак Знак10"/>
    <w:basedOn w:val="a1"/>
    <w:uiPriority w:val="99"/>
    <w:locked/>
    <w:rsid w:val="00324483"/>
    <w:rPr>
      <w:sz w:val="24"/>
      <w:szCs w:val="24"/>
      <w:lang w:val="ru-RU" w:eastAsia="ru-RU"/>
    </w:rPr>
  </w:style>
  <w:style w:type="character" w:customStyle="1" w:styleId="81">
    <w:name w:val="Знак Знак8"/>
    <w:basedOn w:val="a1"/>
    <w:uiPriority w:val="99"/>
    <w:locked/>
    <w:rsid w:val="00324483"/>
    <w:rPr>
      <w:sz w:val="24"/>
      <w:szCs w:val="24"/>
      <w:lang w:val="ru-RU" w:eastAsia="ru-RU"/>
    </w:rPr>
  </w:style>
  <w:style w:type="paragraph" w:customStyle="1" w:styleId="2b">
    <w:name w:val="Знак Знак Знак Знак2"/>
    <w:basedOn w:val="a0"/>
    <w:uiPriority w:val="99"/>
    <w:rsid w:val="00324483"/>
    <w:pPr>
      <w:spacing w:before="0" w:after="160" w:line="240" w:lineRule="exact"/>
      <w:jc w:val="left"/>
    </w:pPr>
    <w:rPr>
      <w:rFonts w:ascii="Verdana" w:eastAsia="Times New Roman" w:hAnsi="Verdana" w:cs="Verdana"/>
      <w:sz w:val="20"/>
      <w:szCs w:val="20"/>
      <w:lang w:val="en-US"/>
    </w:rPr>
  </w:style>
  <w:style w:type="character" w:styleId="afff0">
    <w:name w:val="Emphasis"/>
    <w:basedOn w:val="a1"/>
    <w:uiPriority w:val="20"/>
    <w:qFormat/>
    <w:rsid w:val="00324483"/>
    <w:rPr>
      <w:b/>
      <w:bCs/>
      <w:i w:val="0"/>
      <w:iCs w:val="0"/>
    </w:rPr>
  </w:style>
  <w:style w:type="character" w:customStyle="1" w:styleId="st1">
    <w:name w:val="st1"/>
    <w:basedOn w:val="a1"/>
    <w:rsid w:val="00324483"/>
  </w:style>
  <w:style w:type="character" w:customStyle="1" w:styleId="afff1">
    <w:name w:val="Основной текст + Полужирный"/>
    <w:basedOn w:val="affa"/>
    <w:rsid w:val="00324483"/>
    <w:rPr>
      <w:b/>
      <w:bCs/>
      <w:spacing w:val="0"/>
    </w:rPr>
  </w:style>
  <w:style w:type="paragraph" w:customStyle="1" w:styleId="18">
    <w:name w:val="Заголовок оглавления1"/>
    <w:basedOn w:val="10"/>
    <w:next w:val="a0"/>
    <w:uiPriority w:val="39"/>
    <w:unhideWhenUsed/>
    <w:qFormat/>
    <w:rsid w:val="00324483"/>
    <w:pPr>
      <w:keepLines/>
      <w:spacing w:before="480" w:line="276" w:lineRule="auto"/>
      <w:jc w:val="left"/>
      <w:outlineLvl w:val="9"/>
    </w:pPr>
    <w:rPr>
      <w:rFonts w:ascii="Cambria" w:eastAsia="Times New Roman" w:hAnsi="Cambria"/>
      <w:color w:val="365F91"/>
      <w:sz w:val="28"/>
      <w:szCs w:val="28"/>
      <w:lang w:eastAsia="en-US"/>
    </w:rPr>
  </w:style>
  <w:style w:type="paragraph" w:customStyle="1" w:styleId="p1">
    <w:name w:val="p1"/>
    <w:basedOn w:val="a0"/>
    <w:rsid w:val="0032448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s1">
    <w:name w:val="s1"/>
    <w:basedOn w:val="a1"/>
    <w:rsid w:val="00324483"/>
  </w:style>
  <w:style w:type="character" w:customStyle="1" w:styleId="s2">
    <w:name w:val="s2"/>
    <w:basedOn w:val="a1"/>
    <w:uiPriority w:val="99"/>
    <w:rsid w:val="00324483"/>
  </w:style>
  <w:style w:type="paragraph" w:styleId="41">
    <w:name w:val="toc 4"/>
    <w:basedOn w:val="a0"/>
    <w:next w:val="a0"/>
    <w:autoRedefine/>
    <w:uiPriority w:val="39"/>
    <w:unhideWhenUsed/>
    <w:rsid w:val="00324483"/>
    <w:pPr>
      <w:spacing w:before="0" w:after="100" w:line="276" w:lineRule="auto"/>
      <w:ind w:left="660"/>
      <w:jc w:val="left"/>
    </w:pPr>
    <w:rPr>
      <w:rFonts w:eastAsiaTheme="minorEastAsia"/>
      <w:lang w:eastAsia="ru-RU"/>
    </w:rPr>
  </w:style>
  <w:style w:type="paragraph" w:styleId="52">
    <w:name w:val="toc 5"/>
    <w:basedOn w:val="a0"/>
    <w:next w:val="a0"/>
    <w:autoRedefine/>
    <w:uiPriority w:val="39"/>
    <w:unhideWhenUsed/>
    <w:rsid w:val="00324483"/>
    <w:pPr>
      <w:spacing w:before="0" w:after="100" w:line="276" w:lineRule="auto"/>
      <w:ind w:left="880"/>
      <w:jc w:val="left"/>
    </w:pPr>
    <w:rPr>
      <w:rFonts w:eastAsiaTheme="minorEastAsia"/>
      <w:lang w:eastAsia="ru-RU"/>
    </w:rPr>
  </w:style>
  <w:style w:type="paragraph" w:styleId="61">
    <w:name w:val="toc 6"/>
    <w:basedOn w:val="a0"/>
    <w:next w:val="a0"/>
    <w:autoRedefine/>
    <w:uiPriority w:val="39"/>
    <w:unhideWhenUsed/>
    <w:rsid w:val="00324483"/>
    <w:pPr>
      <w:spacing w:before="0" w:after="100" w:line="276" w:lineRule="auto"/>
      <w:ind w:left="1100"/>
      <w:jc w:val="left"/>
    </w:pPr>
    <w:rPr>
      <w:rFonts w:eastAsiaTheme="minorEastAsia"/>
      <w:lang w:eastAsia="ru-RU"/>
    </w:rPr>
  </w:style>
  <w:style w:type="paragraph" w:styleId="71">
    <w:name w:val="toc 7"/>
    <w:basedOn w:val="a0"/>
    <w:next w:val="a0"/>
    <w:autoRedefine/>
    <w:uiPriority w:val="39"/>
    <w:unhideWhenUsed/>
    <w:rsid w:val="00324483"/>
    <w:pPr>
      <w:spacing w:before="0" w:after="100" w:line="276" w:lineRule="auto"/>
      <w:ind w:left="1320"/>
      <w:jc w:val="left"/>
    </w:pPr>
    <w:rPr>
      <w:rFonts w:eastAsiaTheme="minorEastAsia"/>
      <w:lang w:eastAsia="ru-RU"/>
    </w:rPr>
  </w:style>
  <w:style w:type="paragraph" w:styleId="82">
    <w:name w:val="toc 8"/>
    <w:basedOn w:val="a0"/>
    <w:next w:val="a0"/>
    <w:autoRedefine/>
    <w:uiPriority w:val="39"/>
    <w:unhideWhenUsed/>
    <w:rsid w:val="00324483"/>
    <w:pPr>
      <w:spacing w:before="0" w:after="100" w:line="276" w:lineRule="auto"/>
      <w:ind w:left="1540"/>
      <w:jc w:val="left"/>
    </w:pPr>
    <w:rPr>
      <w:rFonts w:eastAsiaTheme="minorEastAsia"/>
      <w:lang w:eastAsia="ru-RU"/>
    </w:rPr>
  </w:style>
  <w:style w:type="paragraph" w:styleId="92">
    <w:name w:val="toc 9"/>
    <w:basedOn w:val="a0"/>
    <w:next w:val="a0"/>
    <w:autoRedefine/>
    <w:uiPriority w:val="39"/>
    <w:unhideWhenUsed/>
    <w:rsid w:val="00324483"/>
    <w:pPr>
      <w:spacing w:before="0" w:after="100" w:line="276" w:lineRule="auto"/>
      <w:ind w:left="1760"/>
      <w:jc w:val="left"/>
    </w:pPr>
    <w:rPr>
      <w:rFonts w:eastAsiaTheme="minorEastAsia"/>
      <w:lang w:eastAsia="ru-RU"/>
    </w:rPr>
  </w:style>
  <w:style w:type="paragraph" w:customStyle="1" w:styleId="afff2">
    <w:name w:val="Текст нормальный"/>
    <w:basedOn w:val="af0"/>
    <w:qFormat/>
    <w:rsid w:val="00324483"/>
    <w:pPr>
      <w:spacing w:line="360" w:lineRule="atLeast"/>
    </w:pPr>
    <w:rPr>
      <w:rFonts w:ascii="UkrainianKudriashov" w:hAnsi="UkrainianKudriashov" w:cs="Times New Roman"/>
      <w:sz w:val="24"/>
    </w:rPr>
  </w:style>
  <w:style w:type="character" w:customStyle="1" w:styleId="2c">
    <w:name w:val="Основной текст (2)_"/>
    <w:basedOn w:val="a1"/>
    <w:link w:val="2d"/>
    <w:rsid w:val="00324483"/>
    <w:rPr>
      <w:sz w:val="23"/>
      <w:szCs w:val="23"/>
      <w:shd w:val="clear" w:color="auto" w:fill="FFFFFF"/>
    </w:rPr>
  </w:style>
  <w:style w:type="character" w:customStyle="1" w:styleId="afff3">
    <w:name w:val="Подпись к таблице_"/>
    <w:basedOn w:val="a1"/>
    <w:link w:val="afff4"/>
    <w:rsid w:val="00324483"/>
    <w:rPr>
      <w:sz w:val="27"/>
      <w:szCs w:val="27"/>
      <w:shd w:val="clear" w:color="auto" w:fill="FFFFFF"/>
    </w:rPr>
  </w:style>
  <w:style w:type="paragraph" w:customStyle="1" w:styleId="2d">
    <w:name w:val="Основной текст (2)"/>
    <w:basedOn w:val="a0"/>
    <w:link w:val="2c"/>
    <w:rsid w:val="00324483"/>
    <w:pPr>
      <w:shd w:val="clear" w:color="auto" w:fill="FFFFFF"/>
      <w:spacing w:before="60" w:after="0" w:line="278" w:lineRule="exact"/>
      <w:jc w:val="left"/>
    </w:pPr>
    <w:rPr>
      <w:sz w:val="23"/>
      <w:szCs w:val="23"/>
    </w:rPr>
  </w:style>
  <w:style w:type="paragraph" w:customStyle="1" w:styleId="afff4">
    <w:name w:val="Подпись к таблице"/>
    <w:basedOn w:val="a0"/>
    <w:link w:val="afff3"/>
    <w:rsid w:val="00324483"/>
    <w:pPr>
      <w:shd w:val="clear" w:color="auto" w:fill="FFFFFF"/>
      <w:spacing w:before="0" w:after="0" w:line="0" w:lineRule="atLeast"/>
      <w:ind w:hanging="1920"/>
      <w:jc w:val="left"/>
    </w:pPr>
    <w:rPr>
      <w:sz w:val="27"/>
      <w:szCs w:val="27"/>
    </w:rPr>
  </w:style>
  <w:style w:type="character" w:customStyle="1" w:styleId="211pt">
    <w:name w:val="Основной текст (2) + 11 pt"/>
    <w:basedOn w:val="2c"/>
    <w:rsid w:val="00324483"/>
    <w:rPr>
      <w:rFonts w:ascii="Times New Roman" w:eastAsia="Times New Roman" w:hAnsi="Times New Roman" w:cs="Times New Roman"/>
      <w:color w:val="000000"/>
      <w:spacing w:val="0"/>
      <w:w w:val="100"/>
      <w:position w:val="0"/>
      <w:sz w:val="22"/>
      <w:szCs w:val="22"/>
      <w:lang w:val="ru-RU" w:eastAsia="ru-RU" w:bidi="ru-RU"/>
    </w:rPr>
  </w:style>
  <w:style w:type="paragraph" w:customStyle="1" w:styleId="19">
    <w:name w:val="Абзац списка1"/>
    <w:basedOn w:val="a0"/>
    <w:rsid w:val="00324483"/>
    <w:pPr>
      <w:spacing w:before="0" w:after="200" w:line="276" w:lineRule="auto"/>
      <w:ind w:left="720"/>
      <w:contextualSpacing/>
      <w:jc w:val="left"/>
    </w:pPr>
    <w:rPr>
      <w:rFonts w:ascii="Calibri" w:eastAsia="Times New Roman" w:hAnsi="Calibri" w:cs="Times New Roman"/>
      <w:lang w:eastAsia="ru-RU"/>
    </w:rPr>
  </w:style>
  <w:style w:type="numbering" w:customStyle="1" w:styleId="42">
    <w:name w:val="Нет списка4"/>
    <w:next w:val="a3"/>
    <w:uiPriority w:val="99"/>
    <w:semiHidden/>
    <w:unhideWhenUsed/>
    <w:rsid w:val="00324483"/>
  </w:style>
  <w:style w:type="paragraph" w:customStyle="1" w:styleId="2e">
    <w:name w:val="Заголовок оглавления2"/>
    <w:basedOn w:val="10"/>
    <w:next w:val="a0"/>
    <w:uiPriority w:val="39"/>
    <w:unhideWhenUsed/>
    <w:qFormat/>
    <w:rsid w:val="00324483"/>
    <w:pPr>
      <w:keepLines/>
      <w:spacing w:before="480" w:line="276" w:lineRule="auto"/>
      <w:jc w:val="left"/>
      <w:outlineLvl w:val="9"/>
    </w:pPr>
    <w:rPr>
      <w:rFonts w:ascii="Cambria" w:eastAsia="Times New Roman" w:hAnsi="Cambria"/>
      <w:color w:val="365F91"/>
      <w:sz w:val="28"/>
      <w:szCs w:val="28"/>
      <w:lang w:eastAsia="en-US"/>
    </w:rPr>
  </w:style>
  <w:style w:type="character" w:customStyle="1" w:styleId="FontStyle18">
    <w:name w:val="Font Style18"/>
    <w:basedOn w:val="a1"/>
    <w:uiPriority w:val="99"/>
    <w:rsid w:val="00324483"/>
    <w:rPr>
      <w:rFonts w:ascii="Times New Roman" w:hAnsi="Times New Roman" w:cs="Times New Roman"/>
      <w:sz w:val="26"/>
      <w:szCs w:val="26"/>
    </w:rPr>
  </w:style>
  <w:style w:type="character" w:customStyle="1" w:styleId="FontStyle17">
    <w:name w:val="Font Style17"/>
    <w:basedOn w:val="a1"/>
    <w:uiPriority w:val="99"/>
    <w:rsid w:val="00324483"/>
    <w:rPr>
      <w:rFonts w:ascii="Times New Roman" w:hAnsi="Times New Roman" w:cs="Times New Roman"/>
      <w:sz w:val="22"/>
      <w:szCs w:val="22"/>
    </w:rPr>
  </w:style>
  <w:style w:type="character" w:customStyle="1" w:styleId="FontStyle22">
    <w:name w:val="Font Style22"/>
    <w:basedOn w:val="a1"/>
    <w:uiPriority w:val="99"/>
    <w:rsid w:val="00324483"/>
    <w:rPr>
      <w:rFonts w:ascii="Times New Roman" w:hAnsi="Times New Roman" w:cs="Times New Roman"/>
      <w:spacing w:val="10"/>
      <w:sz w:val="24"/>
      <w:szCs w:val="24"/>
    </w:rPr>
  </w:style>
  <w:style w:type="numbering" w:customStyle="1" w:styleId="120">
    <w:name w:val="Нет списка12"/>
    <w:next w:val="a3"/>
    <w:uiPriority w:val="99"/>
    <w:semiHidden/>
    <w:rsid w:val="00324483"/>
  </w:style>
  <w:style w:type="numbering" w:customStyle="1" w:styleId="11">
    <w:name w:val="Стиль11"/>
    <w:rsid w:val="00324483"/>
    <w:pPr>
      <w:numPr>
        <w:numId w:val="18"/>
      </w:numPr>
    </w:pPr>
  </w:style>
  <w:style w:type="numbering" w:customStyle="1" w:styleId="213">
    <w:name w:val="Нет списка21"/>
    <w:next w:val="a3"/>
    <w:semiHidden/>
    <w:rsid w:val="00324483"/>
  </w:style>
  <w:style w:type="paragraph" w:customStyle="1" w:styleId="1a">
    <w:name w:val="Основной текст1"/>
    <w:basedOn w:val="a0"/>
    <w:rsid w:val="00324483"/>
    <w:pPr>
      <w:widowControl w:val="0"/>
      <w:snapToGrid w:val="0"/>
      <w:spacing w:before="0" w:after="0"/>
    </w:pPr>
    <w:rPr>
      <w:rFonts w:ascii="Times New Roman" w:eastAsia="Times New Roman" w:hAnsi="Times New Roman" w:cs="Times New Roman"/>
      <w:sz w:val="24"/>
      <w:szCs w:val="20"/>
      <w:lang w:eastAsia="ru-RU"/>
    </w:rPr>
  </w:style>
  <w:style w:type="numbering" w:customStyle="1" w:styleId="310">
    <w:name w:val="Нет списка31"/>
    <w:next w:val="a3"/>
    <w:uiPriority w:val="99"/>
    <w:semiHidden/>
    <w:unhideWhenUsed/>
    <w:rsid w:val="00324483"/>
  </w:style>
  <w:style w:type="numbering" w:customStyle="1" w:styleId="1111">
    <w:name w:val="Нет списка1111"/>
    <w:next w:val="a3"/>
    <w:uiPriority w:val="99"/>
    <w:semiHidden/>
    <w:unhideWhenUsed/>
    <w:rsid w:val="00324483"/>
  </w:style>
  <w:style w:type="character" w:customStyle="1" w:styleId="FontStyle52">
    <w:name w:val="Font Style52"/>
    <w:uiPriority w:val="99"/>
    <w:rsid w:val="00324483"/>
    <w:rPr>
      <w:rFonts w:ascii="Times New Roman" w:hAnsi="Times New Roman"/>
      <w:sz w:val="26"/>
    </w:rPr>
  </w:style>
  <w:style w:type="paragraph" w:customStyle="1" w:styleId="p4">
    <w:name w:val="p4"/>
    <w:basedOn w:val="a0"/>
    <w:uiPriority w:val="99"/>
    <w:rsid w:val="00324483"/>
    <w:pPr>
      <w:spacing w:before="100" w:beforeAutospacing="1" w:after="100" w:afterAutospacing="1"/>
      <w:jc w:val="left"/>
    </w:pPr>
    <w:rPr>
      <w:rFonts w:ascii="Times New Roman" w:eastAsia="Calibri" w:hAnsi="Times New Roman" w:cs="Times New Roman"/>
      <w:sz w:val="24"/>
      <w:szCs w:val="24"/>
      <w:lang w:eastAsia="ru-RU"/>
    </w:rPr>
  </w:style>
  <w:style w:type="character" w:styleId="afff5">
    <w:name w:val="Placeholder Text"/>
    <w:basedOn w:val="a1"/>
    <w:uiPriority w:val="99"/>
    <w:semiHidden/>
    <w:rsid w:val="00324483"/>
    <w:rPr>
      <w:color w:val="808080"/>
    </w:rPr>
  </w:style>
  <w:style w:type="paragraph" w:customStyle="1" w:styleId="Style9">
    <w:name w:val="Style9"/>
    <w:basedOn w:val="a0"/>
    <w:uiPriority w:val="99"/>
    <w:rsid w:val="00324483"/>
    <w:pPr>
      <w:widowControl w:val="0"/>
      <w:autoSpaceDE w:val="0"/>
      <w:autoSpaceDN w:val="0"/>
      <w:adjustRightInd w:val="0"/>
      <w:spacing w:before="0" w:after="0" w:line="420" w:lineRule="exact"/>
      <w:ind w:firstLine="706"/>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324483"/>
    <w:pPr>
      <w:widowControl w:val="0"/>
      <w:autoSpaceDE w:val="0"/>
      <w:autoSpaceDN w:val="0"/>
      <w:adjustRightInd w:val="0"/>
      <w:spacing w:before="0" w:after="0" w:line="421" w:lineRule="exact"/>
      <w:ind w:firstLine="706"/>
    </w:pPr>
    <w:rPr>
      <w:rFonts w:ascii="Times New Roman" w:eastAsia="Times New Roman" w:hAnsi="Times New Roman" w:cs="Times New Roman"/>
      <w:sz w:val="24"/>
      <w:szCs w:val="24"/>
      <w:lang w:eastAsia="ru-RU"/>
    </w:rPr>
  </w:style>
  <w:style w:type="character" w:customStyle="1" w:styleId="Bodytext0">
    <w:name w:val="Body text_"/>
    <w:basedOn w:val="a1"/>
    <w:link w:val="Bodytext1"/>
    <w:rsid w:val="00324483"/>
    <w:rPr>
      <w:sz w:val="28"/>
      <w:szCs w:val="28"/>
      <w:shd w:val="clear" w:color="auto" w:fill="FFFFFF"/>
    </w:rPr>
  </w:style>
  <w:style w:type="paragraph" w:customStyle="1" w:styleId="Bodytext1">
    <w:name w:val="Body text"/>
    <w:basedOn w:val="a0"/>
    <w:link w:val="Bodytext0"/>
    <w:rsid w:val="00324483"/>
    <w:pPr>
      <w:shd w:val="clear" w:color="auto" w:fill="FFFFFF"/>
      <w:spacing w:before="120" w:after="540" w:line="0" w:lineRule="atLeast"/>
      <w:jc w:val="center"/>
    </w:pPr>
    <w:rPr>
      <w:sz w:val="28"/>
      <w:szCs w:val="28"/>
    </w:rPr>
  </w:style>
  <w:style w:type="paragraph" w:customStyle="1" w:styleId="1b">
    <w:name w:val="Знак Знак Знак Знак Знак Знак1 Знак"/>
    <w:basedOn w:val="a0"/>
    <w:rsid w:val="00324483"/>
    <w:pPr>
      <w:spacing w:before="100" w:beforeAutospacing="1" w:after="100" w:afterAutospacing="1"/>
      <w:jc w:val="left"/>
    </w:pPr>
    <w:rPr>
      <w:rFonts w:ascii="Tahoma" w:eastAsia="Times New Roman" w:hAnsi="Tahoma" w:cs="Times New Roman"/>
      <w:sz w:val="20"/>
      <w:szCs w:val="20"/>
      <w:lang w:val="en-US"/>
    </w:rPr>
  </w:style>
  <w:style w:type="character" w:customStyle="1" w:styleId="39">
    <w:name w:val="Заголовок №3_"/>
    <w:link w:val="3a"/>
    <w:rsid w:val="00324483"/>
    <w:rPr>
      <w:b/>
      <w:bCs/>
      <w:sz w:val="28"/>
      <w:szCs w:val="28"/>
      <w:shd w:val="clear" w:color="auto" w:fill="FFFFFF"/>
    </w:rPr>
  </w:style>
  <w:style w:type="paragraph" w:customStyle="1" w:styleId="3a">
    <w:name w:val="Заголовок №3"/>
    <w:basedOn w:val="a0"/>
    <w:link w:val="39"/>
    <w:rsid w:val="00324483"/>
    <w:pPr>
      <w:widowControl w:val="0"/>
      <w:shd w:val="clear" w:color="auto" w:fill="FFFFFF"/>
      <w:spacing w:before="0" w:after="300" w:line="0" w:lineRule="atLeast"/>
      <w:jc w:val="left"/>
      <w:outlineLvl w:val="2"/>
    </w:pPr>
    <w:rPr>
      <w:b/>
      <w:bCs/>
      <w:sz w:val="28"/>
      <w:szCs w:val="28"/>
    </w:rPr>
  </w:style>
  <w:style w:type="paragraph" w:customStyle="1" w:styleId="Heading">
    <w:name w:val="Heading"/>
    <w:basedOn w:val="a0"/>
    <w:next w:val="aa"/>
    <w:qFormat/>
    <w:rsid w:val="00324483"/>
    <w:pPr>
      <w:spacing w:before="0" w:after="0"/>
      <w:jc w:val="center"/>
    </w:pPr>
    <w:rPr>
      <w:rFonts w:ascii="Times New Roman" w:eastAsia="Times New Roman" w:hAnsi="Times New Roman" w:cs="Times New Roman"/>
      <w:b/>
      <w:bCs/>
      <w:sz w:val="28"/>
      <w:szCs w:val="28"/>
      <w:lang w:eastAsia="zh-CN"/>
    </w:rPr>
  </w:style>
  <w:style w:type="numbering" w:customStyle="1" w:styleId="121">
    <w:name w:val="Стиль12"/>
    <w:rsid w:val="00BC233A"/>
  </w:style>
</w:styles>
</file>

<file path=word/webSettings.xml><?xml version="1.0" encoding="utf-8"?>
<w:webSettings xmlns:r="http://schemas.openxmlformats.org/officeDocument/2006/relationships" xmlns:w="http://schemas.openxmlformats.org/wordprocessingml/2006/main">
  <w:divs>
    <w:div w:id="762649211">
      <w:bodyDiv w:val="1"/>
      <w:marLeft w:val="0"/>
      <w:marRight w:val="0"/>
      <w:marTop w:val="0"/>
      <w:marBottom w:val="0"/>
      <w:divBdr>
        <w:top w:val="none" w:sz="0" w:space="0" w:color="auto"/>
        <w:left w:val="none" w:sz="0" w:space="0" w:color="auto"/>
        <w:bottom w:val="none" w:sz="0" w:space="0" w:color="auto"/>
        <w:right w:val="none" w:sz="0" w:space="0" w:color="auto"/>
      </w:divBdr>
    </w:div>
    <w:div w:id="1201938556">
      <w:bodyDiv w:val="1"/>
      <w:marLeft w:val="0"/>
      <w:marRight w:val="0"/>
      <w:marTop w:val="0"/>
      <w:marBottom w:val="0"/>
      <w:divBdr>
        <w:top w:val="none" w:sz="0" w:space="0" w:color="auto"/>
        <w:left w:val="none" w:sz="0" w:space="0" w:color="auto"/>
        <w:bottom w:val="none" w:sz="0" w:space="0" w:color="auto"/>
        <w:right w:val="none" w:sz="0" w:space="0" w:color="auto"/>
      </w:divBdr>
    </w:div>
    <w:div w:id="2021812728">
      <w:bodyDiv w:val="1"/>
      <w:marLeft w:val="0"/>
      <w:marRight w:val="0"/>
      <w:marTop w:val="0"/>
      <w:marBottom w:val="0"/>
      <w:divBdr>
        <w:top w:val="none" w:sz="0" w:space="0" w:color="auto"/>
        <w:left w:val="none" w:sz="0" w:space="0" w:color="auto"/>
        <w:bottom w:val="none" w:sz="0" w:space="0" w:color="auto"/>
        <w:right w:val="none" w:sz="0" w:space="0" w:color="auto"/>
      </w:divBdr>
    </w:div>
    <w:div w:id="21347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consultantplus://offline/ref=055659F32DDF0533C8B548EEE32074D4453E2BA20A465A793D66670B59BC703478EB1BFC133B628C39659A5823322BF555AD8FB1B2E4LEZ3K" TargetMode="External"/><Relationship Id="rId21" Type="http://schemas.openxmlformats.org/officeDocument/2006/relationships/chart" Target="charts/chart14.xml"/><Relationship Id="rId42" Type="http://schemas.openxmlformats.org/officeDocument/2006/relationships/image" Target="media/image16.png"/><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chart" Target="charts/chart43.xml"/><Relationship Id="rId84" Type="http://schemas.openxmlformats.org/officeDocument/2006/relationships/chart" Target="charts/chart59.xml"/><Relationship Id="rId89" Type="http://schemas.openxmlformats.org/officeDocument/2006/relationships/chart" Target="charts/chart64.xml"/><Relationship Id="rId112" Type="http://schemas.openxmlformats.org/officeDocument/2006/relationships/hyperlink" Target="consultantplus://offline/ref=F74370ED957DBAEC6C8BD9E0ACB5ACC95FF6DAD26848485B2102AAFECEEA11322E072DB3B7C6AB55D76AE694BB70hAK" TargetMode="External"/><Relationship Id="rId16" Type="http://schemas.openxmlformats.org/officeDocument/2006/relationships/chart" Target="charts/chart9.xml"/><Relationship Id="rId107" Type="http://schemas.openxmlformats.org/officeDocument/2006/relationships/chart" Target="charts/chart81.xml"/><Relationship Id="rId11" Type="http://schemas.openxmlformats.org/officeDocument/2006/relationships/chart" Target="charts/chart4.xml"/><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9.xml"/><Relationship Id="rId79" Type="http://schemas.openxmlformats.org/officeDocument/2006/relationships/chart" Target="charts/chart54.xml"/><Relationship Id="rId102" Type="http://schemas.openxmlformats.org/officeDocument/2006/relationships/chart" Target="charts/chart76.xml"/><Relationship Id="rId123" Type="http://schemas.openxmlformats.org/officeDocument/2006/relationships/header" Target="head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65.xml"/><Relationship Id="rId95" Type="http://schemas.openxmlformats.org/officeDocument/2006/relationships/chart" Target="charts/chart70.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77" Type="http://schemas.openxmlformats.org/officeDocument/2006/relationships/chart" Target="charts/chart52.xml"/><Relationship Id="rId100" Type="http://schemas.openxmlformats.org/officeDocument/2006/relationships/chart" Target="charts/chart74.xml"/><Relationship Id="rId105" Type="http://schemas.openxmlformats.org/officeDocument/2006/relationships/chart" Target="charts/chart79.xml"/><Relationship Id="rId113" Type="http://schemas.openxmlformats.org/officeDocument/2006/relationships/hyperlink" Target="consultantplus://offline/ref=F74370ED957DBAEC6C8BD9E0ACB5ACC95FF6DAD26848485B2102AAFECEEA11322E072DB3B7C6AB55D76AE694BB70hAK" TargetMode="External"/><Relationship Id="rId118" Type="http://schemas.openxmlformats.org/officeDocument/2006/relationships/hyperlink" Target="consultantplus://offline/main?base=LAW;n=115639;fld=134;dst=100055" TargetMode="External"/><Relationship Id="rId126"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chart" Target="charts/chart26.xml"/><Relationship Id="rId72" Type="http://schemas.openxmlformats.org/officeDocument/2006/relationships/chart" Target="charts/chart47.xml"/><Relationship Id="rId80" Type="http://schemas.openxmlformats.org/officeDocument/2006/relationships/chart" Target="charts/chart55.xml"/><Relationship Id="rId85" Type="http://schemas.openxmlformats.org/officeDocument/2006/relationships/chart" Target="charts/chart60.xml"/><Relationship Id="rId93" Type="http://schemas.openxmlformats.org/officeDocument/2006/relationships/chart" Target="charts/chart68.xml"/><Relationship Id="rId98" Type="http://schemas.openxmlformats.org/officeDocument/2006/relationships/chart" Target="charts/chart72.xml"/><Relationship Id="rId121" Type="http://schemas.openxmlformats.org/officeDocument/2006/relationships/hyperlink" Target="consultantplus://offline/ref=3C4E79CC8339BD7FE842B42EB3708FD5526220410CCDE0269BDB0C51970CEC7914745FBD0F14D9A20A43336CECF27FE962D4E5F26129861Ex6k0K"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chart" Target="charts/chart18.xml"/><Relationship Id="rId46" Type="http://schemas.openxmlformats.org/officeDocument/2006/relationships/image" Target="media/image18.png"/><Relationship Id="rId59" Type="http://schemas.openxmlformats.org/officeDocument/2006/relationships/chart" Target="charts/chart34.xml"/><Relationship Id="rId67" Type="http://schemas.openxmlformats.org/officeDocument/2006/relationships/chart" Target="charts/chart42.xml"/><Relationship Id="rId103" Type="http://schemas.openxmlformats.org/officeDocument/2006/relationships/chart" Target="charts/chart77.xml"/><Relationship Id="rId108" Type="http://schemas.openxmlformats.org/officeDocument/2006/relationships/chart" Target="charts/chart82.xml"/><Relationship Id="rId116" Type="http://schemas.openxmlformats.org/officeDocument/2006/relationships/hyperlink" Target="consultantplus://offline/ref=055659F32DDF0533C8B548EEE32074D445392BA40C445A793D66670B59BC703478EB1BF6113B6AD33C708B002E3730EB57B193B3B0LEZ6K" TargetMode="External"/><Relationship Id="rId124" Type="http://schemas.openxmlformats.org/officeDocument/2006/relationships/footer" Target="footer1.xml"/><Relationship Id="rId20" Type="http://schemas.openxmlformats.org/officeDocument/2006/relationships/chart" Target="charts/chart13.xml"/><Relationship Id="rId41" Type="http://schemas.openxmlformats.org/officeDocument/2006/relationships/chart" Target="charts/chart19.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chart" Target="charts/chart58.xml"/><Relationship Id="rId88" Type="http://schemas.openxmlformats.org/officeDocument/2006/relationships/chart" Target="charts/chart63.xml"/><Relationship Id="rId91" Type="http://schemas.openxmlformats.org/officeDocument/2006/relationships/chart" Target="charts/chart66.xml"/><Relationship Id="rId96" Type="http://schemas.openxmlformats.org/officeDocument/2006/relationships/hyperlink" Target="consultantplus://offline/ref=06BC20474DB760565093CB1E531772BECCA6AEB227B5FEEBB9FC45C6CA7BF9DC58B5892BBB0EB1F41994073B313A4BABCE3644B838B3007Ef7T2N" TargetMode="External"/><Relationship Id="rId111" Type="http://schemas.openxmlformats.org/officeDocument/2006/relationships/chart" Target="charts/chart8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chart" Target="charts/chart24.xml"/><Relationship Id="rId57" Type="http://schemas.openxmlformats.org/officeDocument/2006/relationships/chart" Target="charts/chart32.xml"/><Relationship Id="rId106" Type="http://schemas.openxmlformats.org/officeDocument/2006/relationships/chart" Target="charts/chart80.xml"/><Relationship Id="rId114" Type="http://schemas.openxmlformats.org/officeDocument/2006/relationships/hyperlink" Target="consultantplus://offline/ref=3C4E79CC8339BD7FE842B42EB3708FD5526124460AC6E0269BDB0C51970CEC7914745FBD0F14DBA40643336CECF27FE962D4E5F26129861Ex6k0K" TargetMode="External"/><Relationship Id="rId119" Type="http://schemas.openxmlformats.org/officeDocument/2006/relationships/hyperlink" Target="consultantplus://offline/ref=366ED68D53390490D231229B412B2DD88CF6A0C29498D5A2B46B7D420BAB4621733D1F1DEF2D7C5FG" TargetMode="External"/><Relationship Id="rId12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image" Target="media/image8.png"/><Relationship Id="rId44" Type="http://schemas.openxmlformats.org/officeDocument/2006/relationships/chart" Target="charts/chart20.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chart" Target="charts/chart48.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chart" Target="charts/chart61.xml"/><Relationship Id="rId94" Type="http://schemas.openxmlformats.org/officeDocument/2006/relationships/chart" Target="charts/chart69.xml"/><Relationship Id="rId99" Type="http://schemas.openxmlformats.org/officeDocument/2006/relationships/chart" Target="charts/chart73.xml"/><Relationship Id="rId101" Type="http://schemas.openxmlformats.org/officeDocument/2006/relationships/chart" Target="charts/chart75.xml"/><Relationship Id="rId122" Type="http://schemas.openxmlformats.org/officeDocument/2006/relationships/chart" Target="charts/chart86.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image" Target="media/image14.png"/><Relationship Id="rId109" Type="http://schemas.openxmlformats.org/officeDocument/2006/relationships/chart" Target="charts/chart83.xml"/><Relationship Id="rId34" Type="http://schemas.openxmlformats.org/officeDocument/2006/relationships/chart" Target="charts/chart17.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51.xml"/><Relationship Id="rId97" Type="http://schemas.openxmlformats.org/officeDocument/2006/relationships/chart" Target="charts/chart71.xml"/><Relationship Id="rId104" Type="http://schemas.openxmlformats.org/officeDocument/2006/relationships/chart" Target="charts/chart78.xml"/><Relationship Id="rId120" Type="http://schemas.openxmlformats.org/officeDocument/2006/relationships/hyperlink" Target="consultantplus://offline/ref=366ED68D53390490D231229B412B2DD88CF6A0C29498D5A2B46B7D420BAB4621733D1F12EA7253G"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chart" Target="charts/chart46.xml"/><Relationship Id="rId92" Type="http://schemas.openxmlformats.org/officeDocument/2006/relationships/chart" Target="charts/chart67.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image" Target="media/image2.png"/><Relationship Id="rId40" Type="http://schemas.openxmlformats.org/officeDocument/2006/relationships/image" Target="media/image15.png"/><Relationship Id="rId45" Type="http://schemas.openxmlformats.org/officeDocument/2006/relationships/chart" Target="charts/chart21.xml"/><Relationship Id="rId66" Type="http://schemas.openxmlformats.org/officeDocument/2006/relationships/chart" Target="charts/chart41.xml"/><Relationship Id="rId87" Type="http://schemas.openxmlformats.org/officeDocument/2006/relationships/chart" Target="charts/chart62.xml"/><Relationship Id="rId110" Type="http://schemas.openxmlformats.org/officeDocument/2006/relationships/chart" Target="charts/chart84.xml"/><Relationship Id="rId115" Type="http://schemas.openxmlformats.org/officeDocument/2006/relationships/hyperlink" Target="consultantplus://offline/ref=3C4E79CC8339BD7FE842B42EB3708FD5526220410CCDE0269BDB0C51970CEC7914745FBD0F14D9A20A43336CECF27FE962D4E5F26129861Ex6k0K" TargetMode="External"/><Relationship Id="rId61" Type="http://schemas.openxmlformats.org/officeDocument/2006/relationships/chart" Target="charts/chart36.xml"/><Relationship Id="rId82" Type="http://schemas.openxmlformats.org/officeDocument/2006/relationships/chart" Target="charts/chart5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40.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4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42.xml"/></Relationships>
</file>

<file path=word/charts/_rels/chart51.xml.rels><?xml version="1.0" encoding="UTF-8" standalone="yes"?>
<Relationships xmlns="http://schemas.openxmlformats.org/package/2006/relationships"><Relationship Id="rId1" Type="http://schemas.openxmlformats.org/officeDocument/2006/relationships/oleObject" Target="&#1050;&#1085;&#1080;&#1075;&#1072;22" TargetMode="Externa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43.xml"/></Relationships>
</file>

<file path=word/charts/_rels/chart53.xml.rels><?xml version="1.0" encoding="UTF-8" standalone="yes"?>
<Relationships xmlns="http://schemas.openxmlformats.org/package/2006/relationships"><Relationship Id="rId1" Type="http://schemas.openxmlformats.org/officeDocument/2006/relationships/oleObject" Target="&#1050;&#1085;&#1080;&#1075;&#1072;28" TargetMode="Externa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7.xml"/></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8.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9.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50.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51.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52.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53.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54.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5.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6.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7.xml"/></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8.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9.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60.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61.xml"/></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62.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63.xml"/></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Office_Excel78.xlsx"/><Relationship Id="rId1" Type="http://schemas.openxmlformats.org/officeDocument/2006/relationships/themeOverride" Target="../theme/themeOverride64.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Office_Excel79.xlsx"/><Relationship Id="rId1" Type="http://schemas.openxmlformats.org/officeDocument/2006/relationships/themeOverride" Target="../theme/themeOverride65.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Office_Excel80.xlsx"/><Relationship Id="rId1" Type="http://schemas.openxmlformats.org/officeDocument/2006/relationships/themeOverride" Target="../theme/themeOverride66.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Office_Excel81.xlsx"/><Relationship Id="rId1" Type="http://schemas.openxmlformats.org/officeDocument/2006/relationships/themeOverride" Target="../theme/themeOverride67.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Office_Excel82.xlsx"/><Relationship Id="rId1" Type="http://schemas.openxmlformats.org/officeDocument/2006/relationships/themeOverride" Target="../theme/themeOverride68.xml"/></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2929543452902803E-2"/>
          <c:y val="3.0083587516915873E-2"/>
          <c:w val="0.93707045654711563"/>
          <c:h val="0.69084728689694652"/>
        </c:manualLayout>
      </c:layout>
      <c:barChart>
        <c:barDir val="col"/>
        <c:grouping val="clustered"/>
        <c:ser>
          <c:idx val="0"/>
          <c:order val="0"/>
          <c:tx>
            <c:strRef>
              <c:f>Лист1!$B$1</c:f>
              <c:strCache>
                <c:ptCount val="1"/>
                <c:pt idx="0">
                  <c:v>Доля проб атмосферного воздуха, превышающих ПДК в городских поселениях</c:v>
                </c:pt>
              </c:strCache>
            </c:strRef>
          </c:tx>
          <c:spPr>
            <a:solidFill>
              <a:srgbClr val="1F497D">
                <a:lumMod val="60000"/>
                <a:lumOff val="40000"/>
              </a:srgbClr>
            </a:solidFill>
          </c:spPr>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Лист1!$B$2:$B$8</c:f>
              <c:numCache>
                <c:formatCode>General</c:formatCode>
                <c:ptCount val="7"/>
                <c:pt idx="0">
                  <c:v>0.30000000000000032</c:v>
                </c:pt>
                <c:pt idx="1">
                  <c:v>0.1</c:v>
                </c:pt>
                <c:pt idx="2">
                  <c:v>1.000000000000007E-2</c:v>
                </c:pt>
                <c:pt idx="3">
                  <c:v>0</c:v>
                </c:pt>
                <c:pt idx="4">
                  <c:v>2.0000000000000052E-2</c:v>
                </c:pt>
                <c:pt idx="5">
                  <c:v>1.2</c:v>
                </c:pt>
                <c:pt idx="6">
                  <c:v>1.45</c:v>
                </c:pt>
              </c:numCache>
            </c:numRef>
          </c:val>
        </c:ser>
        <c:ser>
          <c:idx val="1"/>
          <c:order val="1"/>
          <c:tx>
            <c:strRef>
              <c:f>Лист1!$C$1</c:f>
              <c:strCache>
                <c:ptCount val="1"/>
                <c:pt idx="0">
                  <c:v>Доля проб атмосферного воздуха, превышающих ПДК в сельских поселениях</c:v>
                </c:pt>
              </c:strCache>
            </c:strRef>
          </c:tx>
          <c:spPr>
            <a:solidFill>
              <a:srgbClr val="1F497D">
                <a:lumMod val="20000"/>
                <a:lumOff val="80000"/>
              </a:srgbClr>
            </a:solidFill>
          </c:spPr>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Лист1!$C$2:$C$8</c:f>
              <c:numCache>
                <c:formatCode>General</c:formatCode>
                <c:ptCount val="7"/>
                <c:pt idx="0">
                  <c:v>0.70000000000000062</c:v>
                </c:pt>
                <c:pt idx="1">
                  <c:v>0</c:v>
                </c:pt>
                <c:pt idx="2">
                  <c:v>0</c:v>
                </c:pt>
                <c:pt idx="3">
                  <c:v>0.67000000000000526</c:v>
                </c:pt>
                <c:pt idx="4">
                  <c:v>0</c:v>
                </c:pt>
                <c:pt idx="5">
                  <c:v>0</c:v>
                </c:pt>
                <c:pt idx="6">
                  <c:v>0</c:v>
                </c:pt>
              </c:numCache>
            </c:numRef>
          </c:val>
        </c:ser>
        <c:axId val="181121792"/>
        <c:axId val="181124096"/>
      </c:barChart>
      <c:catAx>
        <c:axId val="181121792"/>
        <c:scaling>
          <c:orientation val="minMax"/>
        </c:scaling>
        <c:axPos val="b"/>
        <c:numFmt formatCode="General" sourceLinked="1"/>
        <c:tickLblPos val="nextTo"/>
        <c:txPr>
          <a:bodyPr/>
          <a:lstStyle/>
          <a:p>
            <a:pPr>
              <a:defRPr sz="900" b="1" i="0" baseline="0">
                <a:latin typeface="Arial" pitchFamily="34" charset="0"/>
              </a:defRPr>
            </a:pPr>
            <a:endParaRPr lang="ru-RU"/>
          </a:p>
        </c:txPr>
        <c:crossAx val="181124096"/>
        <c:crosses val="autoZero"/>
        <c:auto val="1"/>
        <c:lblAlgn val="ctr"/>
        <c:lblOffset val="100"/>
      </c:catAx>
      <c:valAx>
        <c:axId val="181124096"/>
        <c:scaling>
          <c:orientation val="minMax"/>
          <c:min val="0"/>
        </c:scaling>
        <c:axPos val="l"/>
        <c:majorGridlines>
          <c:spPr>
            <a:ln>
              <a:solidFill>
                <a:sysClr val="window" lastClr="FFFFFF">
                  <a:lumMod val="75000"/>
                </a:sysClr>
              </a:solidFill>
            </a:ln>
          </c:spPr>
        </c:majorGridlines>
        <c:numFmt formatCode="General" sourceLinked="1"/>
        <c:tickLblPos val="nextTo"/>
        <c:txPr>
          <a:bodyPr/>
          <a:lstStyle/>
          <a:p>
            <a:pPr>
              <a:defRPr sz="900" b="1" i="0" baseline="0">
                <a:latin typeface="Arial" pitchFamily="34" charset="0"/>
              </a:defRPr>
            </a:pPr>
            <a:endParaRPr lang="ru-RU"/>
          </a:p>
        </c:txPr>
        <c:crossAx val="181121792"/>
        <c:crosses val="autoZero"/>
        <c:crossBetween val="between"/>
      </c:valAx>
    </c:plotArea>
    <c:legend>
      <c:legendPos val="b"/>
      <c:layout>
        <c:manualLayout>
          <c:xMode val="edge"/>
          <c:yMode val="edge"/>
          <c:x val="3.6274893977469858E-2"/>
          <c:y val="0.87666158475236156"/>
          <c:w val="0.90090385561461261"/>
          <c:h val="0.10040854566502451"/>
        </c:manualLayout>
      </c:layout>
      <c:spPr>
        <a:solidFill>
          <a:schemeClr val="lt1"/>
        </a:solidFill>
        <a:ln w="24619" cap="flat" cmpd="sng" algn="ctr">
          <a:noFill/>
          <a:prstDash val="solid"/>
        </a:ln>
        <a:effectLst/>
      </c:spPr>
      <c:txPr>
        <a:bodyPr/>
        <a:lstStyle/>
        <a:p>
          <a:pPr>
            <a:defRPr sz="900" baseline="0">
              <a:solidFill>
                <a:schemeClr val="dk1"/>
              </a:solidFill>
              <a:latin typeface="Arial" pitchFamily="34" charset="0"/>
              <a:ea typeface="+mn-ea"/>
              <a:cs typeface="+mn-cs"/>
            </a:defRPr>
          </a:pPr>
          <a:endParaRPr lang="ru-RU"/>
        </a:p>
      </c:txPr>
    </c:legend>
    <c:plotVisOnly val="1"/>
    <c:dispBlanksAs val="gap"/>
  </c:chart>
  <c:spPr>
    <a:ln w="6342" cap="flat" cmpd="sng" algn="ctr">
      <a:noFill/>
      <a:prstDash val="solid"/>
      <a:miter lim="800000"/>
      <a:headEnd type="none" w="med" len="med"/>
      <a:tailEnd type="none" w="med" len="med"/>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5747115417391011E-2"/>
          <c:y val="4.7629357003680449E-2"/>
          <c:w val="0.94425288458260859"/>
          <c:h val="0.58549591362962361"/>
        </c:manualLayout>
      </c:layout>
      <c:lineChart>
        <c:grouping val="standard"/>
        <c:ser>
          <c:idx val="0"/>
          <c:order val="0"/>
          <c:tx>
            <c:strRef>
              <c:f>Лист1!$B$1</c:f>
              <c:strCache>
                <c:ptCount val="1"/>
                <c:pt idx="0">
                  <c:v>Показатель смертности от болезней системы кровообращения</c:v>
                </c:pt>
              </c:strCache>
            </c:strRef>
          </c:tx>
          <c:spPr>
            <a:ln w="31750">
              <a:solidFill>
                <a:srgbClr val="3276C8"/>
              </a:solidFill>
            </a:ln>
          </c:spPr>
          <c:marker>
            <c:symbol val="none"/>
          </c:marker>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10.4</c:v>
                </c:pt>
                <c:pt idx="1">
                  <c:v>10.4</c:v>
                </c:pt>
                <c:pt idx="2">
                  <c:v>9</c:v>
                </c:pt>
                <c:pt idx="3">
                  <c:v>7.8</c:v>
                </c:pt>
                <c:pt idx="4">
                  <c:v>8.3000000000000007</c:v>
                </c:pt>
                <c:pt idx="5">
                  <c:v>8.1</c:v>
                </c:pt>
                <c:pt idx="6">
                  <c:v>7.5</c:v>
                </c:pt>
                <c:pt idx="7">
                  <c:v>7.4</c:v>
                </c:pt>
                <c:pt idx="8">
                  <c:v>7</c:v>
                </c:pt>
                <c:pt idx="9">
                  <c:v>7.3</c:v>
                </c:pt>
              </c:numCache>
            </c:numRef>
          </c:val>
        </c:ser>
        <c:ser>
          <c:idx val="1"/>
          <c:order val="1"/>
          <c:tx>
            <c:strRef>
              <c:f>Лист1!$C$1</c:f>
              <c:strCache>
                <c:ptCount val="1"/>
                <c:pt idx="0">
                  <c:v>Показатель смертности от новообразований</c:v>
                </c:pt>
              </c:strCache>
            </c:strRef>
          </c:tx>
          <c:spPr>
            <a:ln w="31750">
              <a:solidFill>
                <a:srgbClr val="3276C8"/>
              </a:solidFill>
              <a:prstDash val="lgDash"/>
            </a:ln>
          </c:spPr>
          <c:marker>
            <c:symbol val="none"/>
          </c:marker>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2.1</c:v>
                </c:pt>
                <c:pt idx="1">
                  <c:v>2</c:v>
                </c:pt>
                <c:pt idx="2">
                  <c:v>2.1</c:v>
                </c:pt>
                <c:pt idx="3">
                  <c:v>2.2000000000000002</c:v>
                </c:pt>
                <c:pt idx="4">
                  <c:v>2.4</c:v>
                </c:pt>
                <c:pt idx="5">
                  <c:v>2.4</c:v>
                </c:pt>
                <c:pt idx="6">
                  <c:v>2.4</c:v>
                </c:pt>
                <c:pt idx="7">
                  <c:v>2.5</c:v>
                </c:pt>
                <c:pt idx="8">
                  <c:v>2.4</c:v>
                </c:pt>
                <c:pt idx="9">
                  <c:v>2.6</c:v>
                </c:pt>
              </c:numCache>
            </c:numRef>
          </c:val>
        </c:ser>
        <c:ser>
          <c:idx val="2"/>
          <c:order val="2"/>
          <c:tx>
            <c:strRef>
              <c:f>Лист1!$D$1</c:f>
              <c:strCache>
                <c:ptCount val="1"/>
                <c:pt idx="0">
                  <c:v>Показатель смертности от травм, отравлений и некоторых других последствий воздействия внешних причин</c:v>
                </c:pt>
              </c:strCache>
            </c:strRef>
          </c:tx>
          <c:spPr>
            <a:ln w="31750">
              <a:solidFill>
                <a:srgbClr val="3276C8"/>
              </a:solidFill>
              <a:prstDash val="sysDash"/>
            </a:ln>
          </c:spPr>
          <c:marker>
            <c:symbol val="none"/>
          </c:marker>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Лист1!$D$2:$D$11</c:f>
              <c:numCache>
                <c:formatCode>General</c:formatCode>
                <c:ptCount val="10"/>
                <c:pt idx="0">
                  <c:v>1.7</c:v>
                </c:pt>
                <c:pt idx="1">
                  <c:v>1.7</c:v>
                </c:pt>
                <c:pt idx="2">
                  <c:v>1.7</c:v>
                </c:pt>
                <c:pt idx="3">
                  <c:v>1.7</c:v>
                </c:pt>
                <c:pt idx="4">
                  <c:v>1.5</c:v>
                </c:pt>
                <c:pt idx="5">
                  <c:v>1.4</c:v>
                </c:pt>
                <c:pt idx="6">
                  <c:v>1.3</c:v>
                </c:pt>
                <c:pt idx="7">
                  <c:v>1.1000000000000001</c:v>
                </c:pt>
                <c:pt idx="8">
                  <c:v>1</c:v>
                </c:pt>
                <c:pt idx="9">
                  <c:v>1.2</c:v>
                </c:pt>
              </c:numCache>
            </c:numRef>
          </c:val>
        </c:ser>
        <c:marker val="1"/>
        <c:axId val="162206464"/>
        <c:axId val="162208000"/>
      </c:lineChart>
      <c:catAx>
        <c:axId val="162206464"/>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62208000"/>
        <c:crosses val="autoZero"/>
        <c:auto val="1"/>
        <c:lblAlgn val="ctr"/>
        <c:lblOffset val="100"/>
      </c:catAx>
      <c:valAx>
        <c:axId val="162208000"/>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62206464"/>
        <c:crosses val="autoZero"/>
        <c:crossBetween val="between"/>
      </c:valAx>
    </c:plotArea>
    <c:legend>
      <c:legendPos val="b"/>
      <c:legendEntry>
        <c:idx val="1"/>
        <c:txPr>
          <a:bodyPr/>
          <a:lstStyle/>
          <a:p>
            <a:pPr algn="just">
              <a:defRPr sz="850" baseline="0">
                <a:latin typeface="Arial" pitchFamily="34" charset="0"/>
              </a:defRPr>
            </a:pPr>
            <a:endParaRPr lang="ru-RU"/>
          </a:p>
        </c:txPr>
      </c:legendEntry>
      <c:layout>
        <c:manualLayout>
          <c:xMode val="edge"/>
          <c:yMode val="edge"/>
          <c:x val="0.11012894907084082"/>
          <c:y val="0.74675616582932658"/>
          <c:w val="0.7797421018583186"/>
          <c:h val="0.20462101800990387"/>
        </c:manualLayout>
      </c:layout>
      <c:txPr>
        <a:bodyPr/>
        <a:lstStyle/>
        <a:p>
          <a:pPr>
            <a:defRPr sz="850" baseline="0">
              <a:latin typeface="Arial" pitchFamily="34" charset="0"/>
            </a:defRPr>
          </a:pPr>
          <a:endParaRPr lang="ru-RU"/>
        </a:p>
      </c:txPr>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716396702337518E-2"/>
          <c:y val="9.8130841121500764E-2"/>
          <c:w val="0.91294705025420964"/>
          <c:h val="0.65092382272547766"/>
        </c:manualLayout>
      </c:layout>
      <c:barChart>
        <c:barDir val="col"/>
        <c:grouping val="clustered"/>
        <c:ser>
          <c:idx val="0"/>
          <c:order val="0"/>
          <c:tx>
            <c:strRef>
              <c:f>Sheet1!$A$2</c:f>
              <c:strCache>
                <c:ptCount val="1"/>
                <c:pt idx="0">
                  <c:v>родившиеся</c:v>
                </c:pt>
              </c:strCache>
            </c:strRef>
          </c:tx>
          <c:spPr>
            <a:solidFill>
              <a:srgbClr val="E37D93"/>
            </a:solidFill>
            <a:ln>
              <a:solidFill>
                <a:schemeClr val="tx1"/>
              </a:solidFill>
            </a:ln>
          </c:spPr>
          <c:dLbls>
            <c:dLbl>
              <c:idx val="0"/>
              <c:layout>
                <c:manualLayout>
                  <c:x val="-9.4801123911798547E-3"/>
                  <c:y val="1.2223533004461887E-2"/>
                </c:manualLayout>
              </c:layout>
              <c:dLblPos val="outEnd"/>
              <c:showVal val="1"/>
            </c:dLbl>
            <c:dLbl>
              <c:idx val="1"/>
              <c:layout>
                <c:manualLayout>
                  <c:x val="-1.1851773864645363E-2"/>
                  <c:y val="1.222353300446192E-2"/>
                </c:manualLayout>
              </c:layout>
              <c:tx>
                <c:rich>
                  <a:bodyPr/>
                  <a:lstStyle/>
                  <a:p>
                    <a:r>
                      <a:rPr lang="en-US"/>
                      <a:t>11</a:t>
                    </a:r>
                    <a:r>
                      <a:rPr lang="ru-RU"/>
                      <a:t>,0</a:t>
                    </a:r>
                    <a:endParaRPr lang="en-US"/>
                  </a:p>
                </c:rich>
              </c:tx>
              <c:dLblPos val="outEnd"/>
              <c:showVal val="1"/>
            </c:dLbl>
            <c:dLbl>
              <c:idx val="2"/>
              <c:layout>
                <c:manualLayout>
                  <c:x val="-1.1850840507119285E-2"/>
                  <c:y val="1.2223533004461887E-2"/>
                </c:manualLayout>
              </c:layout>
              <c:dLblPos val="outEnd"/>
              <c:showVal val="1"/>
            </c:dLbl>
            <c:dLbl>
              <c:idx val="3"/>
              <c:layout>
                <c:manualLayout>
                  <c:x val="-1.1850840507119285E-2"/>
                  <c:y val="1.6297851762159483E-2"/>
                </c:manualLayout>
              </c:layout>
              <c:dLblPos val="outEnd"/>
              <c:showVal val="1"/>
            </c:dLbl>
            <c:dLbl>
              <c:idx val="4"/>
              <c:delete val="1"/>
            </c:dLbl>
            <c:dLbl>
              <c:idx val="5"/>
              <c:layout>
                <c:manualLayout>
                  <c:x val="-7.1112509902924465E-3"/>
                  <c:y val="8.1492142467643226E-3"/>
                </c:manualLayout>
              </c:layout>
              <c:dLblPos val="outEnd"/>
              <c:showVal val="1"/>
            </c:dLbl>
            <c:dLbl>
              <c:idx val="6"/>
              <c:layout>
                <c:manualLayout>
                  <c:x val="-4.7414562318787833E-3"/>
                  <c:y val="0"/>
                </c:manualLayout>
              </c:layout>
              <c:dLblPos val="outEnd"/>
              <c:showVal val="1"/>
            </c:dLbl>
            <c:dLbl>
              <c:idx val="7"/>
              <c:layout>
                <c:manualLayout>
                  <c:x val="-7.1121843478182132E-3"/>
                  <c:y val="1.0986732583217289E-2"/>
                </c:manualLayout>
              </c:layout>
              <c:dLblPos val="outEnd"/>
              <c:showVal val="1"/>
            </c:dLbl>
            <c:dLbl>
              <c:idx val="8"/>
              <c:layout>
                <c:manualLayout>
                  <c:x val="-9.6942587279338459E-3"/>
                  <c:y val="1.3052205051854253E-2"/>
                </c:manualLayout>
              </c:layout>
              <c:tx>
                <c:rich>
                  <a:bodyPr/>
                  <a:lstStyle/>
                  <a:p>
                    <a:r>
                      <a:rPr lang="en-US"/>
                      <a:t>8</a:t>
                    </a:r>
                    <a:r>
                      <a:rPr lang="ru-RU"/>
                      <a:t>,0</a:t>
                    </a:r>
                    <a:endParaRPr lang="en-US"/>
                  </a:p>
                </c:rich>
              </c:tx>
              <c:dLblPos val="outEnd"/>
              <c:showVal val="1"/>
            </c:dLbl>
            <c:dLblPos val="outEnd"/>
            <c:showVal val="1"/>
          </c:dLbls>
          <c:cat>
            <c:numRef>
              <c:f>Sheet1!$B$1:$J$1</c:f>
              <c:numCache>
                <c:formatCode>General</c:formatCode>
                <c:ptCount val="9"/>
                <c:pt idx="0">
                  <c:v>2013</c:v>
                </c:pt>
                <c:pt idx="1">
                  <c:v>2014</c:v>
                </c:pt>
                <c:pt idx="2">
                  <c:v>2015</c:v>
                </c:pt>
                <c:pt idx="3">
                  <c:v>2016</c:v>
                </c:pt>
                <c:pt idx="4">
                  <c:v>2016</c:v>
                </c:pt>
                <c:pt idx="5">
                  <c:v>2017</c:v>
                </c:pt>
                <c:pt idx="6">
                  <c:v>2018</c:v>
                </c:pt>
                <c:pt idx="7">
                  <c:v>2019</c:v>
                </c:pt>
                <c:pt idx="8">
                  <c:v>2020</c:v>
                </c:pt>
              </c:numCache>
            </c:numRef>
          </c:cat>
          <c:val>
            <c:numRef>
              <c:f>Sheet1!$B$2:$J$2</c:f>
              <c:numCache>
                <c:formatCode>General</c:formatCode>
                <c:ptCount val="9"/>
                <c:pt idx="0">
                  <c:v>11.1</c:v>
                </c:pt>
                <c:pt idx="1">
                  <c:v>11</c:v>
                </c:pt>
                <c:pt idx="2">
                  <c:v>11.4</c:v>
                </c:pt>
                <c:pt idx="3">
                  <c:v>10.9</c:v>
                </c:pt>
                <c:pt idx="4">
                  <c:v>10.9</c:v>
                </c:pt>
                <c:pt idx="5">
                  <c:v>9.5</c:v>
                </c:pt>
                <c:pt idx="6">
                  <c:v>9.2000000000000011</c:v>
                </c:pt>
                <c:pt idx="7">
                  <c:v>8.3000000000000007</c:v>
                </c:pt>
                <c:pt idx="8">
                  <c:v>8</c:v>
                </c:pt>
              </c:numCache>
            </c:numRef>
          </c:val>
        </c:ser>
        <c:ser>
          <c:idx val="1"/>
          <c:order val="1"/>
          <c:tx>
            <c:strRef>
              <c:f>Sheet1!$A$3</c:f>
              <c:strCache>
                <c:ptCount val="1"/>
                <c:pt idx="0">
                  <c:v>умершие</c:v>
                </c:pt>
              </c:strCache>
            </c:strRef>
          </c:tx>
          <c:spPr>
            <a:solidFill>
              <a:schemeClr val="bg1">
                <a:lumMod val="65000"/>
              </a:schemeClr>
            </a:solidFill>
            <a:ln w="12681">
              <a:solidFill>
                <a:srgbClr val="000000"/>
              </a:solidFill>
              <a:prstDash val="solid"/>
            </a:ln>
          </c:spPr>
          <c:dLbls>
            <c:dLbl>
              <c:idx val="0"/>
              <c:layout>
                <c:manualLayout>
                  <c:x val="0"/>
                  <c:y val="8.1490937662319976E-3"/>
                </c:manualLayout>
              </c:layout>
              <c:dLblPos val="outEnd"/>
              <c:showVal val="1"/>
            </c:dLbl>
            <c:dLbl>
              <c:idx val="1"/>
              <c:tx>
                <c:rich>
                  <a:bodyPr/>
                  <a:lstStyle/>
                  <a:p>
                    <a:r>
                      <a:rPr lang="en-US"/>
                      <a:t>16</a:t>
                    </a:r>
                    <a:r>
                      <a:rPr lang="ru-RU"/>
                      <a:t>,0</a:t>
                    </a:r>
                    <a:endParaRPr lang="en-US"/>
                  </a:p>
                </c:rich>
              </c:tx>
              <c:dLblPos val="outEnd"/>
              <c:showVal val="1"/>
            </c:dLbl>
            <c:dLbl>
              <c:idx val="2"/>
              <c:layout>
                <c:manualLayout>
                  <c:x val="0"/>
                  <c:y val="4.0745468831160083E-3"/>
                </c:manualLayout>
              </c:layout>
              <c:dLblPos val="outEnd"/>
              <c:showVal val="1"/>
            </c:dLbl>
            <c:dLbl>
              <c:idx val="3"/>
              <c:delete val="1"/>
            </c:dLbl>
            <c:dLbl>
              <c:idx val="4"/>
              <c:layout>
                <c:manualLayout>
                  <c:x val="-2.3697659660183042E-3"/>
                  <c:y val="4.0745468831160083E-3"/>
                </c:manualLayout>
              </c:layout>
              <c:dLblPos val="outEnd"/>
              <c:showVal val="1"/>
            </c:dLbl>
            <c:dLbl>
              <c:idx val="5"/>
              <c:layout>
                <c:manualLayout>
                  <c:x val="0"/>
                  <c:y val="8.149093766232015E-3"/>
                </c:manualLayout>
              </c:layout>
              <c:dLblPos val="outEnd"/>
              <c:showVal val="1"/>
            </c:dLbl>
            <c:dLbl>
              <c:idx val="6"/>
              <c:layout>
                <c:manualLayout>
                  <c:x val="0"/>
                  <c:y val="7.3244883888115304E-3"/>
                </c:manualLayout>
              </c:layout>
              <c:dLblPos val="outEnd"/>
              <c:showVal val="1"/>
            </c:dLbl>
            <c:dLblPos val="outEnd"/>
            <c:showVal val="1"/>
          </c:dLbls>
          <c:cat>
            <c:numRef>
              <c:f>Sheet1!$B$1:$J$1</c:f>
              <c:numCache>
                <c:formatCode>General</c:formatCode>
                <c:ptCount val="9"/>
                <c:pt idx="0">
                  <c:v>2013</c:v>
                </c:pt>
                <c:pt idx="1">
                  <c:v>2014</c:v>
                </c:pt>
                <c:pt idx="2">
                  <c:v>2015</c:v>
                </c:pt>
                <c:pt idx="3">
                  <c:v>2016</c:v>
                </c:pt>
                <c:pt idx="4">
                  <c:v>2016</c:v>
                </c:pt>
                <c:pt idx="5">
                  <c:v>2017</c:v>
                </c:pt>
                <c:pt idx="6">
                  <c:v>2018</c:v>
                </c:pt>
                <c:pt idx="7">
                  <c:v>2019</c:v>
                </c:pt>
                <c:pt idx="8">
                  <c:v>2020</c:v>
                </c:pt>
              </c:numCache>
            </c:numRef>
          </c:cat>
          <c:val>
            <c:numRef>
              <c:f>Sheet1!$B$3:$J$3</c:f>
              <c:numCache>
                <c:formatCode>General</c:formatCode>
                <c:ptCount val="9"/>
                <c:pt idx="0">
                  <c:v>15.9</c:v>
                </c:pt>
                <c:pt idx="1">
                  <c:v>16</c:v>
                </c:pt>
                <c:pt idx="2">
                  <c:v>15.8</c:v>
                </c:pt>
                <c:pt idx="3">
                  <c:v>15.6</c:v>
                </c:pt>
                <c:pt idx="4">
                  <c:v>15.6</c:v>
                </c:pt>
                <c:pt idx="5">
                  <c:v>15.3</c:v>
                </c:pt>
                <c:pt idx="6">
                  <c:v>15.2</c:v>
                </c:pt>
                <c:pt idx="7">
                  <c:v>14.7</c:v>
                </c:pt>
                <c:pt idx="8">
                  <c:v>16.899999999999999</c:v>
                </c:pt>
              </c:numCache>
            </c:numRef>
          </c:val>
        </c:ser>
        <c:ser>
          <c:idx val="2"/>
          <c:order val="2"/>
          <c:tx>
            <c:strRef>
              <c:f>Sheet1!$A$4</c:f>
              <c:strCache>
                <c:ptCount val="1"/>
                <c:pt idx="0">
                  <c:v>естественная убыль</c:v>
                </c:pt>
              </c:strCache>
            </c:strRef>
          </c:tx>
          <c:spPr>
            <a:solidFill>
              <a:srgbClr val="B3C2F3"/>
            </a:solidFill>
            <a:ln w="12681">
              <a:solidFill>
                <a:srgbClr val="000000"/>
              </a:solidFill>
              <a:prstDash val="solid"/>
            </a:ln>
          </c:spPr>
          <c:dLbls>
            <c:dLbl>
              <c:idx val="1"/>
              <c:tx>
                <c:rich>
                  <a:bodyPr/>
                  <a:lstStyle/>
                  <a:p>
                    <a:r>
                      <a:rPr lang="ru-RU"/>
                      <a:t>-5,0</a:t>
                    </a:r>
                    <a:endParaRPr lang="en-US"/>
                  </a:p>
                </c:rich>
              </c:tx>
              <c:dLblPos val="outEnd"/>
              <c:showVal val="1"/>
            </c:dLbl>
            <c:dLbl>
              <c:idx val="6"/>
              <c:tx>
                <c:rich>
                  <a:bodyPr/>
                  <a:lstStyle/>
                  <a:p>
                    <a:r>
                      <a:rPr lang="en-US"/>
                      <a:t>-6</a:t>
                    </a:r>
                    <a:r>
                      <a:rPr lang="ru-RU"/>
                      <a:t>,0</a:t>
                    </a:r>
                    <a:endParaRPr lang="en-US"/>
                  </a:p>
                </c:rich>
              </c:tx>
              <c:dLblPos val="outEnd"/>
              <c:showVal val="1"/>
            </c:dLbl>
            <c:dLblPos val="outEnd"/>
            <c:showVal val="1"/>
          </c:dLbls>
          <c:cat>
            <c:numRef>
              <c:f>Sheet1!$B$1:$J$1</c:f>
              <c:numCache>
                <c:formatCode>General</c:formatCode>
                <c:ptCount val="9"/>
                <c:pt idx="0">
                  <c:v>2013</c:v>
                </c:pt>
                <c:pt idx="1">
                  <c:v>2014</c:v>
                </c:pt>
                <c:pt idx="2">
                  <c:v>2015</c:v>
                </c:pt>
                <c:pt idx="3">
                  <c:v>2016</c:v>
                </c:pt>
                <c:pt idx="4">
                  <c:v>2016</c:v>
                </c:pt>
                <c:pt idx="5">
                  <c:v>2017</c:v>
                </c:pt>
                <c:pt idx="6">
                  <c:v>2018</c:v>
                </c:pt>
                <c:pt idx="7">
                  <c:v>2019</c:v>
                </c:pt>
                <c:pt idx="8">
                  <c:v>2020</c:v>
                </c:pt>
              </c:numCache>
            </c:numRef>
          </c:cat>
          <c:val>
            <c:numRef>
              <c:f>Sheet1!$B$4:$J$4</c:f>
              <c:numCache>
                <c:formatCode>General</c:formatCode>
                <c:ptCount val="9"/>
                <c:pt idx="0">
                  <c:v>-4.8</c:v>
                </c:pt>
                <c:pt idx="1">
                  <c:v>-5</c:v>
                </c:pt>
                <c:pt idx="2">
                  <c:v>-4.4000000000000004</c:v>
                </c:pt>
                <c:pt idx="3">
                  <c:v>-4.7</c:v>
                </c:pt>
                <c:pt idx="4">
                  <c:v>-4.7</c:v>
                </c:pt>
                <c:pt idx="5">
                  <c:v>-5.8</c:v>
                </c:pt>
                <c:pt idx="6">
                  <c:v>-6</c:v>
                </c:pt>
                <c:pt idx="7">
                  <c:v>-6.4</c:v>
                </c:pt>
                <c:pt idx="8">
                  <c:v>-8.9</c:v>
                </c:pt>
              </c:numCache>
            </c:numRef>
          </c:val>
        </c:ser>
        <c:dLbls>
          <c:showVal val="1"/>
        </c:dLbls>
        <c:axId val="178598656"/>
        <c:axId val="178600192"/>
      </c:barChart>
      <c:dateAx>
        <c:axId val="178598656"/>
        <c:scaling>
          <c:orientation val="minMax"/>
        </c:scaling>
        <c:axPos val="b"/>
        <c:numFmt formatCode="General" sourceLinked="1"/>
        <c:majorTickMark val="cross"/>
        <c:tickLblPos val="low"/>
        <c:spPr>
          <a:ln w="22225">
            <a:solidFill>
              <a:srgbClr val="000000"/>
            </a:solidFill>
            <a:prstDash val="solid"/>
          </a:ln>
        </c:spPr>
        <c:txPr>
          <a:bodyPr rot="0" vert="horz"/>
          <a:lstStyle/>
          <a:p>
            <a:pPr>
              <a:defRPr baseline="0"/>
            </a:pPr>
            <a:endParaRPr lang="ru-RU"/>
          </a:p>
        </c:txPr>
        <c:crossAx val="178600192"/>
        <c:crosses val="autoZero"/>
        <c:lblOffset val="100"/>
        <c:baseTimeUnit val="days"/>
        <c:majorUnit val="1"/>
        <c:minorUnit val="1"/>
      </c:dateAx>
      <c:valAx>
        <c:axId val="178600192"/>
        <c:scaling>
          <c:orientation val="minMax"/>
        </c:scaling>
        <c:axPos val="l"/>
        <c:majorGridlines>
          <c:spPr>
            <a:ln w="3170">
              <a:solidFill>
                <a:schemeClr val="bg1">
                  <a:lumMod val="75000"/>
                </a:schemeClr>
              </a:solidFill>
              <a:prstDash val="solid"/>
            </a:ln>
          </c:spPr>
        </c:majorGridlines>
        <c:numFmt formatCode="General" sourceLinked="1"/>
        <c:tickLblPos val="nextTo"/>
        <c:spPr>
          <a:ln w="3170">
            <a:solidFill>
              <a:schemeClr val="tx1"/>
            </a:solidFill>
            <a:prstDash val="solid"/>
          </a:ln>
        </c:spPr>
        <c:txPr>
          <a:bodyPr rot="0" vert="horz"/>
          <a:lstStyle/>
          <a:p>
            <a:pPr>
              <a:defRPr/>
            </a:pPr>
            <a:endParaRPr lang="ru-RU"/>
          </a:p>
        </c:txPr>
        <c:crossAx val="178598656"/>
        <c:crossesAt val="1"/>
        <c:crossBetween val="between"/>
      </c:valAx>
      <c:spPr>
        <a:noFill/>
        <a:ln w="12681">
          <a:solidFill>
            <a:srgbClr val="FFFFFF"/>
          </a:solidFill>
          <a:prstDash val="solid"/>
        </a:ln>
      </c:spPr>
    </c:plotArea>
    <c:legend>
      <c:legendPos val="b"/>
      <c:layout>
        <c:manualLayout>
          <c:xMode val="edge"/>
          <c:yMode val="edge"/>
          <c:x val="0.18918990526436391"/>
          <c:y val="0.87818335697593941"/>
          <c:w val="0.6664586888516304"/>
          <c:h val="7.8300542066706419E-2"/>
        </c:manualLayout>
      </c:layout>
      <c:spPr>
        <a:noFill/>
        <a:ln w="3170">
          <a:noFill/>
          <a:prstDash val="solid"/>
        </a:ln>
      </c:spPr>
      <c:txPr>
        <a:bodyPr/>
        <a:lstStyle/>
        <a:p>
          <a:pPr>
            <a:defRPr b="0" i="0" baseline="0"/>
          </a:pPr>
          <a:endParaRPr lang="ru-RU"/>
        </a:p>
      </c:txPr>
    </c:legend>
    <c:plotVisOnly val="1"/>
    <c:dispBlanksAs val="gap"/>
  </c:chart>
  <c:spPr>
    <a:noFill/>
    <a:ln>
      <a:noFill/>
    </a:ln>
  </c:spPr>
  <c:txPr>
    <a:bodyPr/>
    <a:lstStyle/>
    <a:p>
      <a:pPr algn="just">
        <a:defRPr sz="900" b="1" i="0" u="none" strike="noStrike" baseline="0">
          <a:solidFill>
            <a:srgbClr val="000000"/>
          </a:solidFill>
          <a:latin typeface="Arial" pitchFamily="34" charset="0"/>
          <a:ea typeface="Calibri"/>
          <a:cs typeface="Calibri"/>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061068520699273E-2"/>
          <c:y val="6.775896528483219E-2"/>
          <c:w val="0.89483168409659075"/>
          <c:h val="0.7470734287459021"/>
        </c:manualLayout>
      </c:layout>
      <c:lineChart>
        <c:grouping val="standard"/>
        <c:ser>
          <c:idx val="0"/>
          <c:order val="0"/>
          <c:tx>
            <c:strRef>
              <c:f>Лист1!$B$1</c:f>
              <c:strCache>
                <c:ptCount val="1"/>
                <c:pt idx="0">
                  <c:v>Среднедушевой доход населения (руб/чел)</c:v>
                </c:pt>
              </c:strCache>
            </c:strRef>
          </c:tx>
          <c:spPr>
            <a:ln w="47625">
              <a:gradFill>
                <a:gsLst>
                  <a:gs pos="0">
                    <a:srgbClr val="79C1D5"/>
                  </a:gs>
                  <a:gs pos="50000">
                    <a:srgbClr val="276B7D"/>
                  </a:gs>
                  <a:gs pos="100000">
                    <a:srgbClr val="1F5463"/>
                  </a:gs>
                </a:gsLst>
                <a:lin ang="1800000" scaled="0"/>
              </a:gradFill>
            </a:ln>
          </c:spPr>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13358.4</c:v>
                </c:pt>
                <c:pt idx="1">
                  <c:v>17421.599999999897</c:v>
                </c:pt>
                <c:pt idx="2">
                  <c:v>20087.5</c:v>
                </c:pt>
                <c:pt idx="3">
                  <c:v>21887.9</c:v>
                </c:pt>
                <c:pt idx="4">
                  <c:v>23428.1</c:v>
                </c:pt>
                <c:pt idx="5">
                  <c:v>24005.599999999897</c:v>
                </c:pt>
                <c:pt idx="6">
                  <c:v>25106.6</c:v>
                </c:pt>
                <c:pt idx="7">
                  <c:v>25106.6</c:v>
                </c:pt>
                <c:pt idx="8">
                  <c:v>26585.4</c:v>
                </c:pt>
                <c:pt idx="9">
                  <c:v>28371.200000000001</c:v>
                </c:pt>
                <c:pt idx="10">
                  <c:v>28309.9</c:v>
                </c:pt>
              </c:numCache>
            </c:numRef>
          </c:val>
        </c:ser>
        <c:marker val="1"/>
        <c:axId val="180954624"/>
        <c:axId val="180956160"/>
      </c:lineChart>
      <c:catAx>
        <c:axId val="180954624"/>
        <c:scaling>
          <c:orientation val="minMax"/>
        </c:scaling>
        <c:axPos val="b"/>
        <c:numFmt formatCode="General" sourceLinked="1"/>
        <c:tickLblPos val="nextTo"/>
        <c:spPr>
          <a:ln>
            <a:solidFill>
              <a:sysClr val="windowText" lastClr="000000"/>
            </a:solidFill>
          </a:ln>
        </c:spPr>
        <c:crossAx val="180956160"/>
        <c:crosses val="autoZero"/>
        <c:auto val="1"/>
        <c:lblAlgn val="ctr"/>
        <c:lblOffset val="100"/>
      </c:catAx>
      <c:valAx>
        <c:axId val="180956160"/>
        <c:scaling>
          <c:orientation val="minMax"/>
          <c:max val="30000"/>
          <c:min val="12000"/>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180954624"/>
        <c:crosses val="autoZero"/>
        <c:crossBetween val="between"/>
        <c:majorUnit val="2000"/>
        <c:minorUnit val="1000"/>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Площадь жилищ, приходящаяся в среднем на одного жителя (м2/чел)</c:v>
                </c:pt>
              </c:strCache>
            </c:strRef>
          </c:tx>
          <c:spPr>
            <a:ln w="47625">
              <a:gradFill flip="none" rotWithShape="1">
                <a:gsLst>
                  <a:gs pos="0">
                    <a:srgbClr val="FFF200"/>
                  </a:gs>
                  <a:gs pos="45000">
                    <a:srgbClr val="FF7A00"/>
                  </a:gs>
                  <a:gs pos="70000">
                    <a:srgbClr val="FF0300"/>
                  </a:gs>
                  <a:gs pos="100000">
                    <a:srgbClr val="4D0808"/>
                  </a:gs>
                </a:gsLst>
                <a:lin ang="2700000" scaled="0"/>
                <a:tileRect/>
              </a:gradFill>
            </a:ln>
          </c:spPr>
          <c:marker>
            <c:symbol val="none"/>
          </c:marker>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25.6</c:v>
                </c:pt>
                <c:pt idx="1">
                  <c:v>26.1</c:v>
                </c:pt>
                <c:pt idx="2">
                  <c:v>26.6</c:v>
                </c:pt>
                <c:pt idx="3">
                  <c:v>27.6</c:v>
                </c:pt>
                <c:pt idx="4">
                  <c:v>28.1</c:v>
                </c:pt>
                <c:pt idx="5">
                  <c:v>28.7</c:v>
                </c:pt>
                <c:pt idx="6">
                  <c:v>29.4</c:v>
                </c:pt>
                <c:pt idx="7">
                  <c:v>30</c:v>
                </c:pt>
                <c:pt idx="8">
                  <c:v>30.5</c:v>
                </c:pt>
                <c:pt idx="9">
                  <c:v>31.1</c:v>
                </c:pt>
              </c:numCache>
            </c:numRef>
          </c:val>
        </c:ser>
        <c:marker val="1"/>
        <c:axId val="181008256"/>
        <c:axId val="181009792"/>
      </c:lineChart>
      <c:catAx>
        <c:axId val="181008256"/>
        <c:scaling>
          <c:orientation val="minMax"/>
        </c:scaling>
        <c:axPos val="b"/>
        <c:numFmt formatCode="General" sourceLinked="1"/>
        <c:tickLblPos val="nextTo"/>
        <c:spPr>
          <a:ln>
            <a:solidFill>
              <a:sysClr val="windowText" lastClr="000000"/>
            </a:solidFill>
          </a:ln>
        </c:spPr>
        <c:crossAx val="181009792"/>
        <c:crosses val="autoZero"/>
        <c:auto val="1"/>
        <c:lblAlgn val="ctr"/>
        <c:lblOffset val="100"/>
      </c:catAx>
      <c:valAx>
        <c:axId val="181009792"/>
        <c:scaling>
          <c:orientation val="minMax"/>
          <c:max val="35"/>
          <c:min val="20"/>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crossAx val="181008256"/>
        <c:crosses val="autoZero"/>
        <c:crossBetween val="between"/>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8.5843226452688423E-2"/>
          <c:y val="6.1573062607463445E-2"/>
          <c:w val="0.88848686803345256"/>
          <c:h val="0.54552701189393149"/>
        </c:manualLayout>
      </c:layout>
      <c:lineChart>
        <c:grouping val="standard"/>
        <c:ser>
          <c:idx val="0"/>
          <c:order val="0"/>
          <c:tx>
            <c:strRef>
              <c:f>Лист1!$B$1</c:f>
              <c:strCache>
                <c:ptCount val="1"/>
                <c:pt idx="0">
                  <c:v>Удельный вес жилой площади, оборудованной водопроводом, %</c:v>
                </c:pt>
              </c:strCache>
            </c:strRef>
          </c:tx>
          <c:spPr>
            <a:ln>
              <a:solidFill>
                <a:srgbClr val="00B0F0"/>
              </a:solidFill>
            </a:ln>
          </c:spPr>
          <c:marker>
            <c:symbol val="none"/>
          </c:marker>
          <c:cat>
            <c:numRef>
              <c:f>Лист1!$A$2:$A$15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Лист1!$B$2:$B$15</c:f>
              <c:numCache>
                <c:formatCode>General</c:formatCode>
                <c:ptCount val="14"/>
                <c:pt idx="0">
                  <c:v>63.8</c:v>
                </c:pt>
                <c:pt idx="1">
                  <c:v>64.5</c:v>
                </c:pt>
                <c:pt idx="2">
                  <c:v>65.3</c:v>
                </c:pt>
                <c:pt idx="3">
                  <c:v>65.900000000000006</c:v>
                </c:pt>
                <c:pt idx="4">
                  <c:v>66.5</c:v>
                </c:pt>
                <c:pt idx="5">
                  <c:v>69.5</c:v>
                </c:pt>
                <c:pt idx="6">
                  <c:v>74.8</c:v>
                </c:pt>
                <c:pt idx="7">
                  <c:v>76.5</c:v>
                </c:pt>
                <c:pt idx="8">
                  <c:v>77.5</c:v>
                </c:pt>
                <c:pt idx="9">
                  <c:v>78.5</c:v>
                </c:pt>
                <c:pt idx="10">
                  <c:v>80.2</c:v>
                </c:pt>
                <c:pt idx="11">
                  <c:v>80.900000000000006</c:v>
                </c:pt>
                <c:pt idx="12">
                  <c:v>81.599999999999994</c:v>
                </c:pt>
                <c:pt idx="13">
                  <c:v>82.1</c:v>
                </c:pt>
              </c:numCache>
            </c:numRef>
          </c:val>
        </c:ser>
        <c:ser>
          <c:idx val="1"/>
          <c:order val="1"/>
          <c:tx>
            <c:strRef>
              <c:f>Лист1!$C$1</c:f>
              <c:strCache>
                <c:ptCount val="1"/>
                <c:pt idx="0">
                  <c:v>Удельный вес жилой площади, оборудованной водоотведением, %</c:v>
                </c:pt>
              </c:strCache>
            </c:strRef>
          </c:tx>
          <c:spPr>
            <a:ln>
              <a:solidFill>
                <a:schemeClr val="tx1">
                  <a:lumMod val="50000"/>
                  <a:lumOff val="50000"/>
                </a:schemeClr>
              </a:solidFill>
            </a:ln>
          </c:spPr>
          <c:marker>
            <c:symbol val="none"/>
          </c:marker>
          <c:cat>
            <c:numRef>
              <c:f>Лист1!$A$2:$A$15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Лист1!$C$2:$C$15</c:f>
              <c:numCache>
                <c:formatCode>General</c:formatCode>
                <c:ptCount val="14"/>
                <c:pt idx="0">
                  <c:v>58.5</c:v>
                </c:pt>
                <c:pt idx="1">
                  <c:v>59.5</c:v>
                </c:pt>
                <c:pt idx="2">
                  <c:v>60.2</c:v>
                </c:pt>
                <c:pt idx="3">
                  <c:v>61</c:v>
                </c:pt>
                <c:pt idx="4">
                  <c:v>62</c:v>
                </c:pt>
                <c:pt idx="5">
                  <c:v>64.900000000000006</c:v>
                </c:pt>
                <c:pt idx="6">
                  <c:v>69.7</c:v>
                </c:pt>
                <c:pt idx="7">
                  <c:v>71.400000000000006</c:v>
                </c:pt>
                <c:pt idx="8">
                  <c:v>72.099999999999994</c:v>
                </c:pt>
                <c:pt idx="9">
                  <c:v>73.2</c:v>
                </c:pt>
                <c:pt idx="10">
                  <c:v>74.5</c:v>
                </c:pt>
                <c:pt idx="11">
                  <c:v>75.3</c:v>
                </c:pt>
                <c:pt idx="12">
                  <c:v>76.099999999999994</c:v>
                </c:pt>
                <c:pt idx="13">
                  <c:v>77.2</c:v>
                </c:pt>
              </c:numCache>
            </c:numRef>
          </c:val>
        </c:ser>
        <c:ser>
          <c:idx val="2"/>
          <c:order val="2"/>
          <c:tx>
            <c:strRef>
              <c:f>Лист1!$D$1</c:f>
              <c:strCache>
                <c:ptCount val="1"/>
                <c:pt idx="0">
                  <c:v>Удельный вес жилой площади, оборудованной отоплением, %</c:v>
                </c:pt>
              </c:strCache>
            </c:strRef>
          </c:tx>
          <c:spPr>
            <a:ln>
              <a:solidFill>
                <a:srgbClr val="C010B3"/>
              </a:solidFill>
            </a:ln>
          </c:spPr>
          <c:marker>
            <c:symbol val="none"/>
          </c:marker>
          <c:cat>
            <c:numRef>
              <c:f>Лист1!$A$2:$A$15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Лист1!$D$2:$D$15</c:f>
              <c:numCache>
                <c:formatCode>General</c:formatCode>
                <c:ptCount val="14"/>
                <c:pt idx="0">
                  <c:v>75.400000000000006</c:v>
                </c:pt>
                <c:pt idx="1">
                  <c:v>76.400000000000006</c:v>
                </c:pt>
                <c:pt idx="2">
                  <c:v>77.2</c:v>
                </c:pt>
                <c:pt idx="3">
                  <c:v>77.8</c:v>
                </c:pt>
                <c:pt idx="4">
                  <c:v>78.400000000000006</c:v>
                </c:pt>
                <c:pt idx="5">
                  <c:v>81.2</c:v>
                </c:pt>
                <c:pt idx="6">
                  <c:v>85.9</c:v>
                </c:pt>
                <c:pt idx="7">
                  <c:v>87.9</c:v>
                </c:pt>
                <c:pt idx="8">
                  <c:v>88.3</c:v>
                </c:pt>
                <c:pt idx="9">
                  <c:v>85.4</c:v>
                </c:pt>
                <c:pt idx="10">
                  <c:v>90.9</c:v>
                </c:pt>
                <c:pt idx="11">
                  <c:v>92</c:v>
                </c:pt>
                <c:pt idx="12">
                  <c:v>92.1</c:v>
                </c:pt>
                <c:pt idx="13">
                  <c:v>92.4</c:v>
                </c:pt>
              </c:numCache>
            </c:numRef>
          </c:val>
        </c:ser>
        <c:marker val="1"/>
        <c:axId val="178642944"/>
        <c:axId val="178644480"/>
      </c:lineChart>
      <c:catAx>
        <c:axId val="178642944"/>
        <c:scaling>
          <c:orientation val="minMax"/>
        </c:scaling>
        <c:axPos val="b"/>
        <c:numFmt formatCode="General" sourceLinked="1"/>
        <c:tickLblPos val="nextTo"/>
        <c:spPr>
          <a:ln>
            <a:solidFill>
              <a:schemeClr val="tx1"/>
            </a:solidFill>
          </a:ln>
        </c:spPr>
        <c:txPr>
          <a:bodyPr/>
          <a:lstStyle/>
          <a:p>
            <a:pPr>
              <a:defRPr sz="900" b="1" i="0" baseline="0">
                <a:latin typeface="Arial" pitchFamily="34" charset="0"/>
              </a:defRPr>
            </a:pPr>
            <a:endParaRPr lang="ru-RU"/>
          </a:p>
        </c:txPr>
        <c:crossAx val="178644480"/>
        <c:crosses val="autoZero"/>
        <c:auto val="1"/>
        <c:lblAlgn val="ctr"/>
        <c:lblOffset val="100"/>
      </c:catAx>
      <c:valAx>
        <c:axId val="178644480"/>
        <c:scaling>
          <c:orientation val="minMax"/>
          <c:min val="40"/>
        </c:scaling>
        <c:axPos val="l"/>
        <c:majorGridlines/>
        <c:numFmt formatCode="General" sourceLinked="1"/>
        <c:tickLblPos val="nextTo"/>
        <c:spPr>
          <a:ln>
            <a:solidFill>
              <a:schemeClr val="tx1"/>
            </a:solidFill>
          </a:ln>
        </c:spPr>
        <c:txPr>
          <a:bodyPr/>
          <a:lstStyle/>
          <a:p>
            <a:pPr>
              <a:defRPr sz="900" b="1" i="0" baseline="0">
                <a:latin typeface="Arial" pitchFamily="34" charset="0"/>
              </a:defRPr>
            </a:pPr>
            <a:endParaRPr lang="ru-RU"/>
          </a:p>
        </c:txPr>
        <c:crossAx val="178642944"/>
        <c:crosses val="autoZero"/>
        <c:crossBetween val="between"/>
        <c:majorUnit val="10"/>
      </c:valAx>
    </c:plotArea>
    <c:legend>
      <c:legendPos val="b"/>
      <c:layout>
        <c:manualLayout>
          <c:xMode val="edge"/>
          <c:yMode val="edge"/>
          <c:x val="0.13870661748917559"/>
          <c:y val="0.76652974953620001"/>
          <c:w val="0.72258658382233432"/>
          <c:h val="0.20145055120525587"/>
        </c:manualLayout>
      </c:layout>
      <c:txPr>
        <a:bodyPr/>
        <a:lstStyle/>
        <a:p>
          <a:pPr>
            <a:defRPr sz="900" baseline="0">
              <a:latin typeface="Arial" pitchFamily="34" charset="0"/>
            </a:defRPr>
          </a:pPr>
          <a:endParaRPr lang="ru-RU"/>
        </a:p>
      </c:txPr>
    </c:legend>
    <c:plotVisOnly val="1"/>
    <c:dispBlanksAs val="gap"/>
  </c:chart>
  <c:spPr>
    <a:no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plotArea>
      <c:layout>
        <c:manualLayout>
          <c:layoutTarget val="inner"/>
          <c:xMode val="edge"/>
          <c:yMode val="edge"/>
          <c:x val="0.12861968362825615"/>
          <c:y val="3.3493521871785788E-2"/>
          <c:w val="0.85121902604918875"/>
          <c:h val="0.75485016897585944"/>
        </c:manualLayout>
      </c:layout>
      <c:barChart>
        <c:barDir val="col"/>
        <c:grouping val="clustered"/>
        <c:ser>
          <c:idx val="0"/>
          <c:order val="0"/>
          <c:tx>
            <c:strRef>
              <c:f>Лист1!$B$1</c:f>
              <c:strCache>
                <c:ptCount val="1"/>
                <c:pt idx="0">
                  <c:v>санитарно-химические показатели</c:v>
                </c:pt>
              </c:strCache>
            </c:strRef>
          </c:tx>
          <c:spPr>
            <a:solidFill>
              <a:srgbClr val="8F77AD"/>
            </a:solidFill>
            <a:ln>
              <a:solidFill>
                <a:schemeClr val="bg1"/>
              </a:solidFill>
            </a:ln>
          </c:spPr>
          <c:dLbls>
            <c:dLbl>
              <c:idx val="0"/>
              <c:layout>
                <c:manualLayout>
                  <c:x val="0"/>
                  <c:y val="1.2764935225492081E-2"/>
                </c:manualLayout>
              </c:layout>
              <c:tx>
                <c:rich>
                  <a:bodyPr/>
                  <a:lstStyle/>
                  <a:p>
                    <a:r>
                      <a:rPr lang="ru-RU"/>
                      <a:t>17,0</a:t>
                    </a:r>
                    <a:endParaRPr lang="en-US"/>
                  </a:p>
                </c:rich>
              </c:tx>
              <c:dLblPos val="outEnd"/>
              <c:showVal val="1"/>
            </c:dLbl>
            <c:dLbl>
              <c:idx val="1"/>
              <c:layout>
                <c:manualLayout>
                  <c:x val="0"/>
                  <c:y val="-8.5099568169948996E-3"/>
                </c:manualLayout>
              </c:layout>
              <c:dLblPos val="outEnd"/>
              <c:showVal val="1"/>
            </c:dLbl>
            <c:dLbl>
              <c:idx val="2"/>
              <c:layout>
                <c:manualLayout>
                  <c:x val="-2.3003470807146592E-3"/>
                  <c:y val="-1.2764935225492081E-2"/>
                </c:manualLayout>
              </c:layout>
              <c:dLblPos val="outEnd"/>
              <c:showVal val="1"/>
            </c:dLbl>
            <c:dLbl>
              <c:idx val="3"/>
              <c:layout>
                <c:manualLayout>
                  <c:x val="0"/>
                  <c:y val="-4.2549784084973986E-3"/>
                </c:manualLayout>
              </c:layout>
              <c:tx>
                <c:rich>
                  <a:bodyPr/>
                  <a:lstStyle/>
                  <a:p>
                    <a:r>
                      <a:rPr lang="en-US"/>
                      <a:t>14</a:t>
                    </a:r>
                    <a:r>
                      <a:rPr lang="ru-RU"/>
                      <a:t>,0</a:t>
                    </a:r>
                    <a:endParaRPr lang="en-US"/>
                  </a:p>
                </c:rich>
              </c:tx>
              <c:dLblPos val="outEnd"/>
              <c:showVal val="1"/>
            </c:dLbl>
            <c:dLbl>
              <c:idx val="4"/>
              <c:layout>
                <c:manualLayout>
                  <c:x val="0"/>
                  <c:y val="1.7019913633989438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17</c:v>
                </c:pt>
                <c:pt idx="1">
                  <c:v>19.2</c:v>
                </c:pt>
                <c:pt idx="2">
                  <c:v>18.899999999999999</c:v>
                </c:pt>
                <c:pt idx="3">
                  <c:v>14</c:v>
                </c:pt>
                <c:pt idx="4">
                  <c:v>16.899999999999999</c:v>
                </c:pt>
              </c:numCache>
            </c:numRef>
          </c:val>
        </c:ser>
        <c:ser>
          <c:idx val="1"/>
          <c:order val="1"/>
          <c:tx>
            <c:strRef>
              <c:f>Лист1!$C$1</c:f>
              <c:strCache>
                <c:ptCount val="1"/>
                <c:pt idx="0">
                  <c:v>микробиологические показатели</c:v>
                </c:pt>
              </c:strCache>
            </c:strRef>
          </c:tx>
          <c:spPr>
            <a:solidFill>
              <a:srgbClr val="C3B5D3"/>
            </a:solidFill>
            <a:ln>
              <a:solidFill>
                <a:schemeClr val="bg1"/>
              </a:solidFill>
            </a:ln>
          </c:spPr>
          <c:dLbls>
            <c:dLbl>
              <c:idx val="0"/>
              <c:layout>
                <c:manualLayout>
                  <c:x val="0"/>
                  <c:y val="8.5099568169948996E-3"/>
                </c:manualLayout>
              </c:layout>
              <c:dLblPos val="outEnd"/>
              <c:showVal val="1"/>
            </c:dLbl>
            <c:dLbl>
              <c:idx val="1"/>
              <c:layout>
                <c:manualLayout>
                  <c:x val="0"/>
                  <c:y val="8.5099568169949985E-3"/>
                </c:manualLayout>
              </c:layout>
              <c:dLblPos val="outEnd"/>
              <c:showVal val="1"/>
            </c:dLbl>
            <c:dLbl>
              <c:idx val="2"/>
              <c:layout>
                <c:manualLayout>
                  <c:x val="0"/>
                  <c:y val="1.7019913633989438E-2"/>
                </c:manualLayout>
              </c:layout>
              <c:dLblPos val="outEnd"/>
              <c:showVal val="1"/>
            </c:dLbl>
            <c:dLbl>
              <c:idx val="3"/>
              <c:layout>
                <c:manualLayout>
                  <c:x val="0"/>
                  <c:y val="1.2764935225492081E-2"/>
                </c:manualLayout>
              </c:layout>
              <c:dLblPos val="outEnd"/>
              <c:showVal val="1"/>
            </c:dLbl>
            <c:dLbl>
              <c:idx val="4"/>
              <c:layout>
                <c:manualLayout>
                  <c:x val="2.3003470807146592E-3"/>
                  <c:y val="8.5099568169947921E-3"/>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2.7</c:v>
                </c:pt>
                <c:pt idx="1">
                  <c:v>2.2000000000000002</c:v>
                </c:pt>
                <c:pt idx="2">
                  <c:v>1.8</c:v>
                </c:pt>
                <c:pt idx="3">
                  <c:v>1.3</c:v>
                </c:pt>
                <c:pt idx="4">
                  <c:v>1.9000000000000001</c:v>
                </c:pt>
              </c:numCache>
            </c:numRef>
          </c:val>
        </c:ser>
        <c:dLbls>
          <c:showVal val="1"/>
        </c:dLbls>
        <c:overlap val="-6"/>
        <c:axId val="182393088"/>
        <c:axId val="182415360"/>
      </c:barChart>
      <c:catAx>
        <c:axId val="182393088"/>
        <c:scaling>
          <c:orientation val="minMax"/>
        </c:scaling>
        <c:axPos val="b"/>
        <c:numFmt formatCode="General" sourceLinked="1"/>
        <c:majorTickMark val="none"/>
        <c:tickLblPos val="nextTo"/>
        <c:txPr>
          <a:bodyPr/>
          <a:lstStyle/>
          <a:p>
            <a:pPr>
              <a:defRPr sz="900" b="1" i="0" baseline="0">
                <a:latin typeface="Arial" pitchFamily="34" charset="0"/>
              </a:defRPr>
            </a:pPr>
            <a:endParaRPr lang="ru-RU"/>
          </a:p>
        </c:txPr>
        <c:crossAx val="182415360"/>
        <c:crosses val="autoZero"/>
        <c:auto val="1"/>
        <c:lblAlgn val="ctr"/>
        <c:lblOffset val="100"/>
      </c:catAx>
      <c:valAx>
        <c:axId val="182415360"/>
        <c:scaling>
          <c:orientation val="minMax"/>
        </c:scaling>
        <c:axPos val="l"/>
        <c:majorGridlines>
          <c:spPr>
            <a:ln>
              <a:solidFill>
                <a:schemeClr val="bg1">
                  <a:lumMod val="75000"/>
                </a:schemeClr>
              </a:solidFill>
            </a:ln>
          </c:spPr>
        </c:majorGridlines>
        <c:numFmt formatCode="General" sourceLinked="1"/>
        <c:majorTickMark val="none"/>
        <c:tickLblPos val="nextTo"/>
        <c:txPr>
          <a:bodyPr/>
          <a:lstStyle/>
          <a:p>
            <a:pPr>
              <a:defRPr sz="900" b="1" i="0" baseline="0">
                <a:latin typeface="Arial" pitchFamily="34" charset="0"/>
              </a:defRPr>
            </a:pPr>
            <a:endParaRPr lang="ru-RU"/>
          </a:p>
        </c:txPr>
        <c:crossAx val="182393088"/>
        <c:crosses val="autoZero"/>
        <c:crossBetween val="between"/>
      </c:valAx>
      <c:spPr>
        <a:solidFill>
          <a:srgbClr val="F5F2F8"/>
        </a:solidFill>
      </c:spPr>
    </c:plotArea>
    <c:legend>
      <c:legendPos val="b"/>
      <c:legendEntry>
        <c:idx val="0"/>
        <c:txPr>
          <a:bodyPr/>
          <a:lstStyle/>
          <a:p>
            <a:pPr>
              <a:defRPr sz="900" baseline="0">
                <a:latin typeface="Arial" pitchFamily="34" charset="0"/>
              </a:defRPr>
            </a:pPr>
            <a:endParaRPr lang="ru-RU"/>
          </a:p>
        </c:txPr>
      </c:legendEntry>
      <c:legendEntry>
        <c:idx val="1"/>
        <c:txPr>
          <a:bodyPr/>
          <a:lstStyle/>
          <a:p>
            <a:pPr>
              <a:defRPr sz="900" baseline="0">
                <a:latin typeface="Arial" pitchFamily="34" charset="0"/>
              </a:defRPr>
            </a:pPr>
            <a:endParaRPr lang="ru-RU"/>
          </a:p>
        </c:txPr>
      </c:legendEntry>
      <c:layout>
        <c:manualLayout>
          <c:xMode val="edge"/>
          <c:yMode val="edge"/>
          <c:x val="0.1272907670815342"/>
          <c:y val="0.90624087054982316"/>
          <c:w val="0.84846488442976886"/>
          <c:h val="9.3759129450204245E-2"/>
        </c:manualLayout>
      </c:layout>
      <c:txPr>
        <a:bodyPr/>
        <a:lstStyle/>
        <a:p>
          <a:pPr>
            <a:defRPr sz="900" baseline="0">
              <a:latin typeface="Arial" pitchFamily="34" charset="0"/>
            </a:defRPr>
          </a:pPr>
          <a:endParaRPr lang="ru-RU"/>
        </a:p>
      </c:txPr>
    </c:legend>
    <c:plotVisOnly val="1"/>
    <c:dispBlanksAs val="gap"/>
  </c:chart>
  <c:spPr>
    <a:noFill/>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39"/>
  <c:clrMapOvr bg1="lt1" tx1="dk1" bg2="lt2" tx2="dk2" accent1="accent1" accent2="accent2" accent3="accent3" accent4="accent4" accent5="accent5" accent6="accent6" hlink="hlink" folHlink="folHlink"/>
  <c:chart>
    <c:plotArea>
      <c:layout>
        <c:manualLayout>
          <c:layoutTarget val="inner"/>
          <c:xMode val="edge"/>
          <c:yMode val="edge"/>
          <c:x val="6.4178478327644575E-2"/>
          <c:y val="3.3493668667836991E-2"/>
          <c:w val="0.93582152167235544"/>
          <c:h val="0.77054774072987264"/>
        </c:manualLayout>
      </c:layout>
      <c:barChart>
        <c:barDir val="col"/>
        <c:grouping val="clustered"/>
        <c:ser>
          <c:idx val="0"/>
          <c:order val="0"/>
          <c:tx>
            <c:strRef>
              <c:f>Лист1!$B$1</c:f>
              <c:strCache>
                <c:ptCount val="1"/>
                <c:pt idx="0">
                  <c:v>санитарно-химические показатели</c:v>
                </c:pt>
              </c:strCache>
            </c:strRef>
          </c:tx>
          <c:spPr>
            <a:ln>
              <a:solidFill>
                <a:sysClr val="window" lastClr="FFFFFF"/>
              </a:solidFill>
            </a:ln>
          </c:spPr>
          <c:dLbls>
            <c:dLbl>
              <c:idx val="0"/>
              <c:layout>
                <c:manualLayout>
                  <c:x val="0"/>
                  <c:y val="1.6516517004697129E-2"/>
                </c:manualLayout>
              </c:layout>
              <c:dLblPos val="outEnd"/>
              <c:showVal val="1"/>
            </c:dLbl>
            <c:dLbl>
              <c:idx val="1"/>
              <c:layout>
                <c:manualLayout>
                  <c:x val="0"/>
                  <c:y val="1.6516517004697129E-2"/>
                </c:manualLayout>
              </c:layout>
              <c:dLblPos val="outEnd"/>
              <c:showVal val="1"/>
            </c:dLbl>
            <c:dLbl>
              <c:idx val="2"/>
              <c:layout>
                <c:manualLayout>
                  <c:x val="0"/>
                  <c:y val="8.2582585023486046E-3"/>
                </c:manualLayout>
              </c:layout>
              <c:dLblPos val="outEnd"/>
              <c:showVal val="1"/>
            </c:dLbl>
            <c:dLbl>
              <c:idx val="3"/>
              <c:layout>
                <c:manualLayout>
                  <c:x val="0"/>
                  <c:y val="1.2387387753522884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33.700000000000003</c:v>
                </c:pt>
                <c:pt idx="1">
                  <c:v>35.300000000000004</c:v>
                </c:pt>
                <c:pt idx="2">
                  <c:v>50.5</c:v>
                </c:pt>
                <c:pt idx="3">
                  <c:v>31.3</c:v>
                </c:pt>
                <c:pt idx="4">
                  <c:v>48.3</c:v>
                </c:pt>
              </c:numCache>
            </c:numRef>
          </c:val>
        </c:ser>
        <c:ser>
          <c:idx val="1"/>
          <c:order val="1"/>
          <c:tx>
            <c:strRef>
              <c:f>Лист1!$C$1</c:f>
              <c:strCache>
                <c:ptCount val="1"/>
                <c:pt idx="0">
                  <c:v>микробиологические показатели</c:v>
                </c:pt>
              </c:strCache>
            </c:strRef>
          </c:tx>
          <c:spPr>
            <a:ln>
              <a:solidFill>
                <a:schemeClr val="bg1"/>
              </a:solidFill>
            </a:ln>
          </c:spPr>
          <c:dLbls>
            <c:dLbl>
              <c:idx val="0"/>
              <c:layout>
                <c:manualLayout>
                  <c:x val="2.1081994511968933E-17"/>
                  <c:y val="1.2387387753522846E-2"/>
                </c:manualLayout>
              </c:layout>
              <c:dLblPos val="outEnd"/>
              <c:showVal val="1"/>
            </c:dLbl>
            <c:dLbl>
              <c:idx val="1"/>
              <c:layout>
                <c:manualLayout>
                  <c:x val="0"/>
                  <c:y val="1.2387387753522846E-2"/>
                </c:manualLayout>
              </c:layout>
              <c:dLblPos val="outEnd"/>
              <c:showVal val="1"/>
            </c:dLbl>
            <c:dLbl>
              <c:idx val="2"/>
              <c:layout>
                <c:manualLayout>
                  <c:x val="8.4327978047876349E-17"/>
                  <c:y val="1.2387387753522846E-2"/>
                </c:manualLayout>
              </c:layout>
              <c:dLblPos val="outEnd"/>
              <c:showVal val="1"/>
            </c:dLbl>
            <c:dLbl>
              <c:idx val="3"/>
              <c:layout>
                <c:manualLayout>
                  <c:x val="0"/>
                  <c:y val="8.258258502348563E-3"/>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53.9</c:v>
                </c:pt>
                <c:pt idx="1">
                  <c:v>55.2</c:v>
                </c:pt>
                <c:pt idx="2">
                  <c:v>40.5</c:v>
                </c:pt>
                <c:pt idx="3">
                  <c:v>45.2</c:v>
                </c:pt>
                <c:pt idx="4">
                  <c:v>33.6</c:v>
                </c:pt>
              </c:numCache>
            </c:numRef>
          </c:val>
        </c:ser>
        <c:dLbls>
          <c:showVal val="1"/>
        </c:dLbls>
        <c:overlap val="-6"/>
        <c:axId val="181106176"/>
        <c:axId val="181107712"/>
      </c:barChart>
      <c:catAx>
        <c:axId val="181106176"/>
        <c:scaling>
          <c:orientation val="minMax"/>
        </c:scaling>
        <c:axPos val="b"/>
        <c:numFmt formatCode="General" sourceLinked="1"/>
        <c:majorTickMark val="none"/>
        <c:tickLblPos val="nextTo"/>
        <c:txPr>
          <a:bodyPr/>
          <a:lstStyle/>
          <a:p>
            <a:pPr>
              <a:defRPr sz="900" b="1" i="0" baseline="0">
                <a:latin typeface="Arial" pitchFamily="34" charset="0"/>
              </a:defRPr>
            </a:pPr>
            <a:endParaRPr lang="ru-RU"/>
          </a:p>
        </c:txPr>
        <c:crossAx val="181107712"/>
        <c:crosses val="autoZero"/>
        <c:auto val="1"/>
        <c:lblAlgn val="ctr"/>
        <c:lblOffset val="100"/>
      </c:catAx>
      <c:valAx>
        <c:axId val="181107712"/>
        <c:scaling>
          <c:orientation val="minMax"/>
        </c:scaling>
        <c:axPos val="l"/>
        <c:majorGridlines>
          <c:spPr>
            <a:ln>
              <a:solidFill>
                <a:schemeClr val="bg1">
                  <a:lumMod val="65000"/>
                </a:schemeClr>
              </a:solidFill>
            </a:ln>
          </c:spPr>
        </c:majorGridlines>
        <c:numFmt formatCode="General" sourceLinked="1"/>
        <c:majorTickMark val="none"/>
        <c:tickLblPos val="nextTo"/>
        <c:txPr>
          <a:bodyPr/>
          <a:lstStyle/>
          <a:p>
            <a:pPr>
              <a:defRPr sz="900" b="1" i="0" baseline="0">
                <a:latin typeface="Arial" pitchFamily="34" charset="0"/>
              </a:defRPr>
            </a:pPr>
            <a:endParaRPr lang="ru-RU"/>
          </a:p>
        </c:txPr>
        <c:crossAx val="181106176"/>
        <c:crosses val="autoZero"/>
        <c:crossBetween val="between"/>
      </c:valAx>
      <c:spPr>
        <a:solidFill>
          <a:srgbClr val="F3F9FB"/>
        </a:solidFill>
      </c:spPr>
    </c:plotArea>
    <c:legend>
      <c:legendPos val="b"/>
      <c:layout>
        <c:manualLayout>
          <c:xMode val="edge"/>
          <c:yMode val="edge"/>
          <c:x val="0.1272907670815342"/>
          <c:y val="0.92275732197031646"/>
          <c:w val="0.84846488442976886"/>
          <c:h val="7.7242678029683584E-2"/>
        </c:manualLayout>
      </c:layout>
      <c:txPr>
        <a:bodyPr/>
        <a:lstStyle/>
        <a:p>
          <a:pPr>
            <a:defRPr sz="900" b="0" i="0" baseline="0">
              <a:latin typeface="Arial" pitchFamily="34"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plotArea>
      <c:layout>
        <c:manualLayout>
          <c:layoutTarget val="inner"/>
          <c:xMode val="edge"/>
          <c:yMode val="edge"/>
          <c:x val="8.3803171526905612E-2"/>
          <c:y val="3.3493521871785788E-2"/>
          <c:w val="0.89603557372369103"/>
          <c:h val="0.75485016897585944"/>
        </c:manualLayout>
      </c:layout>
      <c:barChart>
        <c:barDir val="col"/>
        <c:grouping val="clustered"/>
        <c:ser>
          <c:idx val="0"/>
          <c:order val="0"/>
          <c:tx>
            <c:strRef>
              <c:f>Лист1!$B$1</c:f>
              <c:strCache>
                <c:ptCount val="1"/>
                <c:pt idx="0">
                  <c:v>санитарно-химические показатели</c:v>
                </c:pt>
              </c:strCache>
            </c:strRef>
          </c:tx>
          <c:spPr>
            <a:solidFill>
              <a:srgbClr val="4374AF"/>
            </a:solidFill>
            <a:ln>
              <a:solidFill>
                <a:schemeClr val="bg1"/>
              </a:solidFill>
            </a:ln>
          </c:spPr>
          <c:dLbls>
            <c:dLbl>
              <c:idx val="0"/>
              <c:layout>
                <c:manualLayout>
                  <c:x val="-2.2401198118271811E-3"/>
                  <c:y val="8.8862884329403268E-3"/>
                </c:manualLayout>
              </c:layout>
              <c:dLblPos val="outEnd"/>
              <c:showVal val="1"/>
            </c:dLbl>
            <c:dLbl>
              <c:idx val="1"/>
              <c:layout>
                <c:manualLayout>
                  <c:x val="-2.2408255836644892E-3"/>
                  <c:y val="1.7559937003726E-4"/>
                </c:manualLayout>
              </c:layout>
              <c:dLblPos val="outEnd"/>
              <c:showVal val="1"/>
            </c:dLbl>
            <c:dLbl>
              <c:idx val="2"/>
              <c:layout>
                <c:manualLayout>
                  <c:x val="-4.4816511673289924E-3"/>
                  <c:y val="1.7422749995884397E-2"/>
                </c:manualLayout>
              </c:layout>
              <c:dLblPos val="outEnd"/>
              <c:showVal val="1"/>
            </c:dLbl>
            <c:dLbl>
              <c:idx val="3"/>
              <c:layout>
                <c:manualLayout>
                  <c:x val="0"/>
                  <c:y val="1.0976948408342482E-2"/>
                </c:manualLayout>
              </c:layout>
              <c:tx>
                <c:rich>
                  <a:bodyPr/>
                  <a:lstStyle/>
                  <a:p>
                    <a:r>
                      <a:rPr lang="en-US"/>
                      <a:t>20</a:t>
                    </a:r>
                    <a:r>
                      <a:rPr lang="ru-RU"/>
                      <a:t>,0</a:t>
                    </a:r>
                    <a:endParaRPr lang="en-US"/>
                  </a:p>
                </c:rich>
              </c:tx>
              <c:dLblPos val="outEnd"/>
              <c:showVal val="1"/>
            </c:dLbl>
            <c:dLbl>
              <c:idx val="4"/>
              <c:layout>
                <c:manualLayout>
                  <c:x val="0"/>
                  <c:y val="2.1778437494855491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6.8</c:v>
                </c:pt>
                <c:pt idx="1">
                  <c:v>14.2</c:v>
                </c:pt>
                <c:pt idx="2">
                  <c:v>27.2</c:v>
                </c:pt>
                <c:pt idx="3">
                  <c:v>20</c:v>
                </c:pt>
                <c:pt idx="4">
                  <c:v>20.8</c:v>
                </c:pt>
              </c:numCache>
            </c:numRef>
          </c:val>
        </c:ser>
        <c:ser>
          <c:idx val="1"/>
          <c:order val="1"/>
          <c:tx>
            <c:strRef>
              <c:f>Лист1!$C$1</c:f>
              <c:strCache>
                <c:ptCount val="1"/>
                <c:pt idx="0">
                  <c:v>микробиологические показатели</c:v>
                </c:pt>
              </c:strCache>
            </c:strRef>
          </c:tx>
          <c:spPr>
            <a:solidFill>
              <a:srgbClr val="A4BDDC"/>
            </a:solidFill>
            <a:ln>
              <a:solidFill>
                <a:schemeClr val="bg1"/>
              </a:solidFill>
            </a:ln>
          </c:spPr>
          <c:dLbls>
            <c:dLbl>
              <c:idx val="0"/>
              <c:layout>
                <c:manualLayout>
                  <c:x val="0"/>
                  <c:y val="1.3067062496913301E-2"/>
                </c:manualLayout>
              </c:layout>
              <c:dLblPos val="outEnd"/>
              <c:showVal val="1"/>
            </c:dLbl>
            <c:dLbl>
              <c:idx val="1"/>
              <c:layout>
                <c:manualLayout>
                  <c:x val="0"/>
                  <c:y val="4.3556874989710984E-3"/>
                </c:manualLayout>
              </c:layout>
              <c:dLblPos val="outEnd"/>
              <c:showVal val="1"/>
            </c:dLbl>
            <c:dLbl>
              <c:idx val="3"/>
              <c:layout>
                <c:manualLayout>
                  <c:x val="0"/>
                  <c:y val="1.3067062496913301E-2"/>
                </c:manualLayout>
              </c:layout>
              <c:tx>
                <c:rich>
                  <a:bodyPr/>
                  <a:lstStyle/>
                  <a:p>
                    <a:r>
                      <a:rPr lang="en-US"/>
                      <a:t>21</a:t>
                    </a:r>
                    <a:r>
                      <a:rPr lang="ru-RU"/>
                      <a:t>,0</a:t>
                    </a:r>
                    <a:endParaRPr lang="en-US"/>
                  </a:p>
                </c:rich>
              </c:tx>
              <c:dLblPos val="outEnd"/>
              <c:showVal val="1"/>
            </c:dLbl>
            <c:dLbl>
              <c:idx val="4"/>
              <c:layout>
                <c:manualLayout>
                  <c:x val="0"/>
                  <c:y val="1.7422749995884397E-2"/>
                </c:manualLayout>
              </c:layout>
              <c:tx>
                <c:rich>
                  <a:bodyPr/>
                  <a:lstStyle/>
                  <a:p>
                    <a:r>
                      <a:rPr lang="en-US"/>
                      <a:t>7</a:t>
                    </a:r>
                    <a:r>
                      <a:rPr lang="ru-RU"/>
                      <a:t>,0</a:t>
                    </a:r>
                    <a:endParaRPr lang="en-US"/>
                  </a:p>
                </c:rich>
              </c:tx>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12.7</c:v>
                </c:pt>
                <c:pt idx="1">
                  <c:v>23.9</c:v>
                </c:pt>
                <c:pt idx="2">
                  <c:v>28.9</c:v>
                </c:pt>
                <c:pt idx="3">
                  <c:v>21</c:v>
                </c:pt>
                <c:pt idx="4">
                  <c:v>7</c:v>
                </c:pt>
              </c:numCache>
            </c:numRef>
          </c:val>
        </c:ser>
        <c:dLbls>
          <c:showVal val="1"/>
        </c:dLbls>
        <c:overlap val="-6"/>
        <c:axId val="182763520"/>
        <c:axId val="182765056"/>
      </c:barChart>
      <c:catAx>
        <c:axId val="182763520"/>
        <c:scaling>
          <c:orientation val="minMax"/>
        </c:scaling>
        <c:axPos val="b"/>
        <c:numFmt formatCode="General" sourceLinked="1"/>
        <c:majorTickMark val="none"/>
        <c:tickLblPos val="nextTo"/>
        <c:txPr>
          <a:bodyPr/>
          <a:lstStyle/>
          <a:p>
            <a:pPr>
              <a:defRPr sz="900" b="1" i="0" baseline="0">
                <a:latin typeface="Arial" pitchFamily="34" charset="0"/>
              </a:defRPr>
            </a:pPr>
            <a:endParaRPr lang="ru-RU"/>
          </a:p>
        </c:txPr>
        <c:crossAx val="182765056"/>
        <c:crosses val="autoZero"/>
        <c:auto val="1"/>
        <c:lblAlgn val="ctr"/>
        <c:lblOffset val="100"/>
      </c:catAx>
      <c:valAx>
        <c:axId val="182765056"/>
        <c:scaling>
          <c:orientation val="minMax"/>
        </c:scaling>
        <c:axPos val="l"/>
        <c:majorGridlines>
          <c:spPr>
            <a:ln>
              <a:solidFill>
                <a:schemeClr val="bg1">
                  <a:lumMod val="75000"/>
                </a:schemeClr>
              </a:solidFill>
            </a:ln>
          </c:spPr>
        </c:majorGridlines>
        <c:numFmt formatCode="General" sourceLinked="1"/>
        <c:majorTickMark val="none"/>
        <c:tickLblPos val="nextTo"/>
        <c:txPr>
          <a:bodyPr/>
          <a:lstStyle/>
          <a:p>
            <a:pPr>
              <a:defRPr sz="900" b="1" i="0" baseline="0">
                <a:latin typeface="Arial" pitchFamily="34" charset="0"/>
              </a:defRPr>
            </a:pPr>
            <a:endParaRPr lang="ru-RU"/>
          </a:p>
        </c:txPr>
        <c:crossAx val="182763520"/>
        <c:crosses val="autoZero"/>
        <c:crossBetween val="between"/>
      </c:valAx>
      <c:spPr>
        <a:solidFill>
          <a:srgbClr val="F0F4FA"/>
        </a:solidFill>
      </c:spPr>
    </c:plotArea>
    <c:legend>
      <c:legendPos val="b"/>
      <c:legendEntry>
        <c:idx val="0"/>
        <c:txPr>
          <a:bodyPr/>
          <a:lstStyle/>
          <a:p>
            <a:pPr>
              <a:defRPr sz="900" baseline="0">
                <a:latin typeface="Arial" pitchFamily="34" charset="0"/>
              </a:defRPr>
            </a:pPr>
            <a:endParaRPr lang="ru-RU"/>
          </a:p>
        </c:txPr>
      </c:legendEntry>
      <c:legendEntry>
        <c:idx val="1"/>
        <c:txPr>
          <a:bodyPr/>
          <a:lstStyle/>
          <a:p>
            <a:pPr>
              <a:defRPr sz="900" baseline="0">
                <a:latin typeface="Arial" pitchFamily="34" charset="0"/>
              </a:defRPr>
            </a:pPr>
            <a:endParaRPr lang="ru-RU"/>
          </a:p>
        </c:txPr>
      </c:legendEntry>
      <c:layout>
        <c:manualLayout>
          <c:xMode val="edge"/>
          <c:yMode val="edge"/>
          <c:x val="0.1272907670815342"/>
          <c:y val="0.90624087054982483"/>
          <c:w val="0.84846488442976886"/>
          <c:h val="9.3759129450204245E-2"/>
        </c:manualLayout>
      </c:layout>
      <c:txPr>
        <a:bodyPr/>
        <a:lstStyle/>
        <a:p>
          <a:pPr>
            <a:defRPr sz="900" baseline="0">
              <a:latin typeface="Arial" pitchFamily="34" charset="0"/>
            </a:defRPr>
          </a:pPr>
          <a:endParaRPr lang="ru-RU"/>
        </a:p>
      </c:txPr>
    </c:legend>
    <c:plotVisOnly val="1"/>
    <c:dispBlanksAs val="gap"/>
  </c:chart>
  <c:spPr>
    <a:noFill/>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40"/>
  <c:clrMapOvr bg1="lt1" tx1="dk1" bg2="lt2" tx2="dk2" accent1="accent1" accent2="accent2" accent3="accent3" accent4="accent4" accent5="accent5" accent6="accent6" hlink="hlink" folHlink="folHlink"/>
  <c:chart>
    <c:plotArea>
      <c:layout>
        <c:manualLayout>
          <c:layoutTarget val="inner"/>
          <c:xMode val="edge"/>
          <c:yMode val="edge"/>
          <c:x val="5.2725308776200665E-2"/>
          <c:y val="2.3324854279578568E-2"/>
          <c:w val="0.93225301472061151"/>
          <c:h val="0.69215637818000031"/>
        </c:manualLayout>
      </c:layout>
      <c:barChart>
        <c:barDir val="col"/>
        <c:grouping val="clustered"/>
        <c:ser>
          <c:idx val="0"/>
          <c:order val="0"/>
          <c:tx>
            <c:strRef>
              <c:f>Лист1!$B$1</c:f>
              <c:strCache>
                <c:ptCount val="1"/>
                <c:pt idx="0">
                  <c:v>санитарно-химические показатели</c:v>
                </c:pt>
              </c:strCache>
            </c:strRef>
          </c:tx>
          <c:spPr>
            <a:ln>
              <a:solidFill>
                <a:schemeClr val="bg1"/>
              </a:solidFill>
            </a:ln>
          </c:spPr>
          <c:dLbls>
            <c:dLbl>
              <c:idx val="1"/>
              <c:layout>
                <c:manualLayout>
                  <c:x val="0"/>
                  <c:y val="9.0238535265148526E-3"/>
                </c:manualLayout>
              </c:layout>
              <c:dLblPos val="outEnd"/>
              <c:showVal val="1"/>
            </c:dLbl>
            <c:dLbl>
              <c:idx val="2"/>
              <c:layout>
                <c:manualLayout>
                  <c:x val="0"/>
                  <c:y val="1.8047707053029622E-2"/>
                </c:manualLayout>
              </c:layout>
              <c:dLblPos val="outEnd"/>
              <c:showVal val="1"/>
            </c:dLbl>
            <c:dLbl>
              <c:idx val="3"/>
              <c:layout>
                <c:manualLayout>
                  <c:x val="-4.2649458225947085E-3"/>
                  <c:y val="9.0238535265148526E-3"/>
                </c:manualLayout>
              </c:layout>
              <c:dLblPos val="outEnd"/>
              <c:showVal val="1"/>
            </c:dLbl>
            <c:dLbl>
              <c:idx val="4"/>
              <c:layout>
                <c:manualLayout>
                  <c:x val="0"/>
                  <c:y val="1.9283925587734601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1.3</c:v>
                </c:pt>
                <c:pt idx="1">
                  <c:v>1.8</c:v>
                </c:pt>
                <c:pt idx="2">
                  <c:v>0.8</c:v>
                </c:pt>
                <c:pt idx="3">
                  <c:v>3.4</c:v>
                </c:pt>
                <c:pt idx="4">
                  <c:v>0.2</c:v>
                </c:pt>
              </c:numCache>
            </c:numRef>
          </c:val>
        </c:ser>
        <c:ser>
          <c:idx val="1"/>
          <c:order val="1"/>
          <c:tx>
            <c:strRef>
              <c:f>Лист1!$C$1</c:f>
              <c:strCache>
                <c:ptCount val="1"/>
                <c:pt idx="0">
                  <c:v>микробиологические показатели</c:v>
                </c:pt>
              </c:strCache>
            </c:strRef>
          </c:tx>
          <c:spPr>
            <a:ln>
              <a:solidFill>
                <a:schemeClr val="bg1"/>
              </a:solidFill>
            </a:ln>
          </c:spPr>
          <c:dLbls>
            <c:dLbl>
              <c:idx val="0"/>
              <c:layout>
                <c:manualLayout>
                  <c:x val="-1.9547442539836058E-17"/>
                  <c:y val="1.8047707053029705E-2"/>
                </c:manualLayout>
              </c:layout>
              <c:tx>
                <c:rich>
                  <a:bodyPr/>
                  <a:lstStyle/>
                  <a:p>
                    <a:r>
                      <a:rPr lang="ru-RU"/>
                      <a:t>20,0</a:t>
                    </a:r>
                    <a:endParaRPr lang="en-US"/>
                  </a:p>
                </c:rich>
              </c:tx>
              <c:dLblPos val="outEnd"/>
              <c:showVal val="1"/>
            </c:dLbl>
            <c:dLbl>
              <c:idx val="1"/>
              <c:layout>
                <c:manualLayout>
                  <c:x val="0"/>
                  <c:y val="1.8047707053029705E-2"/>
                </c:manualLayout>
              </c:layout>
              <c:dLblPos val="outEnd"/>
              <c:showVal val="1"/>
            </c:dLbl>
            <c:dLbl>
              <c:idx val="2"/>
              <c:layout>
                <c:manualLayout>
                  <c:x val="0"/>
                  <c:y val="1.3535780289772474E-2"/>
                </c:manualLayout>
              </c:layout>
              <c:dLblPos val="outEnd"/>
              <c:showVal val="1"/>
            </c:dLbl>
            <c:dLbl>
              <c:idx val="3"/>
              <c:layout>
                <c:manualLayout>
                  <c:x val="0"/>
                  <c:y val="1.3535780289772474E-2"/>
                </c:manualLayout>
              </c:layout>
              <c:dLblPos val="outEnd"/>
              <c:showVal val="1"/>
            </c:dLbl>
            <c:dLbl>
              <c:idx val="4"/>
              <c:layout>
                <c:manualLayout>
                  <c:x val="0"/>
                  <c:y val="1.5427140470187731E-2"/>
                </c:manualLayout>
              </c:layout>
              <c:dLblPos val="outEnd"/>
              <c:showVal val="1"/>
            </c:dLbl>
            <c:txPr>
              <a:bodyPr/>
              <a:lstStyle/>
              <a:p>
                <a:pPr>
                  <a:defRPr sz="900" b="1" baseline="0">
                    <a:latin typeface="Arial" pitchFamily="34" charset="0"/>
                    <a:cs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20</c:v>
                </c:pt>
                <c:pt idx="1">
                  <c:v>4.7</c:v>
                </c:pt>
                <c:pt idx="2">
                  <c:v>8.5</c:v>
                </c:pt>
                <c:pt idx="3">
                  <c:v>6.5</c:v>
                </c:pt>
                <c:pt idx="4">
                  <c:v>4.5</c:v>
                </c:pt>
              </c:numCache>
            </c:numRef>
          </c:val>
        </c:ser>
        <c:ser>
          <c:idx val="2"/>
          <c:order val="2"/>
          <c:tx>
            <c:strRef>
              <c:f>Лист1!$D$1</c:f>
              <c:strCache>
                <c:ptCount val="1"/>
                <c:pt idx="0">
                  <c:v>паразитологические показатели</c:v>
                </c:pt>
              </c:strCache>
            </c:strRef>
          </c:tx>
          <c:spPr>
            <a:ln>
              <a:solidFill>
                <a:schemeClr val="bg1"/>
              </a:solidFill>
            </a:ln>
          </c:spPr>
          <c:dLbls>
            <c:dLbl>
              <c:idx val="0"/>
              <c:layout>
                <c:manualLayout>
                  <c:x val="0"/>
                  <c:y val="1.3535780289772474E-2"/>
                </c:manualLayout>
              </c:layout>
              <c:dLblPos val="outEnd"/>
              <c:showVal val="1"/>
            </c:dLbl>
            <c:dLbl>
              <c:idx val="1"/>
              <c:layout>
                <c:manualLayout>
                  <c:x val="0"/>
                  <c:y val="4.5119267632574324E-3"/>
                </c:manualLayout>
              </c:layout>
              <c:dLblPos val="outEnd"/>
              <c:showVal val="1"/>
            </c:dLbl>
            <c:dLbl>
              <c:idx val="3"/>
              <c:layout>
                <c:manualLayout>
                  <c:x val="0"/>
                  <c:y val="1.8047707053029705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2.6</c:v>
                </c:pt>
                <c:pt idx="1">
                  <c:v>1.8</c:v>
                </c:pt>
                <c:pt idx="2">
                  <c:v>3.1</c:v>
                </c:pt>
                <c:pt idx="3">
                  <c:v>0.60000000000000064</c:v>
                </c:pt>
                <c:pt idx="4">
                  <c:v>1.2</c:v>
                </c:pt>
              </c:numCache>
            </c:numRef>
          </c:val>
        </c:ser>
        <c:dLbls>
          <c:showVal val="1"/>
        </c:dLbls>
        <c:overlap val="-6"/>
        <c:axId val="182927744"/>
        <c:axId val="182929280"/>
      </c:barChart>
      <c:catAx>
        <c:axId val="182927744"/>
        <c:scaling>
          <c:orientation val="minMax"/>
        </c:scaling>
        <c:axPos val="b"/>
        <c:numFmt formatCode="General" sourceLinked="1"/>
        <c:majorTickMark val="none"/>
        <c:tickLblPos val="nextTo"/>
        <c:txPr>
          <a:bodyPr/>
          <a:lstStyle/>
          <a:p>
            <a:pPr>
              <a:defRPr sz="900" b="1" i="0" baseline="0">
                <a:latin typeface="Arial" pitchFamily="34" charset="0"/>
              </a:defRPr>
            </a:pPr>
            <a:endParaRPr lang="ru-RU"/>
          </a:p>
        </c:txPr>
        <c:crossAx val="182929280"/>
        <c:crosses val="autoZero"/>
        <c:auto val="1"/>
        <c:lblAlgn val="ctr"/>
        <c:lblOffset val="100"/>
      </c:catAx>
      <c:valAx>
        <c:axId val="182929280"/>
        <c:scaling>
          <c:orientation val="minMax"/>
          <c:max val="22"/>
        </c:scaling>
        <c:axPos val="l"/>
        <c:majorGridlines>
          <c:spPr>
            <a:ln>
              <a:solidFill>
                <a:schemeClr val="bg1">
                  <a:lumMod val="65000"/>
                </a:schemeClr>
              </a:solidFill>
            </a:ln>
          </c:spPr>
        </c:majorGridlines>
        <c:numFmt formatCode="General" sourceLinked="1"/>
        <c:majorTickMark val="none"/>
        <c:tickLblPos val="nextTo"/>
        <c:txPr>
          <a:bodyPr/>
          <a:lstStyle/>
          <a:p>
            <a:pPr>
              <a:defRPr sz="900" b="1" i="0" baseline="0">
                <a:latin typeface="Arial" pitchFamily="34" charset="0"/>
              </a:defRPr>
            </a:pPr>
            <a:endParaRPr lang="ru-RU"/>
          </a:p>
        </c:txPr>
        <c:crossAx val="182927744"/>
        <c:crosses val="autoZero"/>
        <c:crossBetween val="between"/>
        <c:majorUnit val="2"/>
      </c:valAx>
      <c:spPr>
        <a:solidFill>
          <a:srgbClr val="FDF7F1"/>
        </a:solidFill>
      </c:spPr>
    </c:plotArea>
    <c:legend>
      <c:legendPos val="b"/>
      <c:layout>
        <c:manualLayout>
          <c:xMode val="edge"/>
          <c:yMode val="edge"/>
          <c:x val="0.22856899678250844"/>
          <c:y val="0.83032210533092299"/>
          <c:w val="0.60276097256016881"/>
          <c:h val="0.14986039652610142"/>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5.4737799582539298E-2"/>
          <c:y val="3.3040960354428696E-2"/>
          <c:w val="0.94526220041746156"/>
          <c:h val="0.64591654254333863"/>
        </c:manualLayout>
      </c:layout>
      <c:barChart>
        <c:barDir val="col"/>
        <c:grouping val="clustered"/>
        <c:ser>
          <c:idx val="0"/>
          <c:order val="0"/>
          <c:tx>
            <c:strRef>
              <c:f>Лист1!$B$1</c:f>
              <c:strCache>
                <c:ptCount val="1"/>
                <c:pt idx="0">
                  <c:v>санитарно-химические показатели</c:v>
                </c:pt>
              </c:strCache>
            </c:strRef>
          </c:tx>
          <c:spPr>
            <a:solidFill>
              <a:srgbClr val="779DCB"/>
            </a:solidFill>
          </c:spPr>
          <c:dLbls>
            <c:dLbl>
              <c:idx val="0"/>
              <c:layout>
                <c:manualLayout>
                  <c:x val="-2.2138680179047878E-3"/>
                  <c:y val="8.4610457119654228E-3"/>
                </c:manualLayout>
              </c:layout>
              <c:tx>
                <c:rich>
                  <a:bodyPr/>
                  <a:lstStyle/>
                  <a:p>
                    <a:r>
                      <a:rPr lang="en-US"/>
                      <a:t>1</a:t>
                    </a:r>
                    <a:r>
                      <a:rPr lang="ru-RU"/>
                      <a:t>,0</a:t>
                    </a:r>
                    <a:endParaRPr lang="en-US"/>
                  </a:p>
                </c:rich>
              </c:tx>
              <c:dLblPos val="outEnd"/>
              <c:showVal val="1"/>
            </c:dLbl>
            <c:dLbl>
              <c:idx val="1"/>
              <c:layout>
                <c:manualLayout>
                  <c:x val="-2.2138680179047878E-3"/>
                  <c:y val="8.4610457119654748E-3"/>
                </c:manualLayout>
              </c:layout>
              <c:dLblPos val="outEnd"/>
              <c:showVal val="1"/>
            </c:dLbl>
            <c:dLbl>
              <c:idx val="2"/>
              <c:layout>
                <c:manualLayout>
                  <c:x val="0"/>
                  <c:y val="8.4610457119654228E-3"/>
                </c:manualLayout>
              </c:layout>
              <c:dLblPos val="outEnd"/>
              <c:showVal val="1"/>
            </c:dLbl>
            <c:dLbl>
              <c:idx val="3"/>
              <c:layout>
                <c:manualLayout>
                  <c:x val="0"/>
                  <c:y val="1.6922091423930703E-2"/>
                </c:manualLayout>
              </c:layout>
              <c:dLblPos val="outEnd"/>
              <c:showVal val="1"/>
            </c:dLbl>
            <c:dLbl>
              <c:idx val="4"/>
              <c:layout>
                <c:manualLayout>
                  <c:x val="0"/>
                  <c:y val="2.1764284911283877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c:v>
                </c:pt>
                <c:pt idx="1">
                  <c:v>1.1000000000000001</c:v>
                </c:pt>
                <c:pt idx="2">
                  <c:v>0.8</c:v>
                </c:pt>
                <c:pt idx="3">
                  <c:v>3.6</c:v>
                </c:pt>
                <c:pt idx="4">
                  <c:v>0</c:v>
                </c:pt>
              </c:numCache>
            </c:numRef>
          </c:val>
        </c:ser>
        <c:ser>
          <c:idx val="1"/>
          <c:order val="1"/>
          <c:tx>
            <c:strRef>
              <c:f>Лист1!$C$1</c:f>
              <c:strCache>
                <c:ptCount val="1"/>
                <c:pt idx="0">
                  <c:v>микробиологические показатели</c:v>
                </c:pt>
              </c:strCache>
            </c:strRef>
          </c:tx>
          <c:spPr>
            <a:solidFill>
              <a:srgbClr val="F68426"/>
            </a:solidFill>
          </c:spPr>
          <c:dLbls>
            <c:dLbl>
              <c:idx val="0"/>
              <c:layout>
                <c:manualLayout>
                  <c:x val="0"/>
                  <c:y val="8.4610457119654228E-3"/>
                </c:manualLayout>
              </c:layout>
              <c:dLblPos val="outEnd"/>
              <c:showVal val="1"/>
            </c:dLbl>
            <c:dLbl>
              <c:idx val="2"/>
              <c:layout>
                <c:manualLayout>
                  <c:x val="-8.1174222924963918E-17"/>
                  <c:y val="8.4610457119654228E-3"/>
                </c:manualLayout>
              </c:layout>
              <c:tx>
                <c:rich>
                  <a:bodyPr/>
                  <a:lstStyle/>
                  <a:p>
                    <a:r>
                      <a:rPr lang="en-US"/>
                      <a:t>6</a:t>
                    </a:r>
                    <a:r>
                      <a:rPr lang="ru-RU"/>
                      <a:t>,0</a:t>
                    </a:r>
                    <a:endParaRPr lang="en-US"/>
                  </a:p>
                </c:rich>
              </c:tx>
              <c:dLblPos val="outEnd"/>
              <c:showVal val="1"/>
            </c:dLbl>
            <c:dLbl>
              <c:idx val="3"/>
              <c:layout>
                <c:manualLayout>
                  <c:x val="0"/>
                  <c:y val="8.4610457119654228E-3"/>
                </c:manualLayout>
              </c:layout>
              <c:dLblPos val="outEnd"/>
              <c:showVal val="1"/>
            </c:dLbl>
            <c:dLbl>
              <c:idx val="4"/>
              <c:layout>
                <c:manualLayout>
                  <c:x val="0"/>
                  <c:y val="2.1764284911283977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17.5</c:v>
                </c:pt>
                <c:pt idx="1">
                  <c:v>4.4000000000000004</c:v>
                </c:pt>
                <c:pt idx="2">
                  <c:v>6</c:v>
                </c:pt>
                <c:pt idx="3">
                  <c:v>6.5</c:v>
                </c:pt>
                <c:pt idx="4">
                  <c:v>3.6</c:v>
                </c:pt>
              </c:numCache>
            </c:numRef>
          </c:val>
        </c:ser>
        <c:ser>
          <c:idx val="2"/>
          <c:order val="2"/>
          <c:tx>
            <c:strRef>
              <c:f>Лист1!$D$1</c:f>
              <c:strCache>
                <c:ptCount val="1"/>
                <c:pt idx="0">
                  <c:v>паразитологические показатели</c:v>
                </c:pt>
              </c:strCache>
            </c:strRef>
          </c:tx>
          <c:spPr>
            <a:solidFill>
              <a:srgbClr val="9ABB59"/>
            </a:solidFill>
          </c:spPr>
          <c:dLbls>
            <c:dLbl>
              <c:idx val="0"/>
              <c:layout>
                <c:manualLayout>
                  <c:x val="0"/>
                  <c:y val="1.6922091423930703E-2"/>
                </c:manualLayout>
              </c:layout>
              <c:tx>
                <c:rich>
                  <a:bodyPr/>
                  <a:lstStyle/>
                  <a:p>
                    <a:r>
                      <a:rPr lang="en-US"/>
                      <a:t>2</a:t>
                    </a:r>
                    <a:r>
                      <a:rPr lang="ru-RU"/>
                      <a:t>,0</a:t>
                    </a:r>
                    <a:endParaRPr lang="en-US"/>
                  </a:p>
                </c:rich>
              </c:tx>
              <c:dLblPos val="outEnd"/>
              <c:showVal val="1"/>
            </c:dLbl>
            <c:dLbl>
              <c:idx val="1"/>
              <c:layout>
                <c:manualLayout>
                  <c:x val="0"/>
                  <c:y val="1.6922091423930703E-2"/>
                </c:manualLayout>
              </c:layout>
              <c:dLblPos val="outEnd"/>
              <c:showVal val="1"/>
            </c:dLbl>
            <c:dLbl>
              <c:idx val="2"/>
              <c:layout>
                <c:manualLayout>
                  <c:x val="0"/>
                  <c:y val="1.2691568567948027E-2"/>
                </c:manualLayout>
              </c:layout>
              <c:dLblPos val="outEnd"/>
              <c:showVal val="1"/>
            </c:dLbl>
            <c:dLbl>
              <c:idx val="3"/>
              <c:layout>
                <c:manualLayout>
                  <c:x val="0"/>
                  <c:y val="1.6922091423930703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2</c:v>
                </c:pt>
                <c:pt idx="1">
                  <c:v>1.2</c:v>
                </c:pt>
                <c:pt idx="2">
                  <c:v>2.2000000000000002</c:v>
                </c:pt>
                <c:pt idx="3">
                  <c:v>0.60000000000000064</c:v>
                </c:pt>
                <c:pt idx="4">
                  <c:v>1.6</c:v>
                </c:pt>
              </c:numCache>
            </c:numRef>
          </c:val>
        </c:ser>
        <c:dLbls>
          <c:showVal val="1"/>
        </c:dLbls>
        <c:axId val="183345152"/>
        <c:axId val="183346688"/>
      </c:barChart>
      <c:catAx>
        <c:axId val="183345152"/>
        <c:scaling>
          <c:orientation val="minMax"/>
        </c:scaling>
        <c:axPos val="b"/>
        <c:numFmt formatCode="General" sourceLinked="1"/>
        <c:tickLblPos val="nextTo"/>
        <c:txPr>
          <a:bodyPr/>
          <a:lstStyle/>
          <a:p>
            <a:pPr>
              <a:defRPr sz="900" b="1" i="0" baseline="0">
                <a:latin typeface="Arial" pitchFamily="34" charset="0"/>
              </a:defRPr>
            </a:pPr>
            <a:endParaRPr lang="ru-RU"/>
          </a:p>
        </c:txPr>
        <c:crossAx val="183346688"/>
        <c:crosses val="autoZero"/>
        <c:auto val="1"/>
        <c:lblAlgn val="ctr"/>
        <c:lblOffset val="100"/>
      </c:catAx>
      <c:valAx>
        <c:axId val="183346688"/>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183345152"/>
        <c:crosses val="autoZero"/>
        <c:crossBetween val="between"/>
        <c:majorUnit val="5"/>
      </c:valAx>
    </c:plotArea>
    <c:legend>
      <c:legendPos val="b"/>
      <c:layout>
        <c:manualLayout>
          <c:xMode val="edge"/>
          <c:yMode val="edge"/>
          <c:x val="0.20383039846042694"/>
          <c:y val="0.81979103544528709"/>
          <c:w val="0.63222528253641208"/>
          <c:h val="0.17720103755658828"/>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0"/>
  <c:clrMapOvr bg1="lt1" tx1="dk1" bg2="lt2" tx2="dk2" accent1="accent1" accent2="accent2" accent3="accent3" accent4="accent4" accent5="accent5" accent6="accent6" hlink="hlink" folHlink="folHlink"/>
  <c:chart>
    <c:plotArea>
      <c:layout>
        <c:manualLayout>
          <c:layoutTarget val="inner"/>
          <c:xMode val="edge"/>
          <c:yMode val="edge"/>
          <c:x val="5.2725308776200665E-2"/>
          <c:y val="2.3324854279578568E-2"/>
          <c:w val="0.93225301472061151"/>
          <c:h val="0.69215637818000031"/>
        </c:manualLayout>
      </c:layout>
      <c:barChart>
        <c:barDir val="col"/>
        <c:grouping val="clustered"/>
        <c:ser>
          <c:idx val="0"/>
          <c:order val="0"/>
          <c:tx>
            <c:strRef>
              <c:f>Лист1!$B$1</c:f>
              <c:strCache>
                <c:ptCount val="1"/>
                <c:pt idx="0">
                  <c:v>санитарно-химические показатели</c:v>
                </c:pt>
              </c:strCache>
            </c:strRef>
          </c:tx>
          <c:spPr>
            <a:solidFill>
              <a:srgbClr val="934607"/>
            </a:solidFill>
            <a:ln>
              <a:solidFill>
                <a:schemeClr val="bg1"/>
              </a:solidFill>
            </a:ln>
          </c:spPr>
          <c:dLbls>
            <c:dLbl>
              <c:idx val="0"/>
              <c:layout>
                <c:manualLayout>
                  <c:x val="-6.4705880354921589E-3"/>
                  <c:y val="7.5290892588352684E-3"/>
                </c:manualLayout>
              </c:layout>
              <c:dLblPos val="outEnd"/>
              <c:showVal val="1"/>
            </c:dLbl>
            <c:dLbl>
              <c:idx val="1"/>
              <c:layout>
                <c:manualLayout>
                  <c:x val="0"/>
                  <c:y val="5.2593949102170924E-3"/>
                </c:manualLayout>
              </c:layout>
              <c:dLblPos val="outEnd"/>
              <c:showVal val="1"/>
            </c:dLbl>
            <c:dLbl>
              <c:idx val="2"/>
              <c:layout>
                <c:manualLayout>
                  <c:x val="-4.3137253569947394E-3"/>
                  <c:y val="1.0518493399597225E-2"/>
                </c:manualLayout>
              </c:layout>
              <c:dLblPos val="outEnd"/>
              <c:showVal val="1"/>
            </c:dLbl>
            <c:dLbl>
              <c:idx val="3"/>
              <c:layout>
                <c:manualLayout>
                  <c:x val="-2.1081209785974997E-3"/>
                  <c:y val="1.655302879847009E-2"/>
                </c:manualLayout>
              </c:layout>
              <c:dLblPos val="outEnd"/>
              <c:showVal val="1"/>
            </c:dLbl>
            <c:dLbl>
              <c:idx val="5"/>
              <c:layout>
                <c:manualLayout>
                  <c:x val="-4.3137253569947394E-3"/>
                  <c:y val="1.1293633888252899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2.2000000000000002</c:v>
                </c:pt>
                <c:pt idx="1">
                  <c:v>1.3</c:v>
                </c:pt>
                <c:pt idx="2">
                  <c:v>1.8</c:v>
                </c:pt>
                <c:pt idx="3">
                  <c:v>0.8</c:v>
                </c:pt>
                <c:pt idx="4">
                  <c:v>3.4</c:v>
                </c:pt>
                <c:pt idx="5">
                  <c:v>0.2</c:v>
                </c:pt>
              </c:numCache>
            </c:numRef>
          </c:val>
        </c:ser>
        <c:ser>
          <c:idx val="1"/>
          <c:order val="1"/>
          <c:tx>
            <c:strRef>
              <c:f>Лист1!$C$1</c:f>
              <c:strCache>
                <c:ptCount val="1"/>
                <c:pt idx="0">
                  <c:v>микробиологические показатели</c:v>
                </c:pt>
              </c:strCache>
            </c:strRef>
          </c:tx>
          <c:spPr>
            <a:solidFill>
              <a:srgbClr val="F79646">
                <a:lumMod val="75000"/>
              </a:srgbClr>
            </a:solidFill>
            <a:ln>
              <a:solidFill>
                <a:schemeClr val="bg1"/>
              </a:solidFill>
            </a:ln>
          </c:spPr>
          <c:dLbls>
            <c:dLbl>
              <c:idx val="0"/>
              <c:layout>
                <c:manualLayout>
                  <c:x val="0"/>
                  <c:y val="-4.5396851180733522E-3"/>
                </c:manualLayout>
              </c:layout>
              <c:tx>
                <c:rich>
                  <a:bodyPr/>
                  <a:lstStyle/>
                  <a:p>
                    <a:r>
                      <a:rPr lang="ru-RU"/>
                      <a:t>15,3</a:t>
                    </a:r>
                    <a:endParaRPr lang="en-US"/>
                  </a:p>
                </c:rich>
              </c:tx>
              <c:dLblPos val="outEnd"/>
              <c:showVal val="1"/>
            </c:dLbl>
            <c:dLbl>
              <c:idx val="1"/>
              <c:layout>
                <c:manualLayout>
                  <c:x val="0"/>
                  <c:y val="2.9894041407619765E-3"/>
                </c:manualLayout>
              </c:layout>
              <c:dLblPos val="outEnd"/>
              <c:showVal val="1"/>
            </c:dLbl>
            <c:dLbl>
              <c:idx val="2"/>
              <c:layout>
                <c:manualLayout>
                  <c:x val="0"/>
                  <c:y val="1.7300305728451242E-2"/>
                </c:manualLayout>
              </c:layout>
              <c:dLblPos val="outEnd"/>
              <c:showVal val="1"/>
            </c:dLbl>
            <c:dLbl>
              <c:idx val="3"/>
              <c:layout>
                <c:manualLayout>
                  <c:x val="0"/>
                  <c:y val="1.3535780289772486E-2"/>
                </c:manualLayout>
              </c:layout>
              <c:dLblPos val="outEnd"/>
              <c:showVal val="1"/>
            </c:dLbl>
            <c:dLbl>
              <c:idx val="4"/>
              <c:layout>
                <c:manualLayout>
                  <c:x val="0"/>
                  <c:y val="1.1293633888252899E-2"/>
                </c:manualLayout>
              </c:layout>
              <c:dLblPos val="outEnd"/>
              <c:showVal val="1"/>
            </c:dLbl>
            <c:dLbl>
              <c:idx val="5"/>
              <c:layout>
                <c:manualLayout>
                  <c:x val="0"/>
                  <c:y val="7.5290892588352684E-3"/>
                </c:manualLayout>
              </c:layout>
              <c:dLblPos val="outEnd"/>
              <c:showVal val="1"/>
            </c:dLbl>
            <c:txPr>
              <a:bodyPr/>
              <a:lstStyle/>
              <a:p>
                <a:pPr>
                  <a:defRPr sz="900" b="1" baseline="0">
                    <a:latin typeface="Arial" pitchFamily="34" charset="0"/>
                    <a:cs typeface="Arial" pitchFamily="34" charset="0"/>
                  </a:defRPr>
                </a:pPr>
                <a:endParaRPr lang="ru-RU"/>
              </a:p>
            </c:txPr>
            <c:dLblPos val="outEnd"/>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15.3</c:v>
                </c:pt>
                <c:pt idx="1">
                  <c:v>17.600000000000001</c:v>
                </c:pt>
                <c:pt idx="2">
                  <c:v>4.7</c:v>
                </c:pt>
                <c:pt idx="3">
                  <c:v>8.5</c:v>
                </c:pt>
                <c:pt idx="4">
                  <c:v>6.5</c:v>
                </c:pt>
                <c:pt idx="5">
                  <c:v>4.5</c:v>
                </c:pt>
              </c:numCache>
            </c:numRef>
          </c:val>
        </c:ser>
        <c:ser>
          <c:idx val="2"/>
          <c:order val="2"/>
          <c:tx>
            <c:strRef>
              <c:f>Лист1!$D$1</c:f>
              <c:strCache>
                <c:ptCount val="1"/>
                <c:pt idx="0">
                  <c:v>паразитологические показатели</c:v>
                </c:pt>
              </c:strCache>
            </c:strRef>
          </c:tx>
          <c:spPr>
            <a:ln>
              <a:solidFill>
                <a:schemeClr val="bg1"/>
              </a:solidFill>
            </a:ln>
          </c:spPr>
          <c:dLbls>
            <c:dLbl>
              <c:idx val="0"/>
              <c:layout>
                <c:manualLayout>
                  <c:x val="0"/>
                  <c:y val="1.3535780289772486E-2"/>
                </c:manualLayout>
              </c:layout>
              <c:tx>
                <c:rich>
                  <a:bodyPr/>
                  <a:lstStyle/>
                  <a:p>
                    <a:r>
                      <a:rPr lang="en-US"/>
                      <a:t>2</a:t>
                    </a:r>
                    <a:r>
                      <a:rPr lang="ru-RU"/>
                      <a:t>,0</a:t>
                    </a:r>
                    <a:endParaRPr lang="en-US"/>
                  </a:p>
                </c:rich>
              </c:tx>
              <c:dLblPos val="outEnd"/>
              <c:showVal val="1"/>
            </c:dLbl>
            <c:dLbl>
              <c:idx val="1"/>
              <c:layout>
                <c:manualLayout>
                  <c:x val="2.1566928467904051E-3"/>
                  <c:y val="8.2763661888165131E-3"/>
                </c:manualLayout>
              </c:layout>
              <c:dLblPos val="outEnd"/>
              <c:showVal val="1"/>
            </c:dLbl>
            <c:dLbl>
              <c:idx val="2"/>
              <c:layout>
                <c:manualLayout>
                  <c:x val="2.1568626784973792E-3"/>
                  <c:y val="7.5290892588352684E-3"/>
                </c:manualLayout>
              </c:layout>
              <c:dLblPos val="outEnd"/>
              <c:showVal val="1"/>
            </c:dLbl>
            <c:dLbl>
              <c:idx val="3"/>
              <c:layout>
                <c:manualLayout>
                  <c:x val="4.3137253569948191E-3"/>
                  <c:y val="2.9894041407619765E-3"/>
                </c:manualLayout>
              </c:layout>
              <c:dLblPos val="outEnd"/>
              <c:showVal val="1"/>
            </c:dLbl>
            <c:dLbl>
              <c:idx val="4"/>
              <c:layout>
                <c:manualLayout>
                  <c:x val="4.3137253569947394E-3"/>
                  <c:y val="1.1293633888252899E-2"/>
                </c:manualLayout>
              </c:layout>
              <c:dLblPos val="outEnd"/>
              <c:showVal val="1"/>
            </c:dLbl>
            <c:dLbl>
              <c:idx val="5"/>
              <c:layout>
                <c:manualLayout>
                  <c:x val="0"/>
                  <c:y val="3.7645446294176533E-3"/>
                </c:manualLayout>
              </c:layout>
              <c:dLblPos val="outEnd"/>
              <c:showVal val="1"/>
            </c:dLbl>
            <c:txPr>
              <a:bodyPr/>
              <a:lstStyle/>
              <a:p>
                <a:pPr>
                  <a:defRPr sz="900" b="1" i="0" baseline="0">
                    <a:latin typeface="Arial" pitchFamily="34" charset="0"/>
                  </a:defRPr>
                </a:pPr>
                <a:endParaRPr lang="ru-RU"/>
              </a:p>
            </c:txPr>
            <c:dLblPos val="outEnd"/>
            <c:showVal val="1"/>
          </c:dLbls>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2</c:v>
                </c:pt>
                <c:pt idx="1">
                  <c:v>2.6</c:v>
                </c:pt>
                <c:pt idx="2">
                  <c:v>1.8</c:v>
                </c:pt>
                <c:pt idx="3">
                  <c:v>3.1</c:v>
                </c:pt>
                <c:pt idx="4">
                  <c:v>0.60000000000000064</c:v>
                </c:pt>
                <c:pt idx="5">
                  <c:v>1.2</c:v>
                </c:pt>
              </c:numCache>
            </c:numRef>
          </c:val>
        </c:ser>
        <c:dLbls>
          <c:showVal val="1"/>
        </c:dLbls>
        <c:overlap val="-6"/>
        <c:axId val="139503488"/>
        <c:axId val="139505024"/>
      </c:barChart>
      <c:catAx>
        <c:axId val="139503488"/>
        <c:scaling>
          <c:orientation val="minMax"/>
        </c:scaling>
        <c:axPos val="b"/>
        <c:numFmt formatCode="General" sourceLinked="1"/>
        <c:majorTickMark val="none"/>
        <c:tickLblPos val="nextTo"/>
        <c:txPr>
          <a:bodyPr/>
          <a:lstStyle/>
          <a:p>
            <a:pPr>
              <a:defRPr sz="900" b="1" i="0" baseline="0">
                <a:latin typeface="Arial" pitchFamily="34" charset="0"/>
              </a:defRPr>
            </a:pPr>
            <a:endParaRPr lang="ru-RU"/>
          </a:p>
        </c:txPr>
        <c:crossAx val="139505024"/>
        <c:crosses val="autoZero"/>
        <c:auto val="1"/>
        <c:lblAlgn val="ctr"/>
        <c:lblOffset val="100"/>
      </c:catAx>
      <c:valAx>
        <c:axId val="139505024"/>
        <c:scaling>
          <c:orientation val="minMax"/>
          <c:max val="22"/>
        </c:scaling>
        <c:axPos val="l"/>
        <c:majorGridlines>
          <c:spPr>
            <a:ln>
              <a:solidFill>
                <a:schemeClr val="bg1">
                  <a:lumMod val="65000"/>
                </a:schemeClr>
              </a:solidFill>
            </a:ln>
          </c:spPr>
        </c:majorGridlines>
        <c:numFmt formatCode="General" sourceLinked="1"/>
        <c:majorTickMark val="none"/>
        <c:tickLblPos val="nextTo"/>
        <c:txPr>
          <a:bodyPr/>
          <a:lstStyle/>
          <a:p>
            <a:pPr>
              <a:defRPr sz="900" b="1" i="0" baseline="0">
                <a:latin typeface="Arial" pitchFamily="34" charset="0"/>
              </a:defRPr>
            </a:pPr>
            <a:endParaRPr lang="ru-RU"/>
          </a:p>
        </c:txPr>
        <c:crossAx val="139503488"/>
        <c:crosses val="autoZero"/>
        <c:crossBetween val="between"/>
        <c:majorUnit val="2"/>
      </c:valAx>
      <c:spPr>
        <a:solidFill>
          <a:srgbClr val="FDF7F1"/>
        </a:solidFill>
      </c:spPr>
    </c:plotArea>
    <c:legend>
      <c:legendPos val="b"/>
      <c:layout>
        <c:manualLayout>
          <c:xMode val="edge"/>
          <c:yMode val="edge"/>
          <c:x val="0.13572354999175268"/>
          <c:y val="0.83777132705738944"/>
          <c:w val="0.59404040316349982"/>
          <c:h val="0.16222867294261312"/>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5.4791449025284024E-2"/>
          <c:y val="1.8947203127700665E-2"/>
          <c:w val="0.94520855097471645"/>
          <c:h val="0.65002717708208035"/>
        </c:manualLayout>
      </c:layout>
      <c:barChart>
        <c:barDir val="col"/>
        <c:grouping val="clustered"/>
        <c:ser>
          <c:idx val="0"/>
          <c:order val="0"/>
          <c:tx>
            <c:strRef>
              <c:f>Лист1!$B$1</c:f>
              <c:strCache>
                <c:ptCount val="1"/>
                <c:pt idx="0">
                  <c:v>санитарно-химические показатели</c:v>
                </c:pt>
              </c:strCache>
            </c:strRef>
          </c:tx>
          <c:spPr>
            <a:solidFill>
              <a:srgbClr val="FF5050"/>
            </a:solidFill>
          </c:spPr>
          <c:dLbls>
            <c:dLbl>
              <c:idx val="0"/>
              <c:layout>
                <c:manualLayout>
                  <c:x val="0"/>
                  <c:y val="8.4903802988415111E-3"/>
                </c:manualLayout>
              </c:layout>
              <c:dLblPos val="outEnd"/>
              <c:showVal val="1"/>
            </c:dLbl>
            <c:dLbl>
              <c:idx val="1"/>
              <c:layout>
                <c:manualLayout>
                  <c:x val="-4.4331695329552102E-3"/>
                  <c:y val="1.2735570448262401E-2"/>
                </c:manualLayout>
              </c:layout>
              <c:dLblPos val="outEnd"/>
              <c:showVal val="1"/>
            </c:dLbl>
            <c:dLbl>
              <c:idx val="2"/>
              <c:layout>
                <c:manualLayout>
                  <c:x val="0"/>
                  <c:y val="8.4903802988415267E-3"/>
                </c:manualLayout>
              </c:layout>
              <c:tx>
                <c:rich>
                  <a:bodyPr/>
                  <a:lstStyle/>
                  <a:p>
                    <a:r>
                      <a:rPr lang="ru-RU"/>
                      <a:t>1,0</a:t>
                    </a:r>
                    <a:endParaRPr lang="en-US"/>
                  </a:p>
                </c:rich>
              </c:tx>
              <c:dLblPos val="outEnd"/>
              <c:showVal val="1"/>
            </c:dLbl>
            <c:dLbl>
              <c:idx val="3"/>
              <c:layout>
                <c:manualLayout>
                  <c:x val="-4.4331695329552102E-3"/>
                  <c:y val="8.4903802988415267E-3"/>
                </c:manualLayout>
              </c:layout>
              <c:dLblPos val="outEnd"/>
              <c:showVal val="1"/>
            </c:dLbl>
            <c:dLbl>
              <c:idx val="4"/>
              <c:layout>
                <c:manualLayout>
                  <c:x val="0"/>
                  <c:y val="1.7121933331415921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0</c:v>
                </c:pt>
                <c:pt idx="1">
                  <c:v>1.3</c:v>
                </c:pt>
                <c:pt idx="2">
                  <c:v>1</c:v>
                </c:pt>
                <c:pt idx="3">
                  <c:v>1.3</c:v>
                </c:pt>
                <c:pt idx="4">
                  <c:v>0</c:v>
                </c:pt>
              </c:numCache>
            </c:numRef>
          </c:val>
        </c:ser>
        <c:ser>
          <c:idx val="1"/>
          <c:order val="1"/>
          <c:tx>
            <c:strRef>
              <c:f>Лист1!$C$1</c:f>
              <c:strCache>
                <c:ptCount val="1"/>
                <c:pt idx="0">
                  <c:v>микробиологические показатели</c:v>
                </c:pt>
              </c:strCache>
            </c:strRef>
          </c:tx>
          <c:spPr>
            <a:solidFill>
              <a:srgbClr val="85CA3A">
                <a:alpha val="92941"/>
              </a:srgbClr>
            </a:solidFill>
          </c:spPr>
          <c:dLbls>
            <c:dLbl>
              <c:idx val="0"/>
              <c:layout>
                <c:manualLayout>
                  <c:x val="0"/>
                  <c:y val="2.2829244441887889E-2"/>
                </c:manualLayout>
              </c:layout>
              <c:dLblPos val="outEnd"/>
              <c:showVal val="1"/>
            </c:dLbl>
            <c:dLbl>
              <c:idx val="1"/>
              <c:layout>
                <c:manualLayout>
                  <c:x val="0"/>
                  <c:y val="-8.4903802988415111E-3"/>
                </c:manualLayout>
              </c:layout>
              <c:dLblPos val="outEnd"/>
              <c:showVal val="1"/>
            </c:dLbl>
            <c:dLbl>
              <c:idx val="2"/>
              <c:layout>
                <c:manualLayout>
                  <c:x val="0"/>
                  <c:y val="-8.4903802988415111E-3"/>
                </c:manualLayout>
              </c:layout>
              <c:dLblPos val="outEnd"/>
              <c:showVal val="1"/>
            </c:dLbl>
            <c:dLbl>
              <c:idx val="3"/>
              <c:layout>
                <c:manualLayout>
                  <c:x val="-2.2165847664776302E-3"/>
                  <c:y val="1.273557044826232E-2"/>
                </c:manualLayout>
              </c:layout>
              <c:dLblPos val="outEnd"/>
              <c:showVal val="1"/>
            </c:dLbl>
            <c:dLbl>
              <c:idx val="4"/>
              <c:layout>
                <c:manualLayout>
                  <c:x val="0"/>
                  <c:y val="5.2334941980329824E-3"/>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10.8</c:v>
                </c:pt>
                <c:pt idx="1">
                  <c:v>2.5</c:v>
                </c:pt>
                <c:pt idx="2">
                  <c:v>2.4</c:v>
                </c:pt>
                <c:pt idx="3">
                  <c:v>0.9</c:v>
                </c:pt>
                <c:pt idx="4">
                  <c:v>1.7</c:v>
                </c:pt>
              </c:numCache>
            </c:numRef>
          </c:val>
        </c:ser>
        <c:ser>
          <c:idx val="2"/>
          <c:order val="2"/>
          <c:tx>
            <c:strRef>
              <c:f>Лист1!$D$1</c:f>
              <c:strCache>
                <c:ptCount val="1"/>
                <c:pt idx="0">
                  <c:v>паразитологические показатели</c:v>
                </c:pt>
              </c:strCache>
            </c:strRef>
          </c:tx>
          <c:spPr>
            <a:solidFill>
              <a:srgbClr val="F5D90B"/>
            </a:solidFill>
          </c:spPr>
          <c:dLbls>
            <c:dLbl>
              <c:idx val="2"/>
              <c:layout>
                <c:manualLayout>
                  <c:x val="0"/>
                  <c:y val="1.6980760597682967E-2"/>
                </c:manualLayout>
              </c:layout>
              <c:dLblPos val="outEnd"/>
              <c:showVal val="1"/>
            </c:dLbl>
            <c:dLbl>
              <c:idx val="3"/>
              <c:layout>
                <c:manualLayout>
                  <c:x val="-2.2165847664776302E-3"/>
                  <c:y val="1.6980760597682967E-2"/>
                </c:manualLayout>
              </c:layout>
              <c:dLblPos val="outEnd"/>
              <c:showVal val="1"/>
            </c:dLbl>
            <c:dLbl>
              <c:idx val="4"/>
              <c:layout>
                <c:manualLayout>
                  <c:x val="0"/>
                  <c:y val="2.2829244441887889E-2"/>
                </c:manualLayout>
              </c:layout>
              <c:dLblPos val="outEnd"/>
              <c:showVal val="1"/>
            </c:dLbl>
            <c:txPr>
              <a:bodyPr/>
              <a:lstStyle/>
              <a:p>
                <a:pPr>
                  <a:defRPr sz="900" b="1" i="0" baseline="0">
                    <a:latin typeface="Arial" pitchFamily="34" charset="0"/>
                  </a:defRPr>
                </a:pPr>
                <a:endParaRPr lang="ru-RU"/>
              </a:p>
            </c:txPr>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0.2</c:v>
                </c:pt>
                <c:pt idx="1">
                  <c:v>0.2</c:v>
                </c:pt>
                <c:pt idx="2">
                  <c:v>0</c:v>
                </c:pt>
                <c:pt idx="3">
                  <c:v>0</c:v>
                </c:pt>
                <c:pt idx="4">
                  <c:v>0</c:v>
                </c:pt>
              </c:numCache>
            </c:numRef>
          </c:val>
        </c:ser>
        <c:axId val="183287168"/>
        <c:axId val="199570560"/>
      </c:barChart>
      <c:catAx>
        <c:axId val="183287168"/>
        <c:scaling>
          <c:orientation val="minMax"/>
        </c:scaling>
        <c:axPos val="b"/>
        <c:numFmt formatCode="General" sourceLinked="1"/>
        <c:tickLblPos val="nextTo"/>
        <c:txPr>
          <a:bodyPr/>
          <a:lstStyle/>
          <a:p>
            <a:pPr>
              <a:defRPr sz="900" b="1" i="0" baseline="0">
                <a:latin typeface="Arial" pitchFamily="34" charset="0"/>
              </a:defRPr>
            </a:pPr>
            <a:endParaRPr lang="ru-RU"/>
          </a:p>
        </c:txPr>
        <c:crossAx val="199570560"/>
        <c:crosses val="autoZero"/>
        <c:auto val="1"/>
        <c:lblAlgn val="ctr"/>
        <c:lblOffset val="100"/>
      </c:catAx>
      <c:valAx>
        <c:axId val="199570560"/>
        <c:scaling>
          <c:orientation val="minMax"/>
          <c:max val="12"/>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183287168"/>
        <c:crosses val="autoZero"/>
        <c:crossBetween val="between"/>
        <c:majorUnit val="3"/>
      </c:valAx>
    </c:plotArea>
    <c:legend>
      <c:legendPos val="b"/>
      <c:layout>
        <c:manualLayout>
          <c:xMode val="edge"/>
          <c:yMode val="edge"/>
          <c:x val="0.18171334635881739"/>
          <c:y val="0.78033335297610651"/>
          <c:w val="0.58330287670627656"/>
          <c:h val="0.21875799704699259"/>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plotArea>
      <c:layout/>
      <c:barChart>
        <c:barDir val="col"/>
        <c:grouping val="clustered"/>
        <c:ser>
          <c:idx val="0"/>
          <c:order val="0"/>
          <c:tx>
            <c:strRef>
              <c:f>Лист1!$B$1</c:f>
              <c:strCache>
                <c:ptCount val="1"/>
                <c:pt idx="0">
                  <c:v>Доля уровня шума не соответствующего гигиеническим нормативам</c:v>
                </c:pt>
              </c:strCache>
            </c:strRef>
          </c:tx>
          <c:dPt>
            <c:idx val="6"/>
            <c:spPr>
              <a:solidFill>
                <a:srgbClr val="EC3C8C"/>
              </a:solidFill>
            </c:spPr>
          </c:dPt>
          <c:dLbls>
            <c:dLbl>
              <c:idx val="0"/>
              <c:layout>
                <c:manualLayout>
                  <c:x val="0"/>
                  <c:y val="2.0187336896848668E-2"/>
                </c:manualLayout>
              </c:layout>
              <c:dLblPos val="outEnd"/>
              <c:showVal val="1"/>
            </c:dLbl>
            <c:dLbl>
              <c:idx val="1"/>
              <c:layout>
                <c:manualLayout>
                  <c:x val="-4.3780374730594165E-17"/>
                  <c:y val="1.0093668448424334E-2"/>
                </c:manualLayout>
              </c:layout>
              <c:dLblPos val="outEnd"/>
              <c:showVal val="1"/>
            </c:dLbl>
            <c:dLbl>
              <c:idx val="2"/>
              <c:layout>
                <c:manualLayout>
                  <c:x val="0"/>
                  <c:y val="0"/>
                </c:manualLayout>
              </c:layout>
              <c:tx>
                <c:rich>
                  <a:bodyPr/>
                  <a:lstStyle/>
                  <a:p>
                    <a:r>
                      <a:rPr lang="ru-RU" sz="900" b="1" i="0" baseline="0">
                        <a:latin typeface="Arial" pitchFamily="34" charset="0"/>
                      </a:rPr>
                      <a:t>100</a:t>
                    </a:r>
                    <a:endParaRPr lang="en-US"/>
                  </a:p>
                </c:rich>
              </c:tx>
              <c:dLblPos val="outEnd"/>
              <c:showVal val="1"/>
            </c:dLbl>
            <c:dLbl>
              <c:idx val="3"/>
              <c:layout>
                <c:manualLayout>
                  <c:x val="0"/>
                  <c:y val="5.0468342242121914E-3"/>
                </c:manualLayout>
              </c:layout>
              <c:tx>
                <c:rich>
                  <a:bodyPr/>
                  <a:lstStyle/>
                  <a:p>
                    <a:r>
                      <a:rPr lang="en-US"/>
                      <a:t>82</a:t>
                    </a:r>
                    <a:r>
                      <a:rPr lang="ru-RU"/>
                      <a:t>,0</a:t>
                    </a:r>
                    <a:endParaRPr lang="en-US"/>
                  </a:p>
                </c:rich>
              </c:tx>
              <c:dLblPos val="outEnd"/>
              <c:showVal val="1"/>
            </c:dLbl>
            <c:dLbl>
              <c:idx val="4"/>
              <c:layout>
                <c:manualLayout>
                  <c:x val="0"/>
                  <c:y val="1.5140502672636521E-2"/>
                </c:manualLayout>
              </c:layout>
              <c:dLblPos val="outEnd"/>
              <c:showVal val="1"/>
            </c:dLbl>
            <c:txPr>
              <a:bodyPr/>
              <a:lstStyle/>
              <a:p>
                <a:pPr>
                  <a:defRPr sz="900" b="1" i="0" baseline="0">
                    <a:latin typeface="Arial" pitchFamily="34" charset="0"/>
                  </a:defRPr>
                </a:pPr>
                <a:endParaRPr lang="ru-RU"/>
              </a:p>
            </c:txPr>
            <c:dLblPos val="outEnd"/>
            <c:showVal val="1"/>
          </c:dLbls>
          <c:cat>
            <c:strRef>
              <c:f>Лист1!$A$2:$A$8</c:f>
              <c:strCache>
                <c:ptCount val="7"/>
                <c:pt idx="0">
                  <c:v>2016</c:v>
                </c:pt>
                <c:pt idx="1">
                  <c:v>2017</c:v>
                </c:pt>
                <c:pt idx="2">
                  <c:v>2018</c:v>
                </c:pt>
                <c:pt idx="3">
                  <c:v>2019</c:v>
                </c:pt>
                <c:pt idx="4">
                  <c:v>2020</c:v>
                </c:pt>
                <c:pt idx="5">
                  <c:v>2021</c:v>
                </c:pt>
                <c:pt idx="6">
                  <c:v>РФ 2020</c:v>
                </c:pt>
              </c:strCache>
            </c:strRef>
          </c:cat>
          <c:val>
            <c:numRef>
              <c:f>Лист1!$B$2:$B$8</c:f>
              <c:numCache>
                <c:formatCode>General</c:formatCode>
                <c:ptCount val="7"/>
                <c:pt idx="0">
                  <c:v>41.9</c:v>
                </c:pt>
                <c:pt idx="1">
                  <c:v>24.5</c:v>
                </c:pt>
                <c:pt idx="2">
                  <c:v>100</c:v>
                </c:pt>
                <c:pt idx="3">
                  <c:v>82</c:v>
                </c:pt>
                <c:pt idx="4">
                  <c:v>68.7</c:v>
                </c:pt>
                <c:pt idx="5">
                  <c:v>78.8</c:v>
                </c:pt>
                <c:pt idx="6">
                  <c:v>42.2</c:v>
                </c:pt>
              </c:numCache>
            </c:numRef>
          </c:val>
        </c:ser>
        <c:dLbls>
          <c:showVal val="1"/>
        </c:dLbls>
        <c:axId val="199632000"/>
        <c:axId val="199633536"/>
      </c:barChart>
      <c:catAx>
        <c:axId val="199632000"/>
        <c:scaling>
          <c:orientation val="minMax"/>
        </c:scaling>
        <c:axPos val="b"/>
        <c:numFmt formatCode="General" sourceLinked="1"/>
        <c:tickLblPos val="nextTo"/>
        <c:txPr>
          <a:bodyPr/>
          <a:lstStyle/>
          <a:p>
            <a:pPr>
              <a:defRPr sz="900" b="1" i="0" baseline="0">
                <a:latin typeface="Arial" pitchFamily="34" charset="0"/>
              </a:defRPr>
            </a:pPr>
            <a:endParaRPr lang="ru-RU"/>
          </a:p>
        </c:txPr>
        <c:crossAx val="199633536"/>
        <c:crosses val="autoZero"/>
        <c:auto val="1"/>
        <c:lblAlgn val="ctr"/>
        <c:lblOffset val="100"/>
      </c:catAx>
      <c:valAx>
        <c:axId val="199633536"/>
        <c:scaling>
          <c:orientation val="minMax"/>
        </c:scaling>
        <c:axPos val="l"/>
        <c:majorGridlines/>
        <c:numFmt formatCode="General" sourceLinked="1"/>
        <c:tickLblPos val="nextTo"/>
        <c:txPr>
          <a:bodyPr/>
          <a:lstStyle/>
          <a:p>
            <a:pPr>
              <a:defRPr sz="900" b="1" i="0" baseline="0">
                <a:latin typeface="Arial" pitchFamily="34" charset="0"/>
              </a:defRPr>
            </a:pPr>
            <a:endParaRPr lang="ru-RU"/>
          </a:p>
        </c:txPr>
        <c:crossAx val="199632000"/>
        <c:crosses val="autoZero"/>
        <c:crossBetween val="between"/>
      </c:valAx>
      <c:spPr>
        <a:solidFill>
          <a:srgbClr val="F3EDF7"/>
        </a:solidFill>
      </c:spPr>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Доля уровня шума не соответствующего гигиеническим нормативам</c:v>
                </c:pt>
              </c:strCache>
            </c:strRef>
          </c:tx>
          <c:dPt>
            <c:idx val="6"/>
            <c:spPr>
              <a:solidFill>
                <a:srgbClr val="00B050"/>
              </a:solidFill>
            </c:spPr>
          </c:dPt>
          <c:dLbls>
            <c:dLbl>
              <c:idx val="0"/>
              <c:layout>
                <c:manualLayout>
                  <c:x val="0"/>
                  <c:y val="2.0187336896848668E-2"/>
                </c:manualLayout>
              </c:layout>
              <c:dLblPos val="outEnd"/>
              <c:showVal val="1"/>
            </c:dLbl>
            <c:dLbl>
              <c:idx val="1"/>
              <c:layout>
                <c:manualLayout>
                  <c:x val="-4.3780374730594091E-17"/>
                  <c:y val="1.0093668448424334E-2"/>
                </c:manualLayout>
              </c:layout>
              <c:dLblPos val="outEnd"/>
              <c:showVal val="1"/>
            </c:dLbl>
            <c:dLbl>
              <c:idx val="2"/>
              <c:layout>
                <c:manualLayout>
                  <c:x val="0"/>
                  <c:y val="2.0187336896848668E-2"/>
                </c:manualLayout>
              </c:layout>
              <c:tx>
                <c:rich>
                  <a:bodyPr/>
                  <a:lstStyle/>
                  <a:p>
                    <a:r>
                      <a:rPr lang="en-US"/>
                      <a:t>42</a:t>
                    </a:r>
                    <a:r>
                      <a:rPr lang="ru-RU"/>
                      <a:t>,0</a:t>
                    </a:r>
                    <a:endParaRPr lang="en-US"/>
                  </a:p>
                </c:rich>
              </c:tx>
              <c:dLblPos val="outEnd"/>
              <c:showVal val="1"/>
            </c:dLbl>
            <c:dLbl>
              <c:idx val="3"/>
              <c:layout>
                <c:manualLayout>
                  <c:x val="0"/>
                  <c:y val="2.5234171121061206E-2"/>
                </c:manualLayout>
              </c:layout>
              <c:dLblPos val="outEnd"/>
              <c:showVal val="1"/>
            </c:dLbl>
            <c:dLbl>
              <c:idx val="4"/>
              <c:layout>
                <c:manualLayout>
                  <c:x val="0"/>
                  <c:y val="-2.5234171121061039E-2"/>
                </c:manualLayout>
              </c:layout>
              <c:dLblPos val="outEnd"/>
              <c:showVal val="1"/>
            </c:dLbl>
            <c:dLbl>
              <c:idx val="5"/>
              <c:layout>
                <c:manualLayout>
                  <c:x val="0"/>
                  <c:y val="2.5234171121061039E-2"/>
                </c:manualLayout>
              </c:layout>
              <c:dLblPos val="outEnd"/>
              <c:showVal val="1"/>
            </c:dLbl>
            <c:dLbl>
              <c:idx val="6"/>
              <c:layout>
                <c:manualLayout>
                  <c:x val="-2.3880480264663415E-3"/>
                  <c:y val="2.0187336896848668E-2"/>
                </c:manualLayout>
              </c:layout>
              <c:dLblPos val="outEnd"/>
              <c:showVal val="1"/>
            </c:dLbl>
            <c:dLblPos val="outEnd"/>
            <c:showVal val="1"/>
          </c:dLbls>
          <c:cat>
            <c:strRef>
              <c:f>Лист1!$A$2:$A$8</c:f>
              <c:strCache>
                <c:ptCount val="7"/>
                <c:pt idx="0">
                  <c:v>2016</c:v>
                </c:pt>
                <c:pt idx="1">
                  <c:v>2017</c:v>
                </c:pt>
                <c:pt idx="2">
                  <c:v>2018</c:v>
                </c:pt>
                <c:pt idx="3">
                  <c:v>2019</c:v>
                </c:pt>
                <c:pt idx="4">
                  <c:v>2020</c:v>
                </c:pt>
                <c:pt idx="5">
                  <c:v>2021</c:v>
                </c:pt>
                <c:pt idx="6">
                  <c:v>РФ 2020</c:v>
                </c:pt>
              </c:strCache>
            </c:strRef>
          </c:cat>
          <c:val>
            <c:numRef>
              <c:f>Лист1!$B$2:$B$8</c:f>
              <c:numCache>
                <c:formatCode>General</c:formatCode>
                <c:ptCount val="7"/>
                <c:pt idx="0">
                  <c:v>41.9</c:v>
                </c:pt>
                <c:pt idx="1">
                  <c:v>24.5</c:v>
                </c:pt>
                <c:pt idx="2">
                  <c:v>42</c:v>
                </c:pt>
                <c:pt idx="3">
                  <c:v>27.2</c:v>
                </c:pt>
                <c:pt idx="4">
                  <c:v>37.5</c:v>
                </c:pt>
                <c:pt idx="5">
                  <c:v>27.5</c:v>
                </c:pt>
                <c:pt idx="6">
                  <c:v>25.5</c:v>
                </c:pt>
              </c:numCache>
            </c:numRef>
          </c:val>
        </c:ser>
        <c:dLbls>
          <c:showVal val="1"/>
        </c:dLbls>
        <c:axId val="199600384"/>
        <c:axId val="199647232"/>
      </c:barChart>
      <c:catAx>
        <c:axId val="199600384"/>
        <c:scaling>
          <c:orientation val="minMax"/>
        </c:scaling>
        <c:axPos val="b"/>
        <c:numFmt formatCode="General" sourceLinked="1"/>
        <c:tickLblPos val="nextTo"/>
        <c:crossAx val="199647232"/>
        <c:crosses val="autoZero"/>
        <c:auto val="1"/>
        <c:lblAlgn val="ctr"/>
        <c:lblOffset val="100"/>
      </c:catAx>
      <c:valAx>
        <c:axId val="199647232"/>
        <c:scaling>
          <c:orientation val="minMax"/>
        </c:scaling>
        <c:axPos val="l"/>
        <c:majorGridlines>
          <c:spPr>
            <a:ln>
              <a:solidFill>
                <a:schemeClr val="bg1">
                  <a:lumMod val="65000"/>
                </a:schemeClr>
              </a:solidFill>
            </a:ln>
          </c:spPr>
        </c:majorGridlines>
        <c:numFmt formatCode="General" sourceLinked="1"/>
        <c:tickLblPos val="nextTo"/>
        <c:crossAx val="199600384"/>
        <c:crosses val="autoZero"/>
        <c:crossBetween val="between"/>
      </c:valAx>
      <c:spPr>
        <a:solidFill>
          <a:srgbClr val="FFF7F7"/>
        </a:solidFill>
      </c:spPr>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37"/>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Доля уровня электромагнитных излучений, не соответствующих санитарным нормам </c:v>
                </c:pt>
              </c:strCache>
            </c:strRef>
          </c:tx>
          <c:marker>
            <c:symbol val="circle"/>
            <c:size val="4"/>
          </c:marker>
          <c:dLbls>
            <c:dLbl>
              <c:idx val="0"/>
              <c:layout>
                <c:manualLayout>
                  <c:x val="-6.0871463949370423E-2"/>
                  <c:y val="9.8546865879512273E-3"/>
                </c:manualLayout>
              </c:layout>
              <c:showVal val="1"/>
            </c:dLbl>
            <c:dLbl>
              <c:idx val="1"/>
              <c:layout>
                <c:manualLayout>
                  <c:x val="-3.1563717701778092E-2"/>
                  <c:y val="-5.8242926339720023E-2"/>
                </c:manualLayout>
              </c:layout>
              <c:showVal val="1"/>
            </c:dLbl>
            <c:dLbl>
              <c:idx val="2"/>
              <c:layout>
                <c:manualLayout>
                  <c:x val="-6.7636537932382777E-3"/>
                  <c:y val="-2.5800452632333541E-2"/>
                </c:manualLayout>
              </c:layout>
              <c:showVal val="1"/>
            </c:dLbl>
            <c:dLbl>
              <c:idx val="3"/>
              <c:layout>
                <c:manualLayout>
                  <c:x val="-1.5786119420207561E-2"/>
                  <c:y val="-4.9060429488689404E-2"/>
                </c:manualLayout>
              </c:layout>
              <c:showVal val="1"/>
            </c:dLbl>
            <c:dLbl>
              <c:idx val="4"/>
              <c:layout>
                <c:manualLayout>
                  <c:x val="-2.9310586627137987E-2"/>
                  <c:y val="-4.3858229818435943E-2"/>
                </c:manualLayout>
              </c:layout>
              <c:showVal val="1"/>
            </c:dLbl>
            <c:dLbl>
              <c:idx val="5"/>
              <c:layout>
                <c:manualLayout>
                  <c:x val="-3.1563717701778092E-2"/>
                  <c:y val="-4.6819797032288994E-2"/>
                </c:manualLayout>
              </c:layout>
              <c:tx>
                <c:rich>
                  <a:bodyPr/>
                  <a:lstStyle/>
                  <a:p>
                    <a:r>
                      <a:rPr lang="ru-RU"/>
                      <a:t>5,0</a:t>
                    </a:r>
                    <a:endParaRPr lang="en-US"/>
                  </a:p>
                </c:rich>
              </c:tx>
              <c:showVal val="1"/>
            </c:dLbl>
            <c:dLbl>
              <c:idx val="6"/>
              <c:layout>
                <c:manualLayout>
                  <c:x val="-9.0181820763365027E-3"/>
                  <c:y val="-4.2933908609531432E-2"/>
                </c:manualLayout>
              </c:layout>
              <c:showVal val="1"/>
            </c:dLbl>
            <c:dLbl>
              <c:idx val="7"/>
              <c:layout>
                <c:manualLayout>
                  <c:x val="-2.4794143825557141E-2"/>
                  <c:y val="-4.6883471961053413E-2"/>
                </c:manualLayout>
              </c:layout>
              <c:showVal val="1"/>
            </c:dLbl>
            <c:spPr>
              <a:noFill/>
            </c:spPr>
            <c:txPr>
              <a:bodyPr/>
              <a:lstStyle/>
              <a:p>
                <a:pPr>
                  <a:defRPr sz="900" baseline="0"/>
                </a:pPr>
                <a:endParaRPr lang="ru-RU"/>
              </a:p>
            </c:txPr>
            <c:showVal val="1"/>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2.5</c:v>
                </c:pt>
                <c:pt idx="1">
                  <c:v>5.7</c:v>
                </c:pt>
                <c:pt idx="2">
                  <c:v>3.1</c:v>
                </c:pt>
                <c:pt idx="3">
                  <c:v>0</c:v>
                </c:pt>
                <c:pt idx="4">
                  <c:v>0</c:v>
                </c:pt>
                <c:pt idx="5">
                  <c:v>5</c:v>
                </c:pt>
                <c:pt idx="6">
                  <c:v>0</c:v>
                </c:pt>
                <c:pt idx="7">
                  <c:v>0</c:v>
                </c:pt>
              </c:numCache>
            </c:numRef>
          </c:val>
        </c:ser>
        <c:marker val="1"/>
        <c:axId val="199896064"/>
        <c:axId val="199938816"/>
      </c:lineChart>
      <c:catAx>
        <c:axId val="199896064"/>
        <c:scaling>
          <c:orientation val="minMax"/>
        </c:scaling>
        <c:axPos val="b"/>
        <c:numFmt formatCode="General" sourceLinked="1"/>
        <c:tickLblPos val="nextTo"/>
        <c:crossAx val="199938816"/>
        <c:crosses val="autoZero"/>
        <c:auto val="1"/>
        <c:lblAlgn val="ctr"/>
        <c:lblOffset val="100"/>
      </c:catAx>
      <c:valAx>
        <c:axId val="199938816"/>
        <c:scaling>
          <c:orientation val="minMax"/>
          <c:max val="7"/>
          <c:min val="0"/>
        </c:scaling>
        <c:axPos val="l"/>
        <c:majorGridlines/>
        <c:numFmt formatCode="General" sourceLinked="1"/>
        <c:tickLblPos val="nextTo"/>
        <c:crossAx val="199896064"/>
        <c:crosses val="autoZero"/>
        <c:crossBetween val="between"/>
        <c:majorUnit val="1"/>
      </c:valAx>
      <c:spPr>
        <a:solidFill>
          <a:srgbClr val="F4F8EE"/>
        </a:solidFill>
      </c:spPr>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autoTitleDeleted val="1"/>
    <c:view3D>
      <c:rotX val="20"/>
      <c:rotY val="190"/>
      <c:perspective val="50"/>
    </c:view3D>
    <c:plotArea>
      <c:layout>
        <c:manualLayout>
          <c:layoutTarget val="inner"/>
          <c:xMode val="edge"/>
          <c:yMode val="edge"/>
          <c:x val="3.1536362645144651E-2"/>
          <c:y val="6.166330247814087E-2"/>
          <c:w val="0.81332295327490844"/>
          <c:h val="0.93833654126567456"/>
        </c:manualLayout>
      </c:layout>
      <c:pie3DChart>
        <c:varyColors val="1"/>
        <c:ser>
          <c:idx val="0"/>
          <c:order val="0"/>
          <c:tx>
            <c:strRef>
              <c:f>Лист1!$B$1</c:f>
              <c:strCache>
                <c:ptCount val="1"/>
                <c:pt idx="0">
                  <c:v>Столбец1</c:v>
                </c:pt>
              </c:strCache>
            </c:strRef>
          </c:tx>
          <c:explosion val="25"/>
          <c:dPt>
            <c:idx val="0"/>
            <c:spPr>
              <a:solidFill>
                <a:srgbClr val="F54D75"/>
              </a:solidFill>
            </c:spPr>
          </c:dPt>
          <c:dPt>
            <c:idx val="1"/>
            <c:spPr>
              <a:solidFill>
                <a:srgbClr val="00B0F0"/>
              </a:solidFill>
            </c:spPr>
          </c:dPt>
          <c:dPt>
            <c:idx val="2"/>
            <c:spPr>
              <a:solidFill>
                <a:srgbClr val="64DC5E"/>
              </a:solidFill>
            </c:spPr>
          </c:dPt>
          <c:dLbls>
            <c:dLbl>
              <c:idx val="0"/>
              <c:layout>
                <c:manualLayout>
                  <c:x val="5.4366890579355592E-2"/>
                  <c:y val="-0.11241178186060076"/>
                </c:manualLayout>
              </c:layout>
              <c:tx>
                <c:rich>
                  <a:bodyPr/>
                  <a:lstStyle/>
                  <a:p>
                    <a:r>
                      <a:rPr lang="ru-RU" sz="850" baseline="0"/>
                      <a:t>ш</a:t>
                    </a:r>
                    <a:r>
                      <a:rPr lang="ru-RU"/>
                      <a:t>ум </a:t>
                    </a:r>
                    <a:r>
                      <a:rPr lang="en-US"/>
                      <a:t>54,5</a:t>
                    </a:r>
                  </a:p>
                </c:rich>
              </c:tx>
              <c:dLblPos val="bestFit"/>
              <c:showVal val="1"/>
            </c:dLbl>
            <c:dLbl>
              <c:idx val="1"/>
              <c:layout>
                <c:manualLayout>
                  <c:x val="-0.12089772676720523"/>
                  <c:y val="-0.12365762613006705"/>
                </c:manualLayout>
              </c:layout>
              <c:tx>
                <c:rich>
                  <a:bodyPr/>
                  <a:lstStyle/>
                  <a:p>
                    <a:r>
                      <a:rPr lang="ru-RU" sz="850" baseline="0"/>
                      <a:t>вибрация </a:t>
                    </a:r>
                    <a:r>
                      <a:rPr lang="ru-RU" sz="900" baseline="0"/>
                      <a:t>2</a:t>
                    </a:r>
                    <a:r>
                      <a:rPr lang="en-US" sz="900"/>
                      <a:t>7,3</a:t>
                    </a:r>
                  </a:p>
                </c:rich>
              </c:tx>
              <c:dLblPos val="bestFit"/>
              <c:showVal val="1"/>
            </c:dLbl>
            <c:dLbl>
              <c:idx val="2"/>
              <c:layout>
                <c:manualLayout>
                  <c:x val="-2.6859439180271952E-2"/>
                  <c:y val="2.1587634878973579E-2"/>
                </c:manualLayout>
              </c:layout>
              <c:tx>
                <c:rich>
                  <a:bodyPr/>
                  <a:lstStyle/>
                  <a:p>
                    <a:r>
                      <a:rPr lang="ru-RU" sz="850" baseline="0"/>
                      <a:t>Э</a:t>
                    </a:r>
                    <a:r>
                      <a:rPr lang="ru-RU"/>
                      <a:t>МП </a:t>
                    </a:r>
                    <a:r>
                      <a:rPr lang="en-US"/>
                      <a:t>18,2</a:t>
                    </a:r>
                  </a:p>
                </c:rich>
              </c:tx>
              <c:dLblPos val="bestFit"/>
              <c:showVal val="1"/>
            </c:dLbl>
            <c:txPr>
              <a:bodyPr/>
              <a:lstStyle/>
              <a:p>
                <a:pPr>
                  <a:defRPr sz="850" b="1" i="0" baseline="0">
                    <a:latin typeface="Arial" pitchFamily="34" charset="0"/>
                  </a:defRPr>
                </a:pPr>
                <a:endParaRPr lang="ru-RU"/>
              </a:p>
            </c:txPr>
            <c:dLblPos val="outEnd"/>
            <c:showVal val="1"/>
          </c:dLbls>
          <c:cat>
            <c:strRef>
              <c:f>Лист1!$A$2:$A$4</c:f>
              <c:strCache>
                <c:ptCount val="3"/>
                <c:pt idx="0">
                  <c:v>Шум</c:v>
                </c:pt>
                <c:pt idx="1">
                  <c:v>Вибрация</c:v>
                </c:pt>
                <c:pt idx="2">
                  <c:v>ЭМИ</c:v>
                </c:pt>
              </c:strCache>
            </c:strRef>
          </c:cat>
          <c:val>
            <c:numRef>
              <c:f>Лист1!$B$2:$B$4</c:f>
              <c:numCache>
                <c:formatCode>General</c:formatCode>
                <c:ptCount val="3"/>
                <c:pt idx="0">
                  <c:v>54.5</c:v>
                </c:pt>
                <c:pt idx="1">
                  <c:v>27.3</c:v>
                </c:pt>
                <c:pt idx="2">
                  <c:v>18.2</c:v>
                </c:pt>
              </c:numCache>
            </c:numRef>
          </c:val>
        </c:ser>
        <c:dLbls>
          <c:showVal val="1"/>
        </c:dLbls>
      </c:pie3DChart>
    </c:plotArea>
    <c:plotVisOnly val="1"/>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autoTitleDeleted val="1"/>
    <c:view3D>
      <c:rotX val="20"/>
      <c:rotY val="190"/>
      <c:perspective val="50"/>
    </c:view3D>
    <c:plotArea>
      <c:layout>
        <c:manualLayout>
          <c:layoutTarget val="inner"/>
          <c:xMode val="edge"/>
          <c:yMode val="edge"/>
          <c:x val="1.404570191437936E-3"/>
          <c:y val="3.2033829104695252E-2"/>
          <c:w val="0.80578999658941275"/>
          <c:h val="0.94527442403032969"/>
        </c:manualLayout>
      </c:layout>
      <c:pie3DChart>
        <c:varyColors val="1"/>
        <c:ser>
          <c:idx val="0"/>
          <c:order val="0"/>
          <c:tx>
            <c:strRef>
              <c:f>Лист1!$B$1</c:f>
              <c:strCache>
                <c:ptCount val="1"/>
                <c:pt idx="0">
                  <c:v>Столбец1</c:v>
                </c:pt>
              </c:strCache>
            </c:strRef>
          </c:tx>
          <c:explosion val="25"/>
          <c:dPt>
            <c:idx val="0"/>
            <c:spPr>
              <a:solidFill>
                <a:srgbClr val="F54D75"/>
              </a:solidFill>
            </c:spPr>
          </c:dPt>
          <c:dPt>
            <c:idx val="1"/>
            <c:spPr>
              <a:solidFill>
                <a:srgbClr val="00B0F0"/>
              </a:solidFill>
            </c:spPr>
          </c:dPt>
          <c:dPt>
            <c:idx val="2"/>
            <c:spPr>
              <a:solidFill>
                <a:srgbClr val="64DC5E"/>
              </a:solidFill>
            </c:spPr>
          </c:dPt>
          <c:dLbls>
            <c:dLbl>
              <c:idx val="0"/>
              <c:layout>
                <c:manualLayout>
                  <c:x val="1.2935628809110727E-2"/>
                  <c:y val="-3.8337707786526856E-2"/>
                </c:manualLayout>
              </c:layout>
              <c:tx>
                <c:rich>
                  <a:bodyPr/>
                  <a:lstStyle/>
                  <a:p>
                    <a:r>
                      <a:rPr lang="ru-RU" sz="850" baseline="0"/>
                      <a:t>ш</a:t>
                    </a:r>
                    <a:r>
                      <a:rPr lang="ru-RU"/>
                      <a:t>ум </a:t>
                    </a:r>
                    <a:r>
                      <a:rPr lang="en-US"/>
                      <a:t>80,8</a:t>
                    </a:r>
                  </a:p>
                </c:rich>
              </c:tx>
              <c:dLblPos val="bestFit"/>
              <c:showVal val="1"/>
            </c:dLbl>
            <c:dLbl>
              <c:idx val="1"/>
              <c:layout>
                <c:manualLayout>
                  <c:x val="-4.89550246897104E-2"/>
                  <c:y val="-0.308843394575679"/>
                </c:manualLayout>
              </c:layout>
              <c:tx>
                <c:rich>
                  <a:bodyPr/>
                  <a:lstStyle/>
                  <a:p>
                    <a:r>
                      <a:rPr lang="ru-RU" sz="850" baseline="0"/>
                      <a:t>в</a:t>
                    </a:r>
                    <a:r>
                      <a:rPr lang="ru-RU"/>
                      <a:t>ибрация </a:t>
                    </a:r>
                    <a:r>
                      <a:rPr lang="en-US"/>
                      <a:t>5,7</a:t>
                    </a:r>
                  </a:p>
                </c:rich>
              </c:tx>
              <c:dLblPos val="bestFit"/>
              <c:showVal val="1"/>
            </c:dLbl>
            <c:dLbl>
              <c:idx val="2"/>
              <c:layout>
                <c:manualLayout>
                  <c:x val="-4.1925649124367845E-2"/>
                  <c:y val="3.6402449693788273E-2"/>
                </c:manualLayout>
              </c:layout>
              <c:tx>
                <c:rich>
                  <a:bodyPr/>
                  <a:lstStyle/>
                  <a:p>
                    <a:r>
                      <a:rPr lang="ru-RU" sz="850" baseline="0"/>
                      <a:t>Э</a:t>
                    </a:r>
                    <a:r>
                      <a:rPr lang="ru-RU"/>
                      <a:t>МП </a:t>
                    </a:r>
                    <a:r>
                      <a:rPr lang="en-US"/>
                      <a:t>13,5</a:t>
                    </a:r>
                  </a:p>
                </c:rich>
              </c:tx>
              <c:dLblPos val="bestFit"/>
              <c:showVal val="1"/>
            </c:dLbl>
            <c:txPr>
              <a:bodyPr/>
              <a:lstStyle/>
              <a:p>
                <a:pPr>
                  <a:defRPr sz="850" b="1" i="0" baseline="0">
                    <a:latin typeface="Arial" pitchFamily="34" charset="0"/>
                  </a:defRPr>
                </a:pPr>
                <a:endParaRPr lang="ru-RU"/>
              </a:p>
            </c:txPr>
            <c:dLblPos val="outEnd"/>
            <c:showVal val="1"/>
          </c:dLbls>
          <c:cat>
            <c:strRef>
              <c:f>Лист1!$A$2:$A$4</c:f>
              <c:strCache>
                <c:ptCount val="3"/>
                <c:pt idx="0">
                  <c:v>Шум</c:v>
                </c:pt>
                <c:pt idx="1">
                  <c:v>Вибрация</c:v>
                </c:pt>
                <c:pt idx="2">
                  <c:v>ЭМИ</c:v>
                </c:pt>
              </c:strCache>
            </c:strRef>
          </c:cat>
          <c:val>
            <c:numRef>
              <c:f>Лист1!$B$2:$B$4</c:f>
              <c:numCache>
                <c:formatCode>General</c:formatCode>
                <c:ptCount val="3"/>
                <c:pt idx="0">
                  <c:v>80.8</c:v>
                </c:pt>
                <c:pt idx="1">
                  <c:v>5.7</c:v>
                </c:pt>
                <c:pt idx="2">
                  <c:v>13.5</c:v>
                </c:pt>
              </c:numCache>
            </c:numRef>
          </c:val>
        </c:ser>
        <c:dLbls>
          <c:showVal val="1"/>
        </c:dLbls>
      </c:pie3DChart>
    </c:plotArea>
    <c:plotVisOnly val="1"/>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autoTitleDeleted val="1"/>
    <c:view3D>
      <c:rotX val="10"/>
      <c:hPercent val="90"/>
      <c:rotY val="190"/>
      <c:perspective val="10"/>
    </c:view3D>
    <c:plotArea>
      <c:layout>
        <c:manualLayout>
          <c:layoutTarget val="inner"/>
          <c:xMode val="edge"/>
          <c:yMode val="edge"/>
          <c:x val="1.5955109524074085E-2"/>
          <c:y val="0.18191295404610092"/>
          <c:w val="0.60956360580359792"/>
          <c:h val="0.60878114811443695"/>
        </c:manualLayout>
      </c:layout>
      <c:pie3DChart>
        <c:varyColors val="1"/>
        <c:ser>
          <c:idx val="0"/>
          <c:order val="0"/>
          <c:tx>
            <c:strRef>
              <c:f>Sheet1!$A$2</c:f>
              <c:strCache>
                <c:ptCount val="1"/>
                <c:pt idx="0">
                  <c:v>Структура</c:v>
                </c:pt>
              </c:strCache>
            </c:strRef>
          </c:tx>
          <c:spPr>
            <a:solidFill>
              <a:srgbClr val="92D050"/>
            </a:solidFill>
          </c:spPr>
          <c:explosion val="12"/>
          <c:dPt>
            <c:idx val="0"/>
            <c:spPr>
              <a:solidFill>
                <a:srgbClr val="92D050"/>
              </a:solidFill>
              <a:ln>
                <a:solidFill>
                  <a:sysClr val="window" lastClr="FFFFFF"/>
                </a:solidFill>
              </a:ln>
            </c:spPr>
          </c:dPt>
          <c:dPt>
            <c:idx val="1"/>
            <c:spPr>
              <a:solidFill>
                <a:srgbClr val="FFFF00"/>
              </a:solidFill>
            </c:spPr>
          </c:dPt>
          <c:dPt>
            <c:idx val="2"/>
            <c:spPr>
              <a:solidFill>
                <a:srgbClr val="F14949"/>
              </a:solidFill>
              <a:ln>
                <a:solidFill>
                  <a:sysClr val="window" lastClr="FFFFFF"/>
                </a:solidFill>
              </a:ln>
            </c:spPr>
          </c:dPt>
          <c:dPt>
            <c:idx val="3"/>
            <c:explosion val="40"/>
            <c:spPr>
              <a:solidFill>
                <a:srgbClr val="83B5ED"/>
              </a:solidFill>
              <a:ln w="15865">
                <a:solidFill>
                  <a:schemeClr val="bg1"/>
                </a:solidFill>
              </a:ln>
            </c:spPr>
          </c:dPt>
          <c:dLbls>
            <c:dLbl>
              <c:idx val="0"/>
              <c:layout>
                <c:manualLayout>
                  <c:x val="-6.6152149944873314E-3"/>
                  <c:y val="-0.15388943726516396"/>
                </c:manualLayout>
              </c:layout>
              <c:tx>
                <c:rich>
                  <a:bodyPr/>
                  <a:lstStyle/>
                  <a:p>
                    <a:r>
                      <a:rPr lang="ru-RU"/>
                      <a:t>46,2</a:t>
                    </a:r>
                    <a:endParaRPr lang="en-US"/>
                  </a:p>
                </c:rich>
              </c:tx>
              <c:dLblPos val="bestFit"/>
              <c:showVal val="1"/>
            </c:dLbl>
            <c:dLbl>
              <c:idx val="1"/>
              <c:layout>
                <c:manualLayout>
                  <c:x val="2.0992282249173152E-2"/>
                  <c:y val="-0.1462761207358457"/>
                </c:manualLayout>
              </c:layout>
              <c:tx>
                <c:rich>
                  <a:bodyPr/>
                  <a:lstStyle/>
                  <a:p>
                    <a:r>
                      <a:rPr lang="ru-RU"/>
                      <a:t>17,3</a:t>
                    </a:r>
                    <a:endParaRPr lang="en-US"/>
                  </a:p>
                </c:rich>
              </c:tx>
              <c:dLblPos val="bestFit"/>
              <c:showVal val="1"/>
            </c:dLbl>
            <c:dLbl>
              <c:idx val="2"/>
              <c:layout>
                <c:manualLayout>
                  <c:x val="2.4976690482598186E-2"/>
                  <c:y val="-9.6719577667530199E-2"/>
                </c:manualLayout>
              </c:layout>
              <c:tx>
                <c:rich>
                  <a:bodyPr/>
                  <a:lstStyle/>
                  <a:p>
                    <a:r>
                      <a:rPr lang="ru-RU"/>
                      <a:t>13,5</a:t>
                    </a:r>
                    <a:endParaRPr lang="en-US"/>
                  </a:p>
                </c:rich>
              </c:tx>
              <c:dLblPos val="bestFit"/>
              <c:showVal val="1"/>
            </c:dLbl>
            <c:dLbl>
              <c:idx val="3"/>
              <c:layout>
                <c:manualLayout>
                  <c:x val="1.0688056694165839E-2"/>
                  <c:y val="8.2716083556270567E-2"/>
                </c:manualLayout>
              </c:layout>
              <c:tx>
                <c:rich>
                  <a:bodyPr/>
                  <a:lstStyle/>
                  <a:p>
                    <a:r>
                      <a:rPr lang="ru-RU"/>
                      <a:t>23,0</a:t>
                    </a:r>
                    <a:endParaRPr lang="en-US"/>
                  </a:p>
                </c:rich>
              </c:tx>
              <c:dLblPos val="outEnd"/>
              <c:showVal val="1"/>
            </c:dLbl>
            <c:txPr>
              <a:bodyPr/>
              <a:lstStyle/>
              <a:p>
                <a:pPr>
                  <a:defRPr sz="900" b="1" i="0" baseline="0">
                    <a:latin typeface="Arial" pitchFamily="34" charset="0"/>
                  </a:defRPr>
                </a:pPr>
                <a:endParaRPr lang="ru-RU"/>
              </a:p>
            </c:txPr>
            <c:dLblPos val="outEnd"/>
            <c:showVal val="1"/>
            <c:showLeaderLines val="1"/>
          </c:dLbls>
          <c:cat>
            <c:strRef>
              <c:f>Sheet1!$B$1:$E$1</c:f>
              <c:strCache>
                <c:ptCount val="4"/>
                <c:pt idx="0">
                  <c:v>Инженерно-технологическое оборудование</c:v>
                </c:pt>
                <c:pt idx="1">
                  <c:v>Предприятия общественного питания и торговли</c:v>
                </c:pt>
                <c:pt idx="2">
                  <c:v>Источники ЭМП, в т.ч. БС</c:v>
                </c:pt>
                <c:pt idx="3">
                  <c:v>Прочие</c:v>
                </c:pt>
              </c:strCache>
            </c:strRef>
          </c:cat>
          <c:val>
            <c:numRef>
              <c:f>Sheet1!$B$2:$E$2</c:f>
              <c:numCache>
                <c:formatCode>0.0%</c:formatCode>
                <c:ptCount val="4"/>
                <c:pt idx="0">
                  <c:v>0.46200000000000002</c:v>
                </c:pt>
                <c:pt idx="1">
                  <c:v>0.17300000000000001</c:v>
                </c:pt>
                <c:pt idx="2">
                  <c:v>0.13500000000000001</c:v>
                </c:pt>
                <c:pt idx="3">
                  <c:v>0.23</c:v>
                </c:pt>
              </c:numCache>
            </c:numRef>
          </c:val>
        </c:ser>
        <c:dLbls>
          <c:showVal val="1"/>
        </c:dLbls>
      </c:pie3DChart>
      <c:spPr>
        <a:noFill/>
        <a:ln w="25383">
          <a:noFill/>
        </a:ln>
      </c:spPr>
    </c:plotArea>
    <c:legend>
      <c:legendPos val="r"/>
      <c:layout>
        <c:manualLayout>
          <c:xMode val="edge"/>
          <c:yMode val="edge"/>
          <c:x val="0.68860741911120005"/>
          <c:y val="0.13510025581146842"/>
          <c:w val="0.29874310915104735"/>
          <c:h val="0.77827489346789136"/>
        </c:manualLayout>
      </c:layout>
      <c:txPr>
        <a:bodyPr/>
        <a:lstStyle/>
        <a:p>
          <a:pPr>
            <a:defRPr sz="899" baseline="0">
              <a:latin typeface="Arial" pitchFamily="34" charset="0"/>
            </a:defRPr>
          </a:pPr>
          <a:endParaRPr lang="ru-RU"/>
        </a:p>
      </c:txPr>
    </c:legend>
    <c:plotVisOnly val="1"/>
    <c:dispBlanksAs val="zero"/>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5.8324033164828433E-2"/>
          <c:y val="4.8400664651647933E-2"/>
          <c:w val="0.9330453654797537"/>
          <c:h val="0.72275427152323735"/>
        </c:manualLayout>
      </c:layout>
      <c:bar3DChart>
        <c:barDir val="col"/>
        <c:grouping val="clustered"/>
        <c:ser>
          <c:idx val="0"/>
          <c:order val="0"/>
          <c:tx>
            <c:strRef>
              <c:f>Лист1!$B$1</c:f>
              <c:strCache>
                <c:ptCount val="1"/>
                <c:pt idx="0">
                  <c:v>санитарно-химические показатели</c:v>
                </c:pt>
              </c:strCache>
            </c:strRef>
          </c:tx>
          <c:spPr>
            <a:solidFill>
              <a:srgbClr val="FF7C80"/>
            </a:solidFill>
          </c:spPr>
          <c:dPt>
            <c:idx val="5"/>
            <c:spPr>
              <a:solidFill>
                <a:srgbClr val="D20000"/>
              </a:solidFill>
            </c:spPr>
          </c:dPt>
          <c:dLbls>
            <c:dLbl>
              <c:idx val="0"/>
              <c:layout>
                <c:manualLayout>
                  <c:x val="-2.1423000002699292E-3"/>
                  <c:y val="-1.3185654008438841E-2"/>
                </c:manualLayout>
              </c:layout>
              <c:showVal val="1"/>
            </c:dLbl>
            <c:dLbl>
              <c:idx val="1"/>
              <c:layout>
                <c:manualLayout>
                  <c:x val="-2.1423000002698612E-3"/>
                  <c:y val="-8.7904360056261285E-3"/>
                </c:manualLayout>
              </c:layout>
              <c:showVal val="1"/>
            </c:dLbl>
            <c:dLbl>
              <c:idx val="2"/>
              <c:layout>
                <c:manualLayout>
                  <c:x val="0"/>
                  <c:y val="-8.7904360056261285E-3"/>
                </c:manualLayout>
              </c:layout>
              <c:showVal val="1"/>
            </c:dLbl>
            <c:dLbl>
              <c:idx val="3"/>
              <c:layout>
                <c:manualLayout>
                  <c:x val="4.2846000005397934E-3"/>
                  <c:y val="-8.7904360056261961E-3"/>
                </c:manualLayout>
              </c:layout>
              <c:showVal val="1"/>
            </c:dLbl>
            <c:txPr>
              <a:bodyPr/>
              <a:lstStyle/>
              <a:p>
                <a:pPr>
                  <a:defRPr sz="900" b="1" i="0" baseline="0">
                    <a:latin typeface="Arial" pitchFamily="34" charset="0"/>
                  </a:defRPr>
                </a:pPr>
                <a:endParaRPr lang="ru-RU"/>
              </a:p>
            </c:txPr>
            <c:showVal val="1"/>
          </c:dLbls>
          <c:cat>
            <c:strRef>
              <c:f>Лист1!$A$2:$A$7</c:f>
              <c:strCache>
                <c:ptCount val="6"/>
                <c:pt idx="0">
                  <c:v>2017</c:v>
                </c:pt>
                <c:pt idx="1">
                  <c:v>2018</c:v>
                </c:pt>
                <c:pt idx="2">
                  <c:v>2019</c:v>
                </c:pt>
                <c:pt idx="3">
                  <c:v>2020</c:v>
                </c:pt>
                <c:pt idx="4">
                  <c:v>2021</c:v>
                </c:pt>
                <c:pt idx="5">
                  <c:v>РФ 2020</c:v>
                </c:pt>
              </c:strCache>
            </c:strRef>
          </c:cat>
          <c:val>
            <c:numRef>
              <c:f>Лист1!$B$2:$B$7</c:f>
              <c:numCache>
                <c:formatCode>General</c:formatCode>
                <c:ptCount val="6"/>
                <c:pt idx="0">
                  <c:v>0.45</c:v>
                </c:pt>
                <c:pt idx="1">
                  <c:v>0.36000000000000026</c:v>
                </c:pt>
                <c:pt idx="2">
                  <c:v>0.25</c:v>
                </c:pt>
                <c:pt idx="3">
                  <c:v>0.1</c:v>
                </c:pt>
                <c:pt idx="4">
                  <c:v>1.07</c:v>
                </c:pt>
                <c:pt idx="5">
                  <c:v>0.4</c:v>
                </c:pt>
              </c:numCache>
            </c:numRef>
          </c:val>
        </c:ser>
        <c:ser>
          <c:idx val="1"/>
          <c:order val="1"/>
          <c:tx>
            <c:strRef>
              <c:f>Лист1!$C$1</c:f>
              <c:strCache>
                <c:ptCount val="1"/>
                <c:pt idx="0">
                  <c:v>микробиологические показатели</c:v>
                </c:pt>
              </c:strCache>
            </c:strRef>
          </c:tx>
          <c:spPr>
            <a:solidFill>
              <a:schemeClr val="tx2">
                <a:lumMod val="40000"/>
                <a:lumOff val="60000"/>
              </a:schemeClr>
            </a:solidFill>
          </c:spPr>
          <c:dPt>
            <c:idx val="3"/>
            <c:spPr>
              <a:solidFill>
                <a:srgbClr val="1F497D">
                  <a:lumMod val="40000"/>
                  <a:lumOff val="60000"/>
                </a:srgbClr>
              </a:solidFill>
            </c:spPr>
          </c:dPt>
          <c:dPt>
            <c:idx val="4"/>
            <c:spPr>
              <a:solidFill>
                <a:srgbClr val="1F497D">
                  <a:lumMod val="40000"/>
                  <a:lumOff val="60000"/>
                </a:srgbClr>
              </a:solidFill>
            </c:spPr>
          </c:dPt>
          <c:dPt>
            <c:idx val="5"/>
            <c:spPr>
              <a:solidFill>
                <a:srgbClr val="2B53B7"/>
              </a:solidFill>
            </c:spPr>
          </c:dPt>
          <c:dLbls>
            <c:dLbl>
              <c:idx val="0"/>
              <c:layout>
                <c:manualLayout>
                  <c:x val="6.4269000008097014E-3"/>
                  <c:y val="-8.7904360056261285E-3"/>
                </c:manualLayout>
              </c:layout>
              <c:showVal val="1"/>
            </c:dLbl>
            <c:dLbl>
              <c:idx val="1"/>
              <c:layout>
                <c:manualLayout>
                  <c:x val="1.2853800001619385E-2"/>
                  <c:y val="-2.6371308016878266E-2"/>
                </c:manualLayout>
              </c:layout>
              <c:showVal val="1"/>
            </c:dLbl>
            <c:dLbl>
              <c:idx val="2"/>
              <c:layout>
                <c:manualLayout>
                  <c:x val="8.5692000010795868E-3"/>
                  <c:y val="-8.7904360056261285E-3"/>
                </c:manualLayout>
              </c:layout>
              <c:showVal val="1"/>
            </c:dLbl>
            <c:dLbl>
              <c:idx val="3"/>
              <c:layout>
                <c:manualLayout>
                  <c:x val="6.4269000008097734E-3"/>
                  <c:y val="-8.7904360056261285E-3"/>
                </c:manualLayout>
              </c:layout>
              <c:showVal val="1"/>
            </c:dLbl>
            <c:dLbl>
              <c:idx val="4"/>
              <c:layout>
                <c:manualLayout>
                  <c:x val="1.2853800001619385E-2"/>
                  <c:y val="-8.7904360056261285E-3"/>
                </c:manualLayout>
              </c:layout>
              <c:showVal val="1"/>
            </c:dLbl>
            <c:dLbl>
              <c:idx val="5"/>
              <c:layout>
                <c:manualLayout>
                  <c:x val="1.071150000134948E-2"/>
                  <c:y val="-8.790436005625981E-3"/>
                </c:manualLayout>
              </c:layout>
              <c:showVal val="1"/>
            </c:dLbl>
            <c:txPr>
              <a:bodyPr/>
              <a:lstStyle/>
              <a:p>
                <a:pPr>
                  <a:defRPr sz="900" b="1" i="0" baseline="0">
                    <a:latin typeface="Arial" pitchFamily="34" charset="0"/>
                  </a:defRPr>
                </a:pPr>
                <a:endParaRPr lang="ru-RU"/>
              </a:p>
            </c:txPr>
            <c:showVal val="1"/>
          </c:dLbls>
          <c:cat>
            <c:strRef>
              <c:f>Лист1!$A$2:$A$7</c:f>
              <c:strCache>
                <c:ptCount val="6"/>
                <c:pt idx="0">
                  <c:v>2017</c:v>
                </c:pt>
                <c:pt idx="1">
                  <c:v>2018</c:v>
                </c:pt>
                <c:pt idx="2">
                  <c:v>2019</c:v>
                </c:pt>
                <c:pt idx="3">
                  <c:v>2020</c:v>
                </c:pt>
                <c:pt idx="4">
                  <c:v>2021</c:v>
                </c:pt>
                <c:pt idx="5">
                  <c:v>РФ 2020</c:v>
                </c:pt>
              </c:strCache>
            </c:strRef>
          </c:cat>
          <c:val>
            <c:numRef>
              <c:f>Лист1!$C$2:$C$7</c:f>
              <c:numCache>
                <c:formatCode>General</c:formatCode>
                <c:ptCount val="6"/>
                <c:pt idx="0">
                  <c:v>3.68</c:v>
                </c:pt>
                <c:pt idx="1">
                  <c:v>3.94</c:v>
                </c:pt>
                <c:pt idx="2">
                  <c:v>2.75</c:v>
                </c:pt>
                <c:pt idx="3">
                  <c:v>3.1</c:v>
                </c:pt>
                <c:pt idx="4">
                  <c:v>2.58</c:v>
                </c:pt>
                <c:pt idx="5">
                  <c:v>3.54</c:v>
                </c:pt>
              </c:numCache>
            </c:numRef>
          </c:val>
        </c:ser>
        <c:dLbls>
          <c:showVal val="1"/>
        </c:dLbls>
        <c:shape val="box"/>
        <c:axId val="200032256"/>
        <c:axId val="200033792"/>
        <c:axId val="0"/>
      </c:bar3DChart>
      <c:catAx>
        <c:axId val="200032256"/>
        <c:scaling>
          <c:orientation val="minMax"/>
        </c:scaling>
        <c:axPos val="b"/>
        <c:numFmt formatCode="General" sourceLinked="1"/>
        <c:tickLblPos val="nextTo"/>
        <c:txPr>
          <a:bodyPr/>
          <a:lstStyle/>
          <a:p>
            <a:pPr>
              <a:defRPr sz="900" b="1" i="0" baseline="0">
                <a:latin typeface="Arial" pitchFamily="34" charset="0"/>
              </a:defRPr>
            </a:pPr>
            <a:endParaRPr lang="ru-RU"/>
          </a:p>
        </c:txPr>
        <c:crossAx val="200033792"/>
        <c:crosses val="autoZero"/>
        <c:auto val="1"/>
        <c:lblAlgn val="ctr"/>
        <c:lblOffset val="100"/>
      </c:catAx>
      <c:valAx>
        <c:axId val="200033792"/>
        <c:scaling>
          <c:orientation val="minMax"/>
        </c:scaling>
        <c:axPos val="l"/>
        <c:majorGridlines>
          <c:spPr>
            <a:ln>
              <a:solidFill>
                <a:schemeClr val="bg1">
                  <a:lumMod val="75000"/>
                </a:schemeClr>
              </a:solidFill>
            </a:ln>
          </c:spPr>
        </c:majorGridlines>
        <c:numFmt formatCode="General" sourceLinked="1"/>
        <c:tickLblPos val="nextTo"/>
        <c:txPr>
          <a:bodyPr/>
          <a:lstStyle/>
          <a:p>
            <a:pPr>
              <a:defRPr sz="900" b="1" i="0" baseline="0">
                <a:latin typeface="Arial" pitchFamily="34" charset="0"/>
              </a:defRPr>
            </a:pPr>
            <a:endParaRPr lang="ru-RU"/>
          </a:p>
        </c:txPr>
        <c:crossAx val="200032256"/>
        <c:crosses val="autoZero"/>
        <c:crossBetween val="between"/>
      </c:valAx>
    </c:plotArea>
    <c:legend>
      <c:legendPos val="b"/>
      <c:txPr>
        <a:bodyPr/>
        <a:lstStyle/>
        <a:p>
          <a:pPr>
            <a:defRPr sz="900" b="0">
              <a:latin typeface="Arial" pitchFamily="34" charset="0"/>
              <a:cs typeface="Arial" pitchFamily="34" charset="0"/>
            </a:defRPr>
          </a:pPr>
          <a:endParaRPr lang="ru-RU"/>
        </a:p>
      </c:txPr>
    </c:legend>
    <c:plotVisOnly val="1"/>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view3D>
      <c:rotX val="10"/>
      <c:rotY val="15"/>
      <c:depthPercent val="100"/>
      <c:rAngAx val="1"/>
    </c:view3D>
    <c:sideWall>
      <c:spPr>
        <a:noFill/>
        <a:ln>
          <a:solidFill>
            <a:schemeClr val="bg1">
              <a:lumMod val="75000"/>
            </a:schemeClr>
          </a:solidFill>
        </a:ln>
      </c:spPr>
    </c:sideWall>
    <c:backWall>
      <c:spPr>
        <a:noFill/>
        <a:ln>
          <a:solidFill>
            <a:schemeClr val="bg1">
              <a:lumMod val="75000"/>
            </a:schemeClr>
          </a:solidFill>
        </a:ln>
      </c:spPr>
    </c:backWall>
    <c:plotArea>
      <c:layout>
        <c:manualLayout>
          <c:layoutTarget val="inner"/>
          <c:xMode val="edge"/>
          <c:yMode val="edge"/>
          <c:x val="5.7222039953343538E-2"/>
          <c:y val="2.1126463728115066E-2"/>
          <c:w val="0.94633633062479061"/>
          <c:h val="0.85859695651581913"/>
        </c:manualLayout>
      </c:layout>
      <c:bar3DChart>
        <c:barDir val="col"/>
        <c:grouping val="standard"/>
        <c:ser>
          <c:idx val="0"/>
          <c:order val="0"/>
          <c:tx>
            <c:strRef>
              <c:f>Лист1!$B$1</c:f>
              <c:strCache>
                <c:ptCount val="1"/>
                <c:pt idx="0">
                  <c:v>Всего</c:v>
                </c:pt>
              </c:strCache>
            </c:strRef>
          </c:tx>
          <c:spPr>
            <a:solidFill>
              <a:srgbClr val="14CA5E"/>
            </a:solidFill>
          </c:spPr>
          <c:dPt>
            <c:idx val="5"/>
            <c:spPr>
              <a:solidFill>
                <a:srgbClr val="0C7A39"/>
              </a:solidFill>
            </c:spPr>
          </c:dPt>
          <c:dLbls>
            <c:dLbl>
              <c:idx val="0"/>
              <c:layout>
                <c:manualLayout>
                  <c:x val="-1.7854550095149982E-2"/>
                  <c:y val="-8.8737608574117506E-3"/>
                </c:manualLayout>
              </c:layout>
              <c:showVal val="1"/>
            </c:dLbl>
            <c:dLbl>
              <c:idx val="1"/>
              <c:layout>
                <c:manualLayout>
                  <c:x val="-1.7856835241313488E-2"/>
                  <c:y val="-2.6083354923163399E-2"/>
                </c:manualLayout>
              </c:layout>
              <c:showVal val="1"/>
            </c:dLbl>
            <c:dLbl>
              <c:idx val="2"/>
              <c:layout>
                <c:manualLayout>
                  <c:x val="-1.3391946238189999E-2"/>
                  <c:y val="-3.9682525819493691E-3"/>
                </c:manualLayout>
              </c:layout>
              <c:showVal val="1"/>
            </c:dLbl>
            <c:dLbl>
              <c:idx val="3"/>
              <c:layout>
                <c:manualLayout>
                  <c:x val="1.5616337318511067E-2"/>
                  <c:y val="-1.6786547036284561E-2"/>
                </c:manualLayout>
              </c:layout>
              <c:showVal val="1"/>
            </c:dLbl>
            <c:dLbl>
              <c:idx val="4"/>
              <c:layout>
                <c:manualLayout>
                  <c:x val="8.9270113768638443E-3"/>
                  <c:y val="-2.1008154137747627E-2"/>
                </c:manualLayout>
              </c:layout>
              <c:showVal val="1"/>
            </c:dLbl>
            <c:dLbl>
              <c:idx val="5"/>
              <c:layout>
                <c:manualLayout>
                  <c:x val="4.4648240419876304E-3"/>
                  <c:y val="-2.5975973928576538E-2"/>
                </c:manualLayout>
              </c:layout>
              <c:showVal val="1"/>
            </c:dLbl>
            <c:txPr>
              <a:bodyPr/>
              <a:lstStyle/>
              <a:p>
                <a:pPr>
                  <a:defRPr sz="900" b="1" i="0" baseline="0">
                    <a:latin typeface="Arial" pitchFamily="34" charset="0"/>
                  </a:defRPr>
                </a:pPr>
                <a:endParaRPr lang="ru-RU"/>
              </a:p>
            </c:txPr>
            <c:showVal val="1"/>
          </c:dLbls>
          <c:cat>
            <c:strRef>
              <c:f>Лист1!$A$2:$A$7</c:f>
              <c:strCache>
                <c:ptCount val="6"/>
                <c:pt idx="0">
                  <c:v>2017</c:v>
                </c:pt>
                <c:pt idx="1">
                  <c:v>2018</c:v>
                </c:pt>
                <c:pt idx="2">
                  <c:v>2019</c:v>
                </c:pt>
                <c:pt idx="3">
                  <c:v>2020</c:v>
                </c:pt>
                <c:pt idx="4">
                  <c:v>2021</c:v>
                </c:pt>
                <c:pt idx="5">
                  <c:v>РФ (2020)</c:v>
                </c:pt>
              </c:strCache>
            </c:strRef>
          </c:cat>
          <c:val>
            <c:numRef>
              <c:f>Лист1!$B$2:$B$7</c:f>
              <c:numCache>
                <c:formatCode>General</c:formatCode>
                <c:ptCount val="6"/>
                <c:pt idx="0">
                  <c:v>3.68</c:v>
                </c:pt>
                <c:pt idx="1">
                  <c:v>3.94</c:v>
                </c:pt>
                <c:pt idx="2">
                  <c:v>2.75</c:v>
                </c:pt>
                <c:pt idx="3">
                  <c:v>3.1</c:v>
                </c:pt>
                <c:pt idx="4">
                  <c:v>2.58</c:v>
                </c:pt>
                <c:pt idx="5">
                  <c:v>3.54</c:v>
                </c:pt>
              </c:numCache>
            </c:numRef>
          </c:val>
        </c:ser>
        <c:ser>
          <c:idx val="1"/>
          <c:order val="1"/>
          <c:tx>
            <c:strRef>
              <c:f>Лист1!$C$1</c:f>
              <c:strCache>
                <c:ptCount val="1"/>
                <c:pt idx="0">
                  <c:v>Импортируемая продукция</c:v>
                </c:pt>
              </c:strCache>
            </c:strRef>
          </c:tx>
          <c:spPr>
            <a:solidFill>
              <a:srgbClr val="FA6204"/>
            </a:solidFill>
          </c:spPr>
          <c:dPt>
            <c:idx val="5"/>
            <c:spPr>
              <a:solidFill>
                <a:srgbClr val="B14503"/>
              </a:solidFill>
            </c:spPr>
          </c:dPt>
          <c:dLbls>
            <c:dLbl>
              <c:idx val="0"/>
              <c:layout>
                <c:manualLayout>
                  <c:x val="9.2592478682293079E-3"/>
                  <c:y val="-8.4049818530785841E-3"/>
                </c:manualLayout>
              </c:layout>
              <c:showVal val="1"/>
            </c:dLbl>
            <c:dLbl>
              <c:idx val="1"/>
              <c:layout>
                <c:manualLayout>
                  <c:x val="1.4136089946165485E-2"/>
                  <c:y val="-1.6595306598306447E-2"/>
                </c:manualLayout>
              </c:layout>
              <c:showVal val="1"/>
            </c:dLbl>
            <c:dLbl>
              <c:idx val="2"/>
              <c:layout>
                <c:manualLayout>
                  <c:x val="1.6203619882459115E-2"/>
                  <c:y val="-2.5253964574498602E-2"/>
                </c:manualLayout>
              </c:layout>
              <c:showVal val="1"/>
            </c:dLbl>
            <c:dLbl>
              <c:idx val="3"/>
              <c:layout>
                <c:manualLayout>
                  <c:x val="2.0583174725090012E-2"/>
                  <c:y val="-5.5690144844294034E-3"/>
                </c:manualLayout>
              </c:layout>
              <c:showVal val="1"/>
            </c:dLbl>
            <c:dLbl>
              <c:idx val="4"/>
              <c:layout>
                <c:manualLayout>
                  <c:x val="2.9004490689225206E-2"/>
                  <c:y val="-4.1165522351582088E-3"/>
                </c:manualLayout>
              </c:layout>
              <c:showVal val="1"/>
            </c:dLbl>
            <c:dLbl>
              <c:idx val="5"/>
              <c:layout>
                <c:manualLayout>
                  <c:x val="3.1253768293913416E-2"/>
                  <c:y val="-4.3293289880960524E-3"/>
                </c:manualLayout>
              </c:layout>
              <c:showVal val="1"/>
            </c:dLbl>
            <c:txPr>
              <a:bodyPr/>
              <a:lstStyle/>
              <a:p>
                <a:pPr>
                  <a:defRPr sz="900" b="1" i="0" baseline="0">
                    <a:latin typeface="Arial" pitchFamily="34" charset="0"/>
                  </a:defRPr>
                </a:pPr>
                <a:endParaRPr lang="ru-RU"/>
              </a:p>
            </c:txPr>
            <c:showVal val="1"/>
          </c:dLbls>
          <c:cat>
            <c:strRef>
              <c:f>Лист1!$A$2:$A$7</c:f>
              <c:strCache>
                <c:ptCount val="6"/>
                <c:pt idx="0">
                  <c:v>2017</c:v>
                </c:pt>
                <c:pt idx="1">
                  <c:v>2018</c:v>
                </c:pt>
                <c:pt idx="2">
                  <c:v>2019</c:v>
                </c:pt>
                <c:pt idx="3">
                  <c:v>2020</c:v>
                </c:pt>
                <c:pt idx="4">
                  <c:v>2021</c:v>
                </c:pt>
                <c:pt idx="5">
                  <c:v>РФ (2020)</c:v>
                </c:pt>
              </c:strCache>
            </c:strRef>
          </c:cat>
          <c:val>
            <c:numRef>
              <c:f>Лист1!$C$2:$C$7</c:f>
              <c:numCache>
                <c:formatCode>General</c:formatCode>
                <c:ptCount val="6"/>
                <c:pt idx="0">
                  <c:v>7.4</c:v>
                </c:pt>
                <c:pt idx="1">
                  <c:v>8.83</c:v>
                </c:pt>
                <c:pt idx="2">
                  <c:v>4.8</c:v>
                </c:pt>
                <c:pt idx="3">
                  <c:v>0</c:v>
                </c:pt>
                <c:pt idx="4">
                  <c:v>0</c:v>
                </c:pt>
                <c:pt idx="5">
                  <c:v>2.36</c:v>
                </c:pt>
              </c:numCache>
            </c:numRef>
          </c:val>
        </c:ser>
        <c:dLbls>
          <c:showVal val="1"/>
        </c:dLbls>
        <c:shape val="box"/>
        <c:axId val="200277376"/>
        <c:axId val="200287360"/>
        <c:axId val="181137408"/>
      </c:bar3DChart>
      <c:catAx>
        <c:axId val="200277376"/>
        <c:scaling>
          <c:orientation val="minMax"/>
        </c:scaling>
        <c:axPos val="b"/>
        <c:numFmt formatCode="General" sourceLinked="1"/>
        <c:tickLblPos val="nextTo"/>
        <c:spPr>
          <a:ln>
            <a:solidFill>
              <a:schemeClr val="tx1"/>
            </a:solidFill>
          </a:ln>
        </c:spPr>
        <c:txPr>
          <a:bodyPr/>
          <a:lstStyle/>
          <a:p>
            <a:pPr>
              <a:defRPr sz="899" b="1" i="0" baseline="0">
                <a:latin typeface="Arial" pitchFamily="34" charset="0"/>
              </a:defRPr>
            </a:pPr>
            <a:endParaRPr lang="ru-RU"/>
          </a:p>
        </c:txPr>
        <c:crossAx val="200287360"/>
        <c:crosses val="autoZero"/>
        <c:auto val="1"/>
        <c:lblAlgn val="ctr"/>
        <c:lblOffset val="100"/>
      </c:catAx>
      <c:valAx>
        <c:axId val="200287360"/>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a:lstStyle/>
          <a:p>
            <a:pPr algn="just">
              <a:defRPr sz="899" b="1" i="0" baseline="0">
                <a:latin typeface="Arial" pitchFamily="34" charset="0"/>
              </a:defRPr>
            </a:pPr>
            <a:endParaRPr lang="ru-RU"/>
          </a:p>
        </c:txPr>
        <c:crossAx val="200277376"/>
        <c:crosses val="autoZero"/>
        <c:crossBetween val="between"/>
      </c:valAx>
      <c:serAx>
        <c:axId val="181137408"/>
        <c:scaling>
          <c:orientation val="minMax"/>
        </c:scaling>
        <c:delete val="1"/>
        <c:axPos val="b"/>
        <c:tickLblPos val="none"/>
        <c:crossAx val="200287360"/>
        <c:crosses val="autoZero"/>
      </c:serAx>
      <c:spPr>
        <a:noFill/>
        <a:ln w="25378">
          <a:noFill/>
        </a:ln>
      </c:spPr>
    </c:plotArea>
    <c:legend>
      <c:legendPos val="b"/>
      <c:layout>
        <c:manualLayout>
          <c:xMode val="edge"/>
          <c:yMode val="edge"/>
          <c:x val="0.16440037560718504"/>
          <c:y val="0.8770914956385687"/>
          <c:w val="0.65044858626214774"/>
          <c:h val="7.1757539741494472E-2"/>
        </c:manualLayout>
      </c:layout>
      <c:txPr>
        <a:bodyPr/>
        <a:lstStyle/>
        <a:p>
          <a:pPr>
            <a:defRPr sz="899" baseline="0">
              <a:latin typeface="Arial" pitchFamily="34"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6.7284209206179724E-2"/>
          <c:y val="4.0211951050486833E-2"/>
          <c:w val="0.90838219937690523"/>
          <c:h val="0.56034035568562779"/>
        </c:manualLayout>
      </c:layout>
      <c:barChart>
        <c:barDir val="col"/>
        <c:grouping val="clustered"/>
        <c:ser>
          <c:idx val="0"/>
          <c:order val="0"/>
          <c:tx>
            <c:strRef>
              <c:f>Лист1!$B$1</c:f>
              <c:strCache>
                <c:ptCount val="1"/>
                <c:pt idx="0">
                  <c:v>Доля проб воздуха, превышающих ПДК на пары и газы, %</c:v>
                </c:pt>
              </c:strCache>
            </c:strRef>
          </c:tx>
          <c:spPr>
            <a:solidFill>
              <a:srgbClr val="396497"/>
            </a:solidFill>
          </c:spPr>
          <c:invertIfNegative val="1"/>
          <c:dLbls>
            <c:dLbl>
              <c:idx val="0"/>
              <c:layout>
                <c:manualLayout>
                  <c:x val="-4.4119726346529622E-3"/>
                  <c:y val="1.2291052114060964E-2"/>
                </c:manualLayout>
              </c:layout>
              <c:dLblPos val="outEnd"/>
              <c:showVal val="1"/>
            </c:dLbl>
            <c:dLbl>
              <c:idx val="1"/>
              <c:layout>
                <c:manualLayout>
                  <c:x val="-2.2059863173265011E-3"/>
                  <c:y val="1.2291052114060964E-2"/>
                </c:manualLayout>
              </c:layout>
              <c:dLblPos val="outEnd"/>
              <c:showVal val="1"/>
            </c:dLbl>
            <c:dLbl>
              <c:idx val="2"/>
              <c:layout>
                <c:manualLayout>
                  <c:x val="-4.4119726346529622E-3"/>
                  <c:y val="1.5363815142576323E-2"/>
                </c:manualLayout>
              </c:layout>
              <c:dLblPos val="outEnd"/>
              <c:showVal val="1"/>
            </c:dLbl>
            <c:dLbl>
              <c:idx val="3"/>
              <c:layout>
                <c:manualLayout>
                  <c:x val="0"/>
                  <c:y val="1.2291052114060964E-2"/>
                </c:manualLayout>
              </c:layout>
              <c:dLblPos val="outEnd"/>
              <c:showVal val="1"/>
            </c:dLbl>
            <c:dLbl>
              <c:idx val="4"/>
              <c:layout>
                <c:manualLayout>
                  <c:x val="0"/>
                  <c:y val="9.472185461910752E-3"/>
                </c:manualLayout>
              </c:layout>
              <c:dLblPos val="outEnd"/>
              <c:showVal val="1"/>
            </c:dLbl>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3.5</c:v>
                </c:pt>
                <c:pt idx="1">
                  <c:v>2.2999999999999998</c:v>
                </c:pt>
                <c:pt idx="2">
                  <c:v>0</c:v>
                </c:pt>
                <c:pt idx="3">
                  <c:v>0.30000000000000032</c:v>
                </c:pt>
                <c:pt idx="4">
                  <c:v>1.5</c:v>
                </c:pt>
              </c:numCache>
            </c:numRef>
          </c:val>
        </c:ser>
        <c:ser>
          <c:idx val="1"/>
          <c:order val="1"/>
          <c:tx>
            <c:strRef>
              <c:f>Лист1!$C$1</c:f>
              <c:strCache>
                <c:ptCount val="1"/>
                <c:pt idx="0">
                  <c:v>Доля проб воздуха, превышающих ПДК  на пары и газы, содержащие вещества 1 и 2 классов опасности, %</c:v>
                </c:pt>
              </c:strCache>
            </c:strRef>
          </c:tx>
          <c:spPr>
            <a:solidFill>
              <a:srgbClr val="5E8BC2"/>
            </a:solidFill>
          </c:spPr>
          <c:dLbls>
            <c:dLbl>
              <c:idx val="0"/>
              <c:layout>
                <c:manualLayout>
                  <c:x val="0"/>
                  <c:y val="1.2291052114060964E-2"/>
                </c:manualLayout>
              </c:layout>
              <c:dLblPos val="outEnd"/>
              <c:showVal val="1"/>
            </c:dLbl>
            <c:dLbl>
              <c:idx val="1"/>
              <c:layout>
                <c:manualLayout>
                  <c:x val="0"/>
                  <c:y val="1.2291052114060964E-2"/>
                </c:manualLayout>
              </c:layout>
              <c:dLblPos val="outEnd"/>
              <c:showVal val="1"/>
            </c:dLbl>
            <c:dLbl>
              <c:idx val="2"/>
              <c:layout>
                <c:manualLayout>
                  <c:x val="8.090067418914338E-17"/>
                  <c:y val="1.544836378562232E-2"/>
                </c:manualLayout>
              </c:layout>
              <c:dLblPos val="outEnd"/>
              <c:showVal val="1"/>
            </c:dLbl>
            <c:dLbl>
              <c:idx val="3"/>
              <c:layout>
                <c:manualLayout>
                  <c:x val="0"/>
                  <c:y val="1.2291052114060964E-2"/>
                </c:manualLayout>
              </c:layout>
              <c:dLblPos val="outEnd"/>
              <c:showVal val="1"/>
            </c:dLbl>
            <c:dLbl>
              <c:idx val="4"/>
              <c:layout>
                <c:manualLayout>
                  <c:x val="0"/>
                  <c:y val="1.2629580615881143E-2"/>
                </c:manualLayout>
              </c:layout>
              <c:dLblPos val="outEnd"/>
              <c:showVal val="1"/>
            </c:dLbl>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6.4</c:v>
                </c:pt>
                <c:pt idx="1">
                  <c:v>0</c:v>
                </c:pt>
                <c:pt idx="2">
                  <c:v>0</c:v>
                </c:pt>
                <c:pt idx="3">
                  <c:v>0</c:v>
                </c:pt>
                <c:pt idx="4">
                  <c:v>0</c:v>
                </c:pt>
              </c:numCache>
            </c:numRef>
          </c:val>
        </c:ser>
        <c:ser>
          <c:idx val="2"/>
          <c:order val="2"/>
          <c:tx>
            <c:strRef>
              <c:f>Лист1!$D$1</c:f>
              <c:strCache>
                <c:ptCount val="1"/>
                <c:pt idx="0">
                  <c:v>Доля проб воздуха, превышающих ПДК на пыль и аэрозоли, %</c:v>
                </c:pt>
              </c:strCache>
            </c:strRef>
          </c:tx>
          <c:spPr>
            <a:solidFill>
              <a:srgbClr val="92B1D6"/>
            </a:solidFill>
          </c:spPr>
          <c:dLbls>
            <c:dLbl>
              <c:idx val="0"/>
              <c:layout>
                <c:manualLayout>
                  <c:x val="-2.2059863173265011E-3"/>
                  <c:y val="6.1455260570304785E-3"/>
                </c:manualLayout>
              </c:layout>
              <c:dLblPos val="outEnd"/>
              <c:showVal val="1"/>
            </c:dLbl>
            <c:dLbl>
              <c:idx val="1"/>
              <c:layout>
                <c:manualLayout>
                  <c:x val="0"/>
                  <c:y val="6.1455260570304751E-3"/>
                </c:manualLayout>
              </c:layout>
              <c:dLblPos val="outEnd"/>
              <c:showVal val="1"/>
            </c:dLbl>
            <c:dLbl>
              <c:idx val="2"/>
              <c:layout>
                <c:manualLayout>
                  <c:x val="-8.088523057555499E-17"/>
                  <c:y val="9.2182890855457226E-3"/>
                </c:manualLayout>
              </c:layout>
              <c:dLblPos val="outEnd"/>
              <c:showVal val="1"/>
            </c:dLbl>
            <c:dLbl>
              <c:idx val="3"/>
              <c:layout>
                <c:manualLayout>
                  <c:x val="-2.2059863173265011E-3"/>
                  <c:y val="6.1455260570304785E-3"/>
                </c:manualLayout>
              </c:layout>
              <c:dLblPos val="outEnd"/>
              <c:showVal val="1"/>
            </c:dLbl>
            <c:dLbl>
              <c:idx val="4"/>
              <c:layout>
                <c:manualLayout>
                  <c:x val="0"/>
                  <c:y val="0"/>
                </c:manualLayout>
              </c:layout>
              <c:dLblPos val="outEnd"/>
              <c:showVal val="1"/>
            </c:dLbl>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Лист1!$D$2:$D$6</c:f>
              <c:numCache>
                <c:formatCode>General</c:formatCode>
                <c:ptCount val="5"/>
                <c:pt idx="0">
                  <c:v>3.5</c:v>
                </c:pt>
                <c:pt idx="1">
                  <c:v>6.2</c:v>
                </c:pt>
                <c:pt idx="2">
                  <c:v>4.0999999999999996</c:v>
                </c:pt>
                <c:pt idx="3">
                  <c:v>0.2</c:v>
                </c:pt>
                <c:pt idx="4">
                  <c:v>5.7</c:v>
                </c:pt>
              </c:numCache>
            </c:numRef>
          </c:val>
        </c:ser>
        <c:ser>
          <c:idx val="3"/>
          <c:order val="3"/>
          <c:tx>
            <c:strRef>
              <c:f>Лист1!$E$1</c:f>
              <c:strCache>
                <c:ptCount val="1"/>
                <c:pt idx="0">
                  <c:v>Доля проб воздуха, превышающих ПДК  на пыль и аэрозоли, содержащие вещества 1 и 2 классов опасности, (%)</c:v>
                </c:pt>
              </c:strCache>
            </c:strRef>
          </c:tx>
          <c:spPr>
            <a:solidFill>
              <a:srgbClr val="D4E1F0"/>
            </a:solidFill>
          </c:spPr>
          <c:dLbls>
            <c:dLbl>
              <c:idx val="0"/>
              <c:layout>
                <c:manualLayout>
                  <c:x val="2.2064075116535672E-3"/>
                  <c:y val="1.2629580615881143E-2"/>
                </c:manualLayout>
              </c:layout>
              <c:dLblPos val="outEnd"/>
              <c:showVal val="1"/>
            </c:dLbl>
            <c:dLbl>
              <c:idx val="1"/>
              <c:layout>
                <c:manualLayout>
                  <c:x val="0"/>
                  <c:y val="1.5363815142576323E-2"/>
                </c:manualLayout>
              </c:layout>
              <c:dLblPos val="outEnd"/>
              <c:showVal val="1"/>
            </c:dLbl>
            <c:dLbl>
              <c:idx val="3"/>
              <c:layout>
                <c:manualLayout>
                  <c:x val="0"/>
                  <c:y val="6.1455260570304785E-3"/>
                </c:manualLayout>
              </c:layout>
              <c:dLblPos val="outEnd"/>
              <c:showVal val="1"/>
            </c:dLbl>
            <c:dLbl>
              <c:idx val="4"/>
              <c:layout>
                <c:manualLayout>
                  <c:x val="6.6192225349607529E-3"/>
                  <c:y val="-3.1573951539702492E-3"/>
                </c:manualLayout>
              </c:layout>
              <c:dLblPos val="outEnd"/>
              <c:showVal val="1"/>
            </c:dLbl>
            <c:dLblPos val="outEnd"/>
            <c:showVal val="1"/>
          </c:dLbls>
          <c:cat>
            <c:numRef>
              <c:f>Лист1!$A$2:$A$6</c:f>
              <c:numCache>
                <c:formatCode>General</c:formatCode>
                <c:ptCount val="5"/>
                <c:pt idx="0">
                  <c:v>2017</c:v>
                </c:pt>
                <c:pt idx="1">
                  <c:v>2018</c:v>
                </c:pt>
                <c:pt idx="2">
                  <c:v>2019</c:v>
                </c:pt>
                <c:pt idx="3">
                  <c:v>2020</c:v>
                </c:pt>
                <c:pt idx="4">
                  <c:v>2021</c:v>
                </c:pt>
              </c:numCache>
            </c:numRef>
          </c:cat>
          <c:val>
            <c:numRef>
              <c:f>Лист1!$E$2:$E$6</c:f>
              <c:numCache>
                <c:formatCode>General</c:formatCode>
                <c:ptCount val="5"/>
                <c:pt idx="0">
                  <c:v>3.4</c:v>
                </c:pt>
                <c:pt idx="1">
                  <c:v>0</c:v>
                </c:pt>
                <c:pt idx="2">
                  <c:v>0.8</c:v>
                </c:pt>
                <c:pt idx="3">
                  <c:v>0.1</c:v>
                </c:pt>
                <c:pt idx="4">
                  <c:v>5.3</c:v>
                </c:pt>
              </c:numCache>
            </c:numRef>
          </c:val>
        </c:ser>
        <c:axId val="200361472"/>
        <c:axId val="200363008"/>
      </c:barChart>
      <c:catAx>
        <c:axId val="200361472"/>
        <c:scaling>
          <c:orientation val="minMax"/>
        </c:scaling>
        <c:axPos val="b"/>
        <c:numFmt formatCode="General" sourceLinked="1"/>
        <c:tickLblPos val="nextTo"/>
        <c:crossAx val="200363008"/>
        <c:crosses val="autoZero"/>
        <c:auto val="1"/>
        <c:lblAlgn val="ctr"/>
        <c:lblOffset val="100"/>
      </c:catAx>
      <c:valAx>
        <c:axId val="200363008"/>
        <c:scaling>
          <c:orientation val="minMax"/>
        </c:scaling>
        <c:axPos val="l"/>
        <c:majorGridlines>
          <c:spPr>
            <a:ln>
              <a:solidFill>
                <a:schemeClr val="bg1">
                  <a:lumMod val="65000"/>
                </a:schemeClr>
              </a:solidFill>
            </a:ln>
          </c:spPr>
        </c:majorGridlines>
        <c:numFmt formatCode="General" sourceLinked="1"/>
        <c:tickLblPos val="nextTo"/>
        <c:crossAx val="200361472"/>
        <c:crosses val="autoZero"/>
        <c:crossBetween val="between"/>
      </c:valAx>
    </c:plotArea>
    <c:legend>
      <c:legendPos val="b"/>
      <c:layout>
        <c:manualLayout>
          <c:xMode val="edge"/>
          <c:yMode val="edge"/>
          <c:x val="8.2618382871458923E-2"/>
          <c:y val="0.70659724218988884"/>
          <c:w val="0.87397220311145363"/>
          <c:h val="0.26613032729466923"/>
        </c:manualLayout>
      </c:layout>
      <c:spPr>
        <a:ln>
          <a:solidFill>
            <a:schemeClr val="bg1">
              <a:lumMod val="85000"/>
            </a:schemeClr>
          </a:solidFill>
        </a:ln>
      </c:spPr>
      <c:txPr>
        <a:bodyPr/>
        <a:lstStyle/>
        <a:p>
          <a:pPr algn="just">
            <a:defRPr b="0" i="0" baseline="0"/>
          </a:pPr>
          <a:endParaRPr lang="ru-RU"/>
        </a:p>
      </c:txPr>
    </c:legend>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00381384874348"/>
          <c:y val="7.3824836917947834E-2"/>
          <c:w val="0.87421100963443221"/>
          <c:h val="0.75053965744023965"/>
        </c:manualLayout>
      </c:layout>
      <c:lineChart>
        <c:grouping val="standard"/>
        <c:ser>
          <c:idx val="0"/>
          <c:order val="0"/>
          <c:tx>
            <c:strRef>
              <c:f>Лист1!$B$1</c:f>
              <c:strCache>
                <c:ptCount val="1"/>
                <c:pt idx="0">
                  <c:v>Среднегодовая численность населения Брянской области</c:v>
                </c:pt>
              </c:strCache>
            </c:strRef>
          </c:tx>
          <c:spPr>
            <a:ln w="63500">
              <a:solidFill>
                <a:srgbClr val="2DC8FF"/>
              </a:solidFill>
            </a:ln>
          </c:spPr>
          <c:marker>
            <c:symbol val="none"/>
          </c:marker>
          <c:dLbls>
            <c:dLbl>
              <c:idx val="0"/>
              <c:layout>
                <c:manualLayout>
                  <c:x val="-4.5368938781225974E-3"/>
                  <c:y val="1.4339826025165829E-2"/>
                </c:manualLayout>
              </c:layout>
              <c:dLblPos val="t"/>
              <c:showVal val="1"/>
            </c:dLbl>
            <c:dLbl>
              <c:idx val="6"/>
              <c:layout>
                <c:manualLayout>
                  <c:x val="1.5879128573429092E-2"/>
                  <c:y val="0"/>
                </c:manualLayout>
              </c:layout>
              <c:dLblPos val="t"/>
              <c:showVal val="1"/>
            </c:dLbl>
            <c:dLbl>
              <c:idx val="7"/>
              <c:layout>
                <c:manualLayout>
                  <c:x val="1.9983259517258808E-2"/>
                  <c:y val="-9.5417528795835246E-3"/>
                </c:manualLayout>
              </c:layout>
              <c:dLblPos val="t"/>
              <c:showVal val="1"/>
            </c:dLbl>
            <c:dLbl>
              <c:idx val="8"/>
              <c:layout>
                <c:manualLayout>
                  <c:x val="6.6610865057528112E-3"/>
                  <c:y val="-4.7554549691175649E-3"/>
                </c:manualLayout>
              </c:layout>
              <c:dLblPos val="t"/>
              <c:showVal val="1"/>
            </c:dLbl>
            <c:dLbl>
              <c:idx val="9"/>
              <c:layout>
                <c:manualLayout>
                  <c:x val="-8.6434801278613882E-4"/>
                  <c:y val="-4.1253663666838636E-2"/>
                </c:manualLayout>
              </c:layout>
              <c:dLblPos val="r"/>
              <c:showVal val="1"/>
            </c:dLbl>
            <c:spPr>
              <a:solidFill>
                <a:srgbClr val="2DC8FF"/>
              </a:solidFill>
            </c:spPr>
            <c:txPr>
              <a:bodyPr/>
              <a:lstStyle/>
              <a:p>
                <a:pPr>
                  <a:defRPr sz="900" b="1" i="0" baseline="0">
                    <a:latin typeface="Arial" pitchFamily="34" charset="0"/>
                  </a:defRPr>
                </a:pPr>
                <a:endParaRPr lang="ru-RU"/>
              </a:p>
            </c:txPr>
            <c:dLblPos val="t"/>
            <c:showVal val="1"/>
          </c:dLbls>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1269885</c:v>
                </c:pt>
                <c:pt idx="1">
                  <c:v>1264416</c:v>
                </c:pt>
                <c:pt idx="2">
                  <c:v>1253666</c:v>
                </c:pt>
                <c:pt idx="3">
                  <c:v>1242599</c:v>
                </c:pt>
                <c:pt idx="4">
                  <c:v>1232940</c:v>
                </c:pt>
                <c:pt idx="5">
                  <c:v>1225741</c:v>
                </c:pt>
                <c:pt idx="6">
                  <c:v>1220530</c:v>
                </c:pt>
                <c:pt idx="7">
                  <c:v>1210982</c:v>
                </c:pt>
                <c:pt idx="8">
                  <c:v>1192491</c:v>
                </c:pt>
                <c:pt idx="9">
                  <c:v>1182682</c:v>
                </c:pt>
              </c:numCache>
            </c:numRef>
          </c:val>
        </c:ser>
        <c:marker val="1"/>
        <c:axId val="105864192"/>
        <c:axId val="138777344"/>
      </c:lineChart>
      <c:catAx>
        <c:axId val="105864192"/>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38777344"/>
        <c:crosses val="autoZero"/>
        <c:auto val="1"/>
        <c:lblAlgn val="ctr"/>
        <c:lblOffset val="100"/>
      </c:catAx>
      <c:valAx>
        <c:axId val="138777344"/>
        <c:scaling>
          <c:orientation val="minMax"/>
        </c:scaling>
        <c:axPos val="l"/>
        <c:majorGridlines>
          <c:spPr>
            <a:ln>
              <a:solidFill>
                <a:sysClr val="window" lastClr="FFFFFF">
                  <a:lumMod val="6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05864192"/>
        <c:crosses val="autoZero"/>
        <c:crossBetween val="between"/>
      </c:valAx>
      <c:spPr>
        <a:ln>
          <a:solidFill>
            <a:srgbClr val="0070C0"/>
          </a:solidFill>
        </a:ln>
      </c:spPr>
    </c:plotArea>
    <c:plotVisOnly val="1"/>
    <c:dispBlanksAs val="gap"/>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3605701371081026E-2"/>
          <c:y val="5.0724231017177095E-2"/>
          <c:w val="0.88773194360160002"/>
          <c:h val="0.75496070937663218"/>
        </c:manualLayout>
      </c:layout>
      <c:barChart>
        <c:barDir val="col"/>
        <c:grouping val="clustered"/>
        <c:ser>
          <c:idx val="0"/>
          <c:order val="0"/>
          <c:tx>
            <c:strRef>
              <c:f>Лист1!$B$1</c:f>
              <c:strCache>
                <c:ptCount val="1"/>
                <c:pt idx="0">
                  <c:v>микроклимат</c:v>
                </c:pt>
              </c:strCache>
            </c:strRef>
          </c:tx>
          <c:spPr>
            <a:solidFill>
              <a:srgbClr val="FF0000"/>
            </a:solidFill>
          </c:spPr>
          <c:dLbls>
            <c:dLbl>
              <c:idx val="0"/>
              <c:layout>
                <c:manualLayout>
                  <c:x val="-2.1468042199071402E-3"/>
                  <c:y val="1.4092764636515523E-2"/>
                </c:manualLayout>
              </c:layout>
              <c:showVal val="1"/>
            </c:dLbl>
            <c:dLbl>
              <c:idx val="1"/>
              <c:layout>
                <c:manualLayout>
                  <c:x val="0"/>
                  <c:y val="1.8790846046746301E-2"/>
                </c:manualLayout>
              </c:layout>
              <c:showVal val="1"/>
            </c:dLbl>
            <c:dLbl>
              <c:idx val="2"/>
              <c:layout>
                <c:manualLayout>
                  <c:x val="0"/>
                  <c:y val="9.3954230233731523E-3"/>
                </c:manualLayout>
              </c:layout>
              <c:showVal val="1"/>
            </c:dLbl>
            <c:dLbl>
              <c:idx val="3"/>
              <c:layout>
                <c:manualLayout>
                  <c:x val="-2.1468042199071402E-3"/>
                  <c:y val="9.3954230233731523E-3"/>
                </c:manualLayout>
              </c:layout>
              <c:showVal val="1"/>
            </c:dLbl>
            <c:txPr>
              <a:bodyPr/>
              <a:lstStyle/>
              <a:p>
                <a:pPr>
                  <a:defRPr sz="850" b="1" i="0" baseline="0">
                    <a:latin typeface="Arial" pitchFamily="34" charset="0"/>
                    <a:cs typeface="Times New Roman" panose="02020603050405020304" pitchFamily="18" charset="0"/>
                  </a:defRPr>
                </a:pPr>
                <a:endParaRPr lang="ru-RU"/>
              </a:p>
            </c:txPr>
            <c:showVal val="1"/>
          </c:dLbls>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2.4</c:v>
                </c:pt>
                <c:pt idx="1">
                  <c:v>1.9000000000000001</c:v>
                </c:pt>
                <c:pt idx="2">
                  <c:v>2.6</c:v>
                </c:pt>
                <c:pt idx="3">
                  <c:v>1.7</c:v>
                </c:pt>
              </c:numCache>
            </c:numRef>
          </c:val>
        </c:ser>
        <c:ser>
          <c:idx val="1"/>
          <c:order val="1"/>
          <c:tx>
            <c:strRef>
              <c:f>Лист1!$C$1</c:f>
              <c:strCache>
                <c:ptCount val="1"/>
                <c:pt idx="0">
                  <c:v>освещённость</c:v>
                </c:pt>
              </c:strCache>
            </c:strRef>
          </c:tx>
          <c:spPr>
            <a:solidFill>
              <a:srgbClr val="FFC000"/>
            </a:solidFill>
          </c:spPr>
          <c:dLbls>
            <c:dLbl>
              <c:idx val="0"/>
              <c:layout>
                <c:manualLayout>
                  <c:x val="-2.1468042199071402E-3"/>
                  <c:y val="0"/>
                </c:manualLayout>
              </c:layout>
              <c:showVal val="1"/>
            </c:dLbl>
            <c:dLbl>
              <c:idx val="1"/>
              <c:layout>
                <c:manualLayout>
                  <c:x val="-8.5872168796285748E-3"/>
                  <c:y val="1.8790846046746301E-2"/>
                </c:manualLayout>
              </c:layout>
              <c:showVal val="1"/>
            </c:dLbl>
            <c:dLbl>
              <c:idx val="2"/>
              <c:layout>
                <c:manualLayout>
                  <c:x val="-8.5872168796285748E-3"/>
                  <c:y val="9.3954230233731523E-3"/>
                </c:manualLayout>
              </c:layout>
              <c:showVal val="1"/>
            </c:dLbl>
            <c:dLbl>
              <c:idx val="3"/>
              <c:layout>
                <c:manualLayout>
                  <c:x val="-6.4404126597213934E-3"/>
                  <c:y val="9.3954230233731523E-3"/>
                </c:manualLayout>
              </c:layout>
              <c:showVal val="1"/>
            </c:dLbl>
            <c:txPr>
              <a:bodyPr/>
              <a:lstStyle/>
              <a:p>
                <a:pPr>
                  <a:defRPr sz="850" b="1" i="0" baseline="0">
                    <a:latin typeface="Arial" pitchFamily="34" charset="0"/>
                    <a:cs typeface="Times New Roman" panose="02020603050405020304" pitchFamily="18" charset="0"/>
                  </a:defRPr>
                </a:pPr>
                <a:endParaRPr lang="ru-RU"/>
              </a:p>
            </c:txPr>
            <c:showVal val="1"/>
          </c:dLbls>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13.4</c:v>
                </c:pt>
                <c:pt idx="1">
                  <c:v>11.6</c:v>
                </c:pt>
                <c:pt idx="2">
                  <c:v>11.2</c:v>
                </c:pt>
                <c:pt idx="3">
                  <c:v>10.200000000000001</c:v>
                </c:pt>
              </c:numCache>
            </c:numRef>
          </c:val>
        </c:ser>
        <c:ser>
          <c:idx val="2"/>
          <c:order val="2"/>
          <c:tx>
            <c:strRef>
              <c:f>Лист1!$D$1</c:f>
              <c:strCache>
                <c:ptCount val="1"/>
                <c:pt idx="0">
                  <c:v>ЭМИ</c:v>
                </c:pt>
              </c:strCache>
            </c:strRef>
          </c:tx>
          <c:spPr>
            <a:solidFill>
              <a:srgbClr val="9982B4"/>
            </a:solidFill>
          </c:spPr>
          <c:dLbls>
            <c:dLbl>
              <c:idx val="0"/>
              <c:layout>
                <c:manualLayout>
                  <c:x val="0"/>
                  <c:y val="1.4093134535059636E-2"/>
                </c:manualLayout>
              </c:layout>
              <c:showVal val="1"/>
            </c:dLbl>
            <c:dLbl>
              <c:idx val="1"/>
              <c:layout>
                <c:manualLayout>
                  <c:x val="-2.1468042199071402E-3"/>
                  <c:y val="9.3954230233731523E-3"/>
                </c:manualLayout>
              </c:layout>
              <c:tx>
                <c:rich>
                  <a:bodyPr/>
                  <a:lstStyle/>
                  <a:p>
                    <a:r>
                      <a:rPr lang="ru-RU"/>
                      <a:t>25,0</a:t>
                    </a:r>
                    <a:endParaRPr lang="en-US"/>
                  </a:p>
                </c:rich>
              </c:tx>
              <c:showVal val="1"/>
            </c:dLbl>
            <c:dLbl>
              <c:idx val="2"/>
              <c:layout>
                <c:manualLayout>
                  <c:x val="-4.2936084398143143E-3"/>
                  <c:y val="1.8790846046746301E-2"/>
                </c:manualLayout>
              </c:layout>
              <c:showVal val="1"/>
            </c:dLbl>
            <c:dLbl>
              <c:idx val="3"/>
              <c:layout>
                <c:manualLayout>
                  <c:x val="-2.1468042199071402E-3"/>
                  <c:y val="1.4093134535059806E-2"/>
                </c:manualLayout>
              </c:layout>
              <c:showVal val="1"/>
            </c:dLbl>
            <c:txPr>
              <a:bodyPr/>
              <a:lstStyle/>
              <a:p>
                <a:pPr>
                  <a:defRPr sz="850" b="1" i="0" baseline="0">
                    <a:latin typeface="Arial" pitchFamily="34" charset="0"/>
                    <a:cs typeface="Times New Roman" panose="02020603050405020304" pitchFamily="18" charset="0"/>
                  </a:defRPr>
                </a:pPr>
                <a:endParaRPr lang="ru-RU"/>
              </a:p>
            </c:txPr>
            <c:showVal val="1"/>
          </c:dLbls>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25</c:v>
                </c:pt>
                <c:pt idx="1">
                  <c:v>21.8</c:v>
                </c:pt>
                <c:pt idx="2">
                  <c:v>16.100000000000001</c:v>
                </c:pt>
                <c:pt idx="3">
                  <c:v>0</c:v>
                </c:pt>
              </c:numCache>
            </c:numRef>
          </c:val>
        </c:ser>
        <c:ser>
          <c:idx val="3"/>
          <c:order val="3"/>
          <c:tx>
            <c:strRef>
              <c:f>Лист1!$E$1</c:f>
              <c:strCache>
                <c:ptCount val="1"/>
                <c:pt idx="0">
                  <c:v>шум</c:v>
                </c:pt>
              </c:strCache>
            </c:strRef>
          </c:tx>
          <c:spPr>
            <a:solidFill>
              <a:srgbClr val="80C535"/>
            </a:solidFill>
          </c:spPr>
          <c:dLbls>
            <c:dLbl>
              <c:idx val="0"/>
              <c:layout>
                <c:manualLayout>
                  <c:x val="-2.1468042199071402E-3"/>
                  <c:y val="4.6977115116865675E-3"/>
                </c:manualLayout>
              </c:layout>
              <c:showVal val="1"/>
            </c:dLbl>
            <c:dLbl>
              <c:idx val="1"/>
              <c:layout>
                <c:manualLayout>
                  <c:x val="0"/>
                  <c:y val="9.3954230233731523E-3"/>
                </c:manualLayout>
              </c:layout>
              <c:showVal val="1"/>
            </c:dLbl>
            <c:dLbl>
              <c:idx val="2"/>
              <c:layout>
                <c:manualLayout>
                  <c:x val="-2.1468042199071402E-3"/>
                  <c:y val="9.3954230233731523E-3"/>
                </c:manualLayout>
              </c:layout>
              <c:showVal val="1"/>
            </c:dLbl>
            <c:txPr>
              <a:bodyPr/>
              <a:lstStyle/>
              <a:p>
                <a:pPr>
                  <a:defRPr sz="850" b="1" i="0" baseline="0">
                    <a:latin typeface="Arial" pitchFamily="34" charset="0"/>
                    <a:cs typeface="Times New Roman" panose="02020603050405020304" pitchFamily="18" charset="0"/>
                  </a:defRPr>
                </a:pPr>
                <a:endParaRPr lang="ru-RU"/>
              </a:p>
            </c:txPr>
            <c:showVal val="1"/>
          </c:dLbls>
          <c:cat>
            <c:numRef>
              <c:f>Лист1!$A$2:$A$5</c:f>
              <c:numCache>
                <c:formatCode>General</c:formatCode>
                <c:ptCount val="4"/>
                <c:pt idx="0">
                  <c:v>2018</c:v>
                </c:pt>
                <c:pt idx="1">
                  <c:v>2019</c:v>
                </c:pt>
                <c:pt idx="2">
                  <c:v>2020</c:v>
                </c:pt>
                <c:pt idx="3">
                  <c:v>2021</c:v>
                </c:pt>
              </c:numCache>
            </c:numRef>
          </c:cat>
          <c:val>
            <c:numRef>
              <c:f>Лист1!$E$2:$E$5</c:f>
              <c:numCache>
                <c:formatCode>General</c:formatCode>
                <c:ptCount val="4"/>
                <c:pt idx="0">
                  <c:v>43.7</c:v>
                </c:pt>
                <c:pt idx="1">
                  <c:v>32.5</c:v>
                </c:pt>
                <c:pt idx="2">
                  <c:v>47.7</c:v>
                </c:pt>
                <c:pt idx="3">
                  <c:v>51.2</c:v>
                </c:pt>
              </c:numCache>
            </c:numRef>
          </c:val>
        </c:ser>
        <c:ser>
          <c:idx val="4"/>
          <c:order val="4"/>
          <c:tx>
            <c:strRef>
              <c:f>Лист1!$F$1</c:f>
              <c:strCache>
                <c:ptCount val="1"/>
                <c:pt idx="0">
                  <c:v>вибрация</c:v>
                </c:pt>
              </c:strCache>
            </c:strRef>
          </c:tx>
          <c:spPr>
            <a:solidFill>
              <a:srgbClr val="1F497D">
                <a:lumMod val="60000"/>
                <a:lumOff val="40000"/>
              </a:srgbClr>
            </a:solidFill>
          </c:spPr>
          <c:dLbls>
            <c:dLbl>
              <c:idx val="0"/>
              <c:layout>
                <c:manualLayout>
                  <c:x val="2.8719845430096242E-4"/>
                  <c:y val="1.4093134535059719E-2"/>
                </c:manualLayout>
              </c:layout>
              <c:dLblPos val="outEnd"/>
              <c:showVal val="1"/>
            </c:dLbl>
            <c:dLbl>
              <c:idx val="1"/>
              <c:layout>
                <c:manualLayout>
                  <c:x val="2.1468042199071402E-3"/>
                  <c:y val="-9.3954230233731523E-3"/>
                </c:manualLayout>
              </c:layout>
              <c:showVal val="1"/>
            </c:dLbl>
            <c:dLbl>
              <c:idx val="2"/>
              <c:layout>
                <c:manualLayout>
                  <c:x val="-2.1468042199071402E-3"/>
                  <c:y val="1.4093134535059806E-2"/>
                </c:manualLayout>
              </c:layout>
              <c:showVal val="1"/>
            </c:dLbl>
            <c:dLbl>
              <c:idx val="3"/>
              <c:layout>
                <c:manualLayout>
                  <c:x val="0"/>
                  <c:y val="1.8790846046746384E-2"/>
                </c:manualLayout>
              </c:layout>
              <c:showVal val="1"/>
            </c:dLbl>
            <c:txPr>
              <a:bodyPr/>
              <a:lstStyle/>
              <a:p>
                <a:pPr>
                  <a:defRPr sz="850" b="1" i="0" baseline="0">
                    <a:latin typeface="Arial" pitchFamily="34" charset="0"/>
                    <a:cs typeface="Times New Roman" panose="02020603050405020304" pitchFamily="18" charset="0"/>
                  </a:defRPr>
                </a:pPr>
                <a:endParaRPr lang="ru-RU"/>
              </a:p>
            </c:txPr>
            <c:showVal val="1"/>
          </c:dLbls>
          <c:cat>
            <c:numRef>
              <c:f>Лист1!$A$2:$A$5</c:f>
              <c:numCache>
                <c:formatCode>General</c:formatCode>
                <c:ptCount val="4"/>
                <c:pt idx="0">
                  <c:v>2018</c:v>
                </c:pt>
                <c:pt idx="1">
                  <c:v>2019</c:v>
                </c:pt>
                <c:pt idx="2">
                  <c:v>2020</c:v>
                </c:pt>
                <c:pt idx="3">
                  <c:v>2021</c:v>
                </c:pt>
              </c:numCache>
            </c:numRef>
          </c:cat>
          <c:val>
            <c:numRef>
              <c:f>Лист1!$F$2:$F$5</c:f>
              <c:numCache>
                <c:formatCode>General</c:formatCode>
                <c:ptCount val="4"/>
                <c:pt idx="0">
                  <c:v>11.1</c:v>
                </c:pt>
                <c:pt idx="1">
                  <c:v>66.599999999999994</c:v>
                </c:pt>
                <c:pt idx="2">
                  <c:v>0</c:v>
                </c:pt>
                <c:pt idx="3">
                  <c:v>0</c:v>
                </c:pt>
              </c:numCache>
            </c:numRef>
          </c:val>
        </c:ser>
        <c:axId val="200605056"/>
        <c:axId val="200696960"/>
      </c:barChart>
      <c:catAx>
        <c:axId val="200605056"/>
        <c:scaling>
          <c:orientation val="minMax"/>
        </c:scaling>
        <c:axPos val="b"/>
        <c:numFmt formatCode="General" sourceLinked="1"/>
        <c:tickLblPos val="nextTo"/>
        <c:txPr>
          <a:bodyPr/>
          <a:lstStyle/>
          <a:p>
            <a:pPr>
              <a:defRPr sz="900" b="1">
                <a:latin typeface="Arial" pitchFamily="34" charset="0"/>
                <a:cs typeface="Arial" pitchFamily="34" charset="0"/>
              </a:defRPr>
            </a:pPr>
            <a:endParaRPr lang="ru-RU"/>
          </a:p>
        </c:txPr>
        <c:crossAx val="200696960"/>
        <c:crosses val="autoZero"/>
        <c:auto val="1"/>
        <c:lblAlgn val="ctr"/>
        <c:lblOffset val="100"/>
      </c:catAx>
      <c:valAx>
        <c:axId val="200696960"/>
        <c:scaling>
          <c:orientation val="minMax"/>
        </c:scaling>
        <c:axPos val="l"/>
        <c:majorGridlines/>
        <c:numFmt formatCode="General" sourceLinked="1"/>
        <c:tickLblPos val="nextTo"/>
        <c:txPr>
          <a:bodyPr/>
          <a:lstStyle/>
          <a:p>
            <a:pPr>
              <a:defRPr sz="900" b="1" i="0" baseline="0">
                <a:latin typeface="Arial" pitchFamily="34" charset="0"/>
                <a:cs typeface="Times New Roman" panose="02020603050405020304" pitchFamily="18" charset="0"/>
              </a:defRPr>
            </a:pPr>
            <a:endParaRPr lang="ru-RU"/>
          </a:p>
        </c:txPr>
        <c:crossAx val="200605056"/>
        <c:crosses val="autoZero"/>
        <c:crossBetween val="between"/>
      </c:valAx>
    </c:plotArea>
    <c:legend>
      <c:legendPos val="b"/>
      <c:layout>
        <c:manualLayout>
          <c:xMode val="edge"/>
          <c:yMode val="edge"/>
          <c:x val="0.19312025315385817"/>
          <c:y val="0.92977143229157444"/>
          <c:w val="0.61375932465259886"/>
          <c:h val="7.0228567708448916E-2"/>
        </c:manualLayout>
      </c:layout>
      <c:spPr>
        <a:ln>
          <a:noFill/>
        </a:ln>
      </c:spPr>
      <c:txPr>
        <a:bodyPr/>
        <a:lstStyle/>
        <a:p>
          <a:pPr>
            <a:defRPr sz="900">
              <a:latin typeface="Arial" pitchFamily="34" charset="0"/>
              <a:cs typeface="Arial" pitchFamily="34"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view3D>
      <c:perspective val="0"/>
    </c:view3D>
    <c:plotArea>
      <c:layout>
        <c:manualLayout>
          <c:layoutTarget val="inner"/>
          <c:xMode val="edge"/>
          <c:yMode val="edge"/>
          <c:x val="0.11987810521065628"/>
          <c:y val="4.8264792162505774E-4"/>
          <c:w val="0.84585080426416293"/>
          <c:h val="0.88132474306171349"/>
        </c:manualLayout>
      </c:layout>
      <c:pie3DChart>
        <c:varyColors val="1"/>
        <c:ser>
          <c:idx val="0"/>
          <c:order val="0"/>
          <c:tx>
            <c:strRef>
              <c:f>Sheet1!$A$2</c:f>
              <c:strCache>
                <c:ptCount val="1"/>
                <c:pt idx="0">
                  <c:v>Восток</c:v>
                </c:pt>
              </c:strCache>
            </c:strRef>
          </c:tx>
          <c:explosion val="21"/>
          <c:dPt>
            <c:idx val="0"/>
            <c:explosion val="12"/>
            <c:spPr>
              <a:solidFill>
                <a:srgbClr val="83B5ED"/>
              </a:solidFill>
            </c:spPr>
          </c:dPt>
          <c:dPt>
            <c:idx val="1"/>
            <c:spPr>
              <a:solidFill>
                <a:srgbClr val="F94D76"/>
              </a:solidFill>
            </c:spPr>
          </c:dPt>
          <c:dPt>
            <c:idx val="2"/>
            <c:spPr>
              <a:solidFill>
                <a:srgbClr val="92D050"/>
              </a:solidFill>
            </c:spPr>
          </c:dPt>
          <c:dPt>
            <c:idx val="3"/>
            <c:spPr>
              <a:solidFill>
                <a:schemeClr val="tx1"/>
              </a:solidFill>
            </c:spPr>
          </c:dPt>
          <c:dLbls>
            <c:dLbl>
              <c:idx val="0"/>
              <c:layout>
                <c:manualLayout>
                  <c:x val="1.2933647520101463E-2"/>
                  <c:y val="1.2366085487473241E-2"/>
                </c:manualLayout>
              </c:layout>
              <c:dLblPos val="bestFit"/>
              <c:showVal val="1"/>
            </c:dLbl>
            <c:dLbl>
              <c:idx val="2"/>
              <c:layout>
                <c:manualLayout>
                  <c:x val="2.3515579071134631E-3"/>
                  <c:y val="-3.003003003003004E-2"/>
                </c:manualLayout>
              </c:layout>
              <c:tx>
                <c:rich>
                  <a:bodyPr/>
                  <a:lstStyle/>
                  <a:p>
                    <a:r>
                      <a:rPr lang="en-US" sz="800" baseline="0"/>
                      <a:t>1</a:t>
                    </a:r>
                    <a:r>
                      <a:rPr lang="en-US"/>
                      <a:t>5,0%</a:t>
                    </a:r>
                  </a:p>
                </c:rich>
              </c:tx>
              <c:dLblPos val="outEnd"/>
              <c:showVal val="1"/>
            </c:dLbl>
            <c:dLbl>
              <c:idx val="3"/>
              <c:layout>
                <c:manualLayout>
                  <c:x val="-4.3111396937215106E-17"/>
                  <c:y val="-1.2012012012012015E-2"/>
                </c:manualLayout>
              </c:layout>
              <c:spPr/>
              <c:txPr>
                <a:bodyPr/>
                <a:lstStyle/>
                <a:p>
                  <a:pPr>
                    <a:defRPr sz="850" b="1" i="0" baseline="0">
                      <a:latin typeface="Arial" pitchFamily="34" charset="0"/>
                    </a:defRPr>
                  </a:pPr>
                  <a:endParaRPr lang="ru-RU"/>
                </a:p>
              </c:txPr>
              <c:dLblPos val="outEnd"/>
              <c:showVal val="1"/>
            </c:dLbl>
            <c:txPr>
              <a:bodyPr/>
              <a:lstStyle/>
              <a:p>
                <a:pPr>
                  <a:defRPr sz="800" b="1" i="0" baseline="0">
                    <a:latin typeface="Arial" pitchFamily="34" charset="0"/>
                  </a:defRPr>
                </a:pPr>
                <a:endParaRPr lang="ru-RU"/>
              </a:p>
            </c:txPr>
            <c:dLblPos val="outEnd"/>
            <c:showVal val="1"/>
          </c:dLbls>
          <c:cat>
            <c:strRef>
              <c:f>Sheet1!$B$1:$E$1</c:f>
              <c:strCache>
                <c:ptCount val="4"/>
                <c:pt idx="0">
                  <c:v>Природные источники</c:v>
                </c:pt>
                <c:pt idx="1">
                  <c:v>Радиационная авария ЧАЭС</c:v>
                </c:pt>
                <c:pt idx="2">
                  <c:v>Медицинские</c:v>
                </c:pt>
                <c:pt idx="3">
                  <c:v>Персонал</c:v>
                </c:pt>
              </c:strCache>
            </c:strRef>
          </c:cat>
          <c:val>
            <c:numRef>
              <c:f>Sheet1!$B$2:$E$2</c:f>
              <c:numCache>
                <c:formatCode>0.00%</c:formatCode>
                <c:ptCount val="4"/>
                <c:pt idx="0">
                  <c:v>0.80720000000000003</c:v>
                </c:pt>
                <c:pt idx="1">
                  <c:v>4.2600000000000013E-2</c:v>
                </c:pt>
                <c:pt idx="2">
                  <c:v>0.15000000000000024</c:v>
                </c:pt>
                <c:pt idx="3">
                  <c:v>2.0000000000000052E-4</c:v>
                </c:pt>
              </c:numCache>
            </c:numRef>
          </c:val>
        </c:ser>
        <c:dLbls>
          <c:showVal val="1"/>
        </c:dLbls>
      </c:pie3DChart>
    </c:plotArea>
    <c:legend>
      <c:legendPos val="b"/>
      <c:layout>
        <c:manualLayout>
          <c:xMode val="edge"/>
          <c:yMode val="edge"/>
          <c:x val="0"/>
          <c:y val="0.69728528993930006"/>
          <c:w val="1"/>
          <c:h val="0.27373309320058425"/>
        </c:manualLayout>
      </c:layout>
      <c:txPr>
        <a:bodyPr/>
        <a:lstStyle/>
        <a:p>
          <a:pPr>
            <a:defRPr sz="800" baseline="0">
              <a:latin typeface="Arial" pitchFamily="34" charset="0"/>
            </a:defRPr>
          </a:pPr>
          <a:endParaRPr lang="ru-RU"/>
        </a:p>
      </c:txPr>
    </c:legend>
    <c:plotVisOnly val="1"/>
    <c:dispBlanksAs val="zero"/>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view3D>
      <c:perspective val="0"/>
    </c:view3D>
    <c:plotArea>
      <c:layout>
        <c:manualLayout>
          <c:layoutTarget val="inner"/>
          <c:xMode val="edge"/>
          <c:yMode val="edge"/>
          <c:x val="0.11987810521065628"/>
          <c:y val="4.8264792162505774E-4"/>
          <c:w val="0.84585080426416315"/>
          <c:h val="0.88132474306171349"/>
        </c:manualLayout>
      </c:layout>
      <c:pie3DChart>
        <c:varyColors val="1"/>
        <c:ser>
          <c:idx val="0"/>
          <c:order val="0"/>
          <c:tx>
            <c:strRef>
              <c:f>Sheet1!$A$2</c:f>
              <c:strCache>
                <c:ptCount val="1"/>
                <c:pt idx="0">
                  <c:v>Восток</c:v>
                </c:pt>
              </c:strCache>
            </c:strRef>
          </c:tx>
          <c:explosion val="21"/>
          <c:dPt>
            <c:idx val="0"/>
            <c:explosion val="12"/>
            <c:spPr>
              <a:solidFill>
                <a:srgbClr val="83B5ED"/>
              </a:solidFill>
            </c:spPr>
          </c:dPt>
          <c:dPt>
            <c:idx val="1"/>
            <c:spPr>
              <a:solidFill>
                <a:srgbClr val="F94D76"/>
              </a:solidFill>
            </c:spPr>
          </c:dPt>
          <c:dPt>
            <c:idx val="2"/>
            <c:spPr>
              <a:solidFill>
                <a:srgbClr val="92D050"/>
              </a:solidFill>
            </c:spPr>
          </c:dPt>
          <c:dPt>
            <c:idx val="3"/>
            <c:spPr>
              <a:solidFill>
                <a:schemeClr val="tx1"/>
              </a:solidFill>
            </c:spPr>
          </c:dPt>
          <c:dLbls>
            <c:dLbl>
              <c:idx val="0"/>
              <c:layout>
                <c:manualLayout>
                  <c:x val="8.2816516123927712E-3"/>
                  <c:y val="1.2366085487473241E-2"/>
                </c:manualLayout>
              </c:layout>
              <c:dLblPos val="bestFit"/>
              <c:showVal val="1"/>
            </c:dLbl>
            <c:dLbl>
              <c:idx val="2"/>
              <c:layout>
                <c:manualLayout>
                  <c:x val="2.3515579071134631E-3"/>
                  <c:y val="-3.003003003003004E-2"/>
                </c:manualLayout>
              </c:layout>
              <c:tx>
                <c:rich>
                  <a:bodyPr/>
                  <a:lstStyle/>
                  <a:p>
                    <a:r>
                      <a:rPr lang="ru-RU" sz="850" baseline="0"/>
                      <a:t>23,37</a:t>
                    </a:r>
                    <a:r>
                      <a:rPr lang="en-US"/>
                      <a:t>%</a:t>
                    </a:r>
                  </a:p>
                </c:rich>
              </c:tx>
              <c:dLblPos val="outEnd"/>
              <c:showVal val="1"/>
            </c:dLbl>
            <c:dLbl>
              <c:idx val="3"/>
              <c:layout>
                <c:manualLayout>
                  <c:x val="-4.3111396937215205E-17"/>
                  <c:y val="-1.2012012012012015E-2"/>
                </c:manualLayout>
              </c:layout>
              <c:dLblPos val="outEnd"/>
              <c:showVal val="1"/>
            </c:dLbl>
            <c:txPr>
              <a:bodyPr/>
              <a:lstStyle/>
              <a:p>
                <a:pPr>
                  <a:defRPr sz="850" b="1" i="0" baseline="0">
                    <a:latin typeface="Arial" pitchFamily="34" charset="0"/>
                  </a:defRPr>
                </a:pPr>
                <a:endParaRPr lang="ru-RU"/>
              </a:p>
            </c:txPr>
            <c:dLblPos val="outEnd"/>
            <c:showVal val="1"/>
          </c:dLbls>
          <c:cat>
            <c:strRef>
              <c:f>Sheet1!$B$1:$E$1</c:f>
              <c:strCache>
                <c:ptCount val="4"/>
                <c:pt idx="0">
                  <c:v>Природные источники</c:v>
                </c:pt>
                <c:pt idx="1">
                  <c:v>Радиационная авария ЧАЭС</c:v>
                </c:pt>
                <c:pt idx="2">
                  <c:v>Медицинские</c:v>
                </c:pt>
                <c:pt idx="3">
                  <c:v>Персонал</c:v>
                </c:pt>
              </c:strCache>
            </c:strRef>
          </c:cat>
          <c:val>
            <c:numRef>
              <c:f>Sheet1!$B$2:$E$2</c:f>
              <c:numCache>
                <c:formatCode>0.00%</c:formatCode>
                <c:ptCount val="4"/>
                <c:pt idx="0">
                  <c:v>0.72810000000000064</c:v>
                </c:pt>
                <c:pt idx="1">
                  <c:v>3.8100000000000002E-2</c:v>
                </c:pt>
                <c:pt idx="2">
                  <c:v>0.15000000000000024</c:v>
                </c:pt>
                <c:pt idx="3">
                  <c:v>2.0000000000000052E-4</c:v>
                </c:pt>
              </c:numCache>
            </c:numRef>
          </c:val>
        </c:ser>
        <c:dLbls>
          <c:showVal val="1"/>
        </c:dLbls>
      </c:pie3DChart>
    </c:plotArea>
    <c:legend>
      <c:legendPos val="b"/>
      <c:layout>
        <c:manualLayout>
          <c:xMode val="edge"/>
          <c:yMode val="edge"/>
          <c:x val="0"/>
          <c:y val="0.69728528993930006"/>
          <c:w val="1"/>
          <c:h val="0.27373309320058425"/>
        </c:manualLayout>
      </c:layout>
      <c:txPr>
        <a:bodyPr/>
        <a:lstStyle/>
        <a:p>
          <a:pPr>
            <a:defRPr sz="800" baseline="0">
              <a:latin typeface="Arial" pitchFamily="34" charset="0"/>
            </a:defRPr>
          </a:pPr>
          <a:endParaRPr lang="ru-RU"/>
        </a:p>
      </c:txPr>
    </c:legend>
    <c:plotVisOnly val="1"/>
    <c:dispBlanksAs val="zero"/>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20"/>
      <c:rotY val="200"/>
      <c:perspective val="50"/>
    </c:view3D>
    <c:plotArea>
      <c:layout>
        <c:manualLayout>
          <c:layoutTarget val="inner"/>
          <c:xMode val="edge"/>
          <c:yMode val="edge"/>
          <c:x val="2.0834498792872431E-2"/>
          <c:y val="9.9624163706405103E-2"/>
          <c:w val="0.54826152674876738"/>
          <c:h val="0.67742260703235868"/>
        </c:manualLayout>
      </c:layout>
      <c:pie3DChart>
        <c:varyColors val="1"/>
        <c:ser>
          <c:idx val="0"/>
          <c:order val="0"/>
          <c:tx>
            <c:strRef>
              <c:f>Лист1!$B$1</c:f>
              <c:strCache>
                <c:ptCount val="1"/>
                <c:pt idx="0">
                  <c:v>Столбец1</c:v>
                </c:pt>
              </c:strCache>
            </c:strRef>
          </c:tx>
          <c:spPr>
            <a:solidFill>
              <a:srgbClr val="FFC000"/>
            </a:solidFill>
          </c:spPr>
          <c:explosion val="25"/>
          <c:dPt>
            <c:idx val="0"/>
            <c:spPr>
              <a:solidFill>
                <a:srgbClr val="6FA0DB"/>
              </a:solidFill>
            </c:spPr>
          </c:dPt>
          <c:dPt>
            <c:idx val="1"/>
            <c:spPr>
              <a:solidFill>
                <a:srgbClr val="F06C95"/>
              </a:solidFill>
            </c:spPr>
          </c:dPt>
          <c:dPt>
            <c:idx val="2"/>
            <c:spPr>
              <a:solidFill>
                <a:srgbClr val="7DE278"/>
              </a:solidFill>
            </c:spPr>
          </c:dPt>
          <c:dPt>
            <c:idx val="3"/>
            <c:explosion val="23"/>
            <c:spPr>
              <a:solidFill>
                <a:srgbClr val="FFFF00"/>
              </a:solidFill>
            </c:spPr>
          </c:dPt>
          <c:dLbls>
            <c:dLbl>
              <c:idx val="0"/>
              <c:layout>
                <c:manualLayout>
                  <c:x val="-2.1762080825053604E-3"/>
                  <c:y val="-3.4983296164728915E-2"/>
                </c:manualLayout>
              </c:layout>
              <c:tx>
                <c:rich>
                  <a:bodyPr/>
                  <a:lstStyle/>
                  <a:p>
                    <a:r>
                      <a:rPr lang="ru-RU"/>
                      <a:t>52,1</a:t>
                    </a:r>
                    <a:endParaRPr lang="en-US"/>
                  </a:p>
                </c:rich>
              </c:tx>
              <c:dLblPos val="outEnd"/>
              <c:showVal val="1"/>
            </c:dLbl>
            <c:dLbl>
              <c:idx val="1"/>
              <c:layout>
                <c:manualLayout>
                  <c:x val="-1.7409664660042883E-2"/>
                  <c:y val="-6.2969933096512123E-2"/>
                </c:manualLayout>
              </c:layout>
              <c:tx>
                <c:rich>
                  <a:bodyPr/>
                  <a:lstStyle/>
                  <a:p>
                    <a:r>
                      <a:rPr lang="ru-RU"/>
                      <a:t>31,9</a:t>
                    </a:r>
                    <a:endParaRPr lang="en-US"/>
                  </a:p>
                </c:rich>
              </c:tx>
              <c:dLblPos val="outEnd"/>
              <c:showVal val="1"/>
            </c:dLbl>
            <c:dLbl>
              <c:idx val="2"/>
              <c:tx>
                <c:rich>
                  <a:bodyPr/>
                  <a:lstStyle/>
                  <a:p>
                    <a:r>
                      <a:rPr lang="ru-RU"/>
                      <a:t>15,8</a:t>
                    </a:r>
                    <a:endParaRPr lang="en-US"/>
                  </a:p>
                </c:rich>
              </c:tx>
              <c:dLblPos val="outEnd"/>
              <c:showVal val="1"/>
            </c:dLbl>
            <c:dLbl>
              <c:idx val="3"/>
              <c:tx>
                <c:rich>
                  <a:bodyPr/>
                  <a:lstStyle/>
                  <a:p>
                    <a:r>
                      <a:rPr lang="en-US"/>
                      <a:t>0</a:t>
                    </a:r>
                    <a:r>
                      <a:rPr lang="ru-RU"/>
                      <a:t>,2</a:t>
                    </a:r>
                    <a:endParaRPr lang="en-US"/>
                  </a:p>
                </c:rich>
              </c:tx>
              <c:dLblPos val="outEnd"/>
              <c:showVal val="1"/>
            </c:dLbl>
            <c:txPr>
              <a:bodyPr/>
              <a:lstStyle/>
              <a:p>
                <a:pPr>
                  <a:defRPr sz="900" b="1" i="0" baseline="0">
                    <a:latin typeface="Arial" pitchFamily="34" charset="0"/>
                  </a:defRPr>
                </a:pPr>
                <a:endParaRPr lang="ru-RU"/>
              </a:p>
            </c:txPr>
            <c:dLblPos val="outEnd"/>
            <c:showVal val="1"/>
          </c:dLbls>
          <c:cat>
            <c:strRef>
              <c:f>Лист1!$A$2:$A$5</c:f>
              <c:strCache>
                <c:ptCount val="4"/>
                <c:pt idx="0">
                  <c:v>&lt; 0,3 мЗв/год</c:v>
                </c:pt>
                <c:pt idx="1">
                  <c:v>0,3 – 1,0 мЗв/год</c:v>
                </c:pt>
                <c:pt idx="2">
                  <c:v>≥ 1,0 мЗв/год</c:v>
                </c:pt>
                <c:pt idx="3">
                  <c:v>≥ 5,0 мЗв/год</c:v>
                </c:pt>
              </c:strCache>
            </c:strRef>
          </c:cat>
          <c:val>
            <c:numRef>
              <c:f>Лист1!$B$2:$B$5</c:f>
              <c:numCache>
                <c:formatCode>General</c:formatCode>
                <c:ptCount val="4"/>
                <c:pt idx="0">
                  <c:v>52</c:v>
                </c:pt>
                <c:pt idx="1">
                  <c:v>32</c:v>
                </c:pt>
                <c:pt idx="2">
                  <c:v>16</c:v>
                </c:pt>
                <c:pt idx="3">
                  <c:v>0</c:v>
                </c:pt>
              </c:numCache>
            </c:numRef>
          </c:val>
        </c:ser>
        <c:dLbls>
          <c:showVal val="1"/>
        </c:dLbls>
      </c:pie3DChart>
    </c:plotArea>
    <c:legend>
      <c:legendPos val="r"/>
      <c:layout>
        <c:manualLayout>
          <c:xMode val="edge"/>
          <c:yMode val="edge"/>
          <c:x val="0.73105923586994093"/>
          <c:y val="4.5304745828449004E-2"/>
          <c:w val="0.22457419802868867"/>
          <c:h val="0.71693059314040963"/>
        </c:manualLayout>
      </c:layout>
      <c:txPr>
        <a:bodyPr/>
        <a:lstStyle/>
        <a:p>
          <a:pPr>
            <a:defRPr sz="900" baseline="0">
              <a:latin typeface="Arial" pitchFamily="34" charset="0"/>
            </a:defRPr>
          </a:pPr>
          <a:endParaRPr lang="ru-RU"/>
        </a:p>
      </c:txPr>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sideWall>
      <c:spPr>
        <a:noFill/>
        <a:ln w="25400">
          <a:noFill/>
        </a:ln>
      </c:spPr>
    </c:sideWall>
    <c:backWall>
      <c:spPr>
        <a:noFill/>
        <a:ln w="25400">
          <a:noFill/>
        </a:ln>
      </c:spPr>
    </c:backWall>
    <c:plotArea>
      <c:layout/>
      <c:bar3DChart>
        <c:barDir val="col"/>
        <c:grouping val="clustered"/>
        <c:ser>
          <c:idx val="0"/>
          <c:order val="0"/>
          <c:tx>
            <c:strRef>
              <c:f>Лист1!$B$1</c:f>
              <c:strCache>
                <c:ptCount val="1"/>
                <c:pt idx="0">
                  <c:v>Ряд 1</c:v>
                </c:pt>
              </c:strCache>
            </c:strRef>
          </c:tx>
          <c:dPt>
            <c:idx val="0"/>
            <c:spPr>
              <a:solidFill>
                <a:srgbClr val="FFC000"/>
              </a:solidFill>
            </c:spPr>
          </c:dPt>
          <c:dPt>
            <c:idx val="1"/>
            <c:spPr>
              <a:solidFill>
                <a:srgbClr val="289BB2"/>
              </a:solidFill>
            </c:spPr>
          </c:dPt>
          <c:dPt>
            <c:idx val="2"/>
            <c:spPr>
              <a:solidFill>
                <a:schemeClr val="bg2">
                  <a:lumMod val="50000"/>
                </a:schemeClr>
              </a:solidFill>
            </c:spPr>
          </c:dPt>
          <c:dPt>
            <c:idx val="3"/>
            <c:spPr>
              <a:solidFill>
                <a:schemeClr val="tx1">
                  <a:lumMod val="50000"/>
                  <a:lumOff val="50000"/>
                </a:schemeClr>
              </a:solidFill>
            </c:spPr>
          </c:dPt>
          <c:dPt>
            <c:idx val="4"/>
            <c:spPr>
              <a:solidFill>
                <a:schemeClr val="accent2">
                  <a:lumMod val="60000"/>
                  <a:lumOff val="40000"/>
                </a:schemeClr>
              </a:solidFill>
            </c:spPr>
          </c:dPt>
          <c:dPt>
            <c:idx val="5"/>
            <c:spPr>
              <a:solidFill>
                <a:schemeClr val="accent6">
                  <a:lumMod val="50000"/>
                </a:schemeClr>
              </a:solidFill>
            </c:spPr>
          </c:dPt>
          <c:dPt>
            <c:idx val="6"/>
            <c:spPr>
              <a:solidFill>
                <a:sysClr val="window" lastClr="FFFFFF">
                  <a:lumMod val="85000"/>
                </a:sysClr>
              </a:solidFill>
            </c:spPr>
          </c:dPt>
          <c:dPt>
            <c:idx val="7"/>
            <c:spPr>
              <a:solidFill>
                <a:schemeClr val="accent3">
                  <a:lumMod val="75000"/>
                </a:schemeClr>
              </a:solidFill>
            </c:spPr>
          </c:dPt>
          <c:dLbls>
            <c:dLbl>
              <c:idx val="0"/>
              <c:layout>
                <c:manualLayout>
                  <c:x val="6.9444444444445681E-3"/>
                  <c:y val="-3.9682539682539802E-3"/>
                </c:manualLayout>
              </c:layout>
              <c:showVal val="1"/>
            </c:dLbl>
            <c:dLbl>
              <c:idx val="1"/>
              <c:layout>
                <c:manualLayout>
                  <c:x val="9.2592592592595346E-3"/>
                  <c:y val="-3.9682539682539802E-3"/>
                </c:manualLayout>
              </c:layout>
              <c:tx>
                <c:rich>
                  <a:bodyPr/>
                  <a:lstStyle/>
                  <a:p>
                    <a:r>
                      <a:rPr lang="en-US"/>
                      <a:t>71</a:t>
                    </a:r>
                    <a:r>
                      <a:rPr lang="ru-RU"/>
                      <a:t>,0</a:t>
                    </a:r>
                    <a:endParaRPr lang="en-US"/>
                  </a:p>
                </c:rich>
              </c:tx>
              <c:showVal val="1"/>
            </c:dLbl>
            <c:dLbl>
              <c:idx val="2"/>
              <c:layout>
                <c:manualLayout>
                  <c:x val="2.3148148148148572E-3"/>
                  <c:y val="-1.9841269841270191E-2"/>
                </c:manualLayout>
              </c:layout>
              <c:showVal val="1"/>
            </c:dLbl>
            <c:dLbl>
              <c:idx val="3"/>
              <c:layout>
                <c:manualLayout>
                  <c:x val="9.2592592592595346E-3"/>
                  <c:y val="0"/>
                </c:manualLayout>
              </c:layout>
              <c:showVal val="1"/>
            </c:dLbl>
            <c:dLbl>
              <c:idx val="4"/>
              <c:layout>
                <c:manualLayout>
                  <c:x val="6.9444444444445681E-3"/>
                  <c:y val="-3.9682539682539802E-3"/>
                </c:manualLayout>
              </c:layout>
              <c:showVal val="1"/>
            </c:dLbl>
            <c:dLbl>
              <c:idx val="5"/>
              <c:layout>
                <c:manualLayout>
                  <c:x val="6.9444444444445681E-3"/>
                  <c:y val="-3.9682539682539802E-3"/>
                </c:manualLayout>
              </c:layout>
              <c:showVal val="1"/>
            </c:dLbl>
            <c:dLbl>
              <c:idx val="6"/>
              <c:layout>
                <c:manualLayout>
                  <c:x val="6.9444444444445681E-3"/>
                  <c:y val="-3.9682539682539802E-3"/>
                </c:manualLayout>
              </c:layout>
              <c:showVal val="1"/>
            </c:dLbl>
            <c:dLbl>
              <c:idx val="7"/>
              <c:layout>
                <c:manualLayout>
                  <c:x val="4.6296296296297404E-3"/>
                  <c:y val="-7.9365079365079413E-3"/>
                </c:manualLayout>
              </c:layout>
              <c:tx>
                <c:rich>
                  <a:bodyPr/>
                  <a:lstStyle/>
                  <a:p>
                    <a:r>
                      <a:rPr lang="en-US"/>
                      <a:t>26</a:t>
                    </a:r>
                    <a:r>
                      <a:rPr lang="ru-RU"/>
                      <a:t>2,3</a:t>
                    </a:r>
                    <a:endParaRPr lang="en-US"/>
                  </a:p>
                </c:rich>
              </c:tx>
              <c:showVal val="1"/>
            </c:dLbl>
            <c:dLbl>
              <c:idx val="8"/>
              <c:layout>
                <c:manualLayout>
                  <c:x val="6.9444444444445681E-3"/>
                  <c:y val="0"/>
                </c:manualLayout>
              </c:layout>
              <c:tx>
                <c:rich>
                  <a:bodyPr/>
                  <a:lstStyle/>
                  <a:p>
                    <a:r>
                      <a:rPr lang="en-US"/>
                      <a:t>7</a:t>
                    </a:r>
                    <a:r>
                      <a:rPr lang="ru-RU"/>
                      <a:t>6,4</a:t>
                    </a:r>
                    <a:endParaRPr lang="en-US"/>
                  </a:p>
                </c:rich>
              </c:tx>
              <c:showVal val="1"/>
            </c:dLbl>
            <c:txPr>
              <a:bodyPr/>
              <a:lstStyle/>
              <a:p>
                <a:pPr>
                  <a:defRPr sz="900" b="1" i="0" baseline="0">
                    <a:latin typeface="Arial" pitchFamily="34" charset="0"/>
                  </a:defRPr>
                </a:pPr>
                <a:endParaRPr lang="ru-RU"/>
              </a:p>
            </c:txPr>
            <c:showVal val="1"/>
          </c:dLbls>
          <c:cat>
            <c:strRef>
              <c:f>Лист1!$A$2:$A$10</c:f>
              <c:strCache>
                <c:ptCount val="9"/>
                <c:pt idx="0">
                  <c:v>Песок</c:v>
                </c:pt>
                <c:pt idx="1">
                  <c:v>Бетон</c:v>
                </c:pt>
                <c:pt idx="2">
                  <c:v>Раствор</c:v>
                </c:pt>
                <c:pt idx="3">
                  <c:v>Цемент</c:v>
                </c:pt>
                <c:pt idx="4">
                  <c:v>Кирпич керамический</c:v>
                </c:pt>
                <c:pt idx="5">
                  <c:v>Кирпич силикатный</c:v>
                </c:pt>
                <c:pt idx="6">
                  <c:v>Мел</c:v>
                </c:pt>
                <c:pt idx="7">
                  <c:v>Щебень</c:v>
                </c:pt>
                <c:pt idx="8">
                  <c:v>Глина</c:v>
                </c:pt>
              </c:strCache>
            </c:strRef>
          </c:cat>
          <c:val>
            <c:numRef>
              <c:f>Лист1!$B$2:$B$10</c:f>
              <c:numCache>
                <c:formatCode>General</c:formatCode>
                <c:ptCount val="9"/>
                <c:pt idx="0">
                  <c:v>28.6</c:v>
                </c:pt>
                <c:pt idx="1">
                  <c:v>71</c:v>
                </c:pt>
                <c:pt idx="2">
                  <c:v>44.4</c:v>
                </c:pt>
                <c:pt idx="3">
                  <c:v>55.2</c:v>
                </c:pt>
                <c:pt idx="4">
                  <c:v>83.9</c:v>
                </c:pt>
                <c:pt idx="5">
                  <c:v>23.1</c:v>
                </c:pt>
                <c:pt idx="6">
                  <c:v>15.8</c:v>
                </c:pt>
                <c:pt idx="7">
                  <c:v>262.3</c:v>
                </c:pt>
                <c:pt idx="8">
                  <c:v>76.400000000000006</c:v>
                </c:pt>
              </c:numCache>
            </c:numRef>
          </c:val>
        </c:ser>
        <c:dLbls>
          <c:showVal val="1"/>
        </c:dLbls>
        <c:shape val="cylinder"/>
        <c:axId val="200325376"/>
        <c:axId val="200544256"/>
        <c:axId val="0"/>
      </c:bar3DChart>
      <c:catAx>
        <c:axId val="200325376"/>
        <c:scaling>
          <c:orientation val="minMax"/>
        </c:scaling>
        <c:axPos val="b"/>
        <c:numFmt formatCode="General" sourceLinked="1"/>
        <c:tickLblPos val="nextTo"/>
        <c:txPr>
          <a:bodyPr/>
          <a:lstStyle/>
          <a:p>
            <a:pPr>
              <a:defRPr sz="800" b="1" i="0" baseline="0">
                <a:latin typeface="Arial" pitchFamily="34" charset="0"/>
              </a:defRPr>
            </a:pPr>
            <a:endParaRPr lang="ru-RU"/>
          </a:p>
        </c:txPr>
        <c:crossAx val="200544256"/>
        <c:crosses val="autoZero"/>
        <c:auto val="1"/>
        <c:lblAlgn val="ctr"/>
        <c:lblOffset val="100"/>
      </c:catAx>
      <c:valAx>
        <c:axId val="200544256"/>
        <c:scaling>
          <c:orientation val="minMax"/>
        </c:scaling>
        <c:axPos val="l"/>
        <c:majorGridlines>
          <c:spPr>
            <a:ln>
              <a:solidFill>
                <a:schemeClr val="bg1">
                  <a:lumMod val="75000"/>
                </a:schemeClr>
              </a:solidFill>
            </a:ln>
          </c:spPr>
        </c:majorGridlines>
        <c:numFmt formatCode="General" sourceLinked="1"/>
        <c:tickLblPos val="nextTo"/>
        <c:txPr>
          <a:bodyPr/>
          <a:lstStyle/>
          <a:p>
            <a:pPr>
              <a:defRPr sz="900" b="1" i="0" baseline="0">
                <a:latin typeface="Arial" pitchFamily="34" charset="0"/>
              </a:defRPr>
            </a:pPr>
            <a:endParaRPr lang="ru-RU"/>
          </a:p>
        </c:txPr>
        <c:crossAx val="200325376"/>
        <c:crosses val="autoZero"/>
        <c:crossBetween val="between"/>
      </c:valAx>
    </c:plotArea>
    <c:plotVisOnly val="1"/>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otX val="20"/>
      <c:rotY val="100"/>
      <c:perspective val="20"/>
    </c:view3D>
    <c:plotArea>
      <c:layout>
        <c:manualLayout>
          <c:layoutTarget val="inner"/>
          <c:xMode val="edge"/>
          <c:yMode val="edge"/>
          <c:x val="8.7962962962963548E-2"/>
          <c:y val="0.10615079365079365"/>
          <c:w val="0.70547571755269778"/>
          <c:h val="0.67861997269276852"/>
        </c:manualLayout>
      </c:layout>
      <c:pie3DChart>
        <c:varyColors val="1"/>
        <c:ser>
          <c:idx val="0"/>
          <c:order val="0"/>
          <c:tx>
            <c:strRef>
              <c:f>Лист1!$B$1</c:f>
              <c:strCache>
                <c:ptCount val="1"/>
                <c:pt idx="0">
                  <c:v>Столбец1</c:v>
                </c:pt>
              </c:strCache>
            </c:strRef>
          </c:tx>
          <c:explosion val="25"/>
          <c:dPt>
            <c:idx val="0"/>
            <c:spPr>
              <a:solidFill>
                <a:srgbClr val="FFFF00"/>
              </a:solidFill>
            </c:spPr>
          </c:dPt>
          <c:dPt>
            <c:idx val="1"/>
            <c:spPr>
              <a:solidFill>
                <a:srgbClr val="F98792"/>
              </a:solidFill>
            </c:spPr>
          </c:dPt>
          <c:dPt>
            <c:idx val="2"/>
            <c:spPr>
              <a:solidFill>
                <a:srgbClr val="92D050"/>
              </a:solidFill>
            </c:spPr>
          </c:dPt>
          <c:dPt>
            <c:idx val="4"/>
            <c:spPr>
              <a:solidFill>
                <a:schemeClr val="accent4">
                  <a:lumMod val="60000"/>
                  <a:lumOff val="40000"/>
                </a:schemeClr>
              </a:solidFill>
            </c:spPr>
          </c:dPt>
          <c:dPt>
            <c:idx val="5"/>
            <c:spPr>
              <a:solidFill>
                <a:srgbClr val="A7F7F9"/>
              </a:solidFill>
            </c:spPr>
          </c:dPt>
          <c:dLbls>
            <c:dLbl>
              <c:idx val="0"/>
              <c:layout>
                <c:manualLayout>
                  <c:x val="5.9489027898642327E-2"/>
                  <c:y val="0.17226444940754393"/>
                </c:manualLayout>
              </c:layout>
              <c:tx>
                <c:rich>
                  <a:bodyPr/>
                  <a:lstStyle/>
                  <a:p>
                    <a:r>
                      <a:rPr lang="ru-RU"/>
                      <a:t>рентгеноскопия 0,83%</a:t>
                    </a:r>
                  </a:p>
                </c:rich>
              </c:tx>
              <c:showVal val="1"/>
              <c:showCatName val="1"/>
            </c:dLbl>
            <c:dLbl>
              <c:idx val="1"/>
              <c:layout>
                <c:manualLayout>
                  <c:x val="2.3393838418684011E-2"/>
                  <c:y val="0.2571742813464109"/>
                </c:manualLayout>
              </c:layout>
              <c:tx>
                <c:rich>
                  <a:bodyPr/>
                  <a:lstStyle/>
                  <a:p>
                    <a:r>
                      <a:rPr lang="ru-RU"/>
                      <a:t>рентгенография 9,88%</a:t>
                    </a:r>
                  </a:p>
                </c:rich>
              </c:tx>
              <c:showVal val="1"/>
              <c:showCatName val="1"/>
            </c:dLbl>
            <c:dLbl>
              <c:idx val="2"/>
              <c:layout>
                <c:manualLayout>
                  <c:x val="-0.20419476963923597"/>
                  <c:y val="0.12072685904289812"/>
                </c:manualLayout>
              </c:layout>
              <c:tx>
                <c:rich>
                  <a:bodyPr/>
                  <a:lstStyle/>
                  <a:p>
                    <a:r>
                      <a:rPr lang="ru-RU"/>
                      <a:t>флюорография 3,59%</a:t>
                    </a:r>
                  </a:p>
                </c:rich>
              </c:tx>
              <c:showVal val="1"/>
              <c:showCatName val="1"/>
            </c:dLbl>
            <c:dLbl>
              <c:idx val="3"/>
              <c:layout>
                <c:manualLayout>
                  <c:x val="-4.1443032095050375E-2"/>
                  <c:y val="-2.9606005553360109E-2"/>
                </c:manualLayout>
              </c:layout>
              <c:tx>
                <c:rich>
                  <a:bodyPr/>
                  <a:lstStyle/>
                  <a:p>
                    <a:r>
                      <a:rPr lang="ru-RU"/>
                      <a:t>компьютерная томография</a:t>
                    </a:r>
                  </a:p>
                  <a:p>
                    <a:r>
                      <a:rPr lang="ru-RU"/>
                      <a:t>84,88%</a:t>
                    </a:r>
                  </a:p>
                </c:rich>
              </c:tx>
              <c:showVal val="1"/>
              <c:showCatName val="1"/>
            </c:dLbl>
            <c:dLbl>
              <c:idx val="4"/>
              <c:layout>
                <c:manualLayout>
                  <c:x val="1.6066712422896288E-2"/>
                  <c:y val="-0.36558989897133148"/>
                </c:manualLayout>
              </c:layout>
              <c:tx>
                <c:rich>
                  <a:bodyPr/>
                  <a:lstStyle/>
                  <a:p>
                    <a:r>
                      <a:rPr lang="ru-RU"/>
                      <a:t>радионуклидная диагностика 0,70%</a:t>
                    </a:r>
                  </a:p>
                </c:rich>
              </c:tx>
              <c:showVal val="1"/>
              <c:showCatName val="1"/>
            </c:dLbl>
            <c:dLbl>
              <c:idx val="5"/>
              <c:layout>
                <c:manualLayout>
                  <c:x val="9.2763093989878045E-2"/>
                  <c:y val="-8.6758228684463104E-2"/>
                </c:manualLayout>
              </c:layout>
              <c:tx>
                <c:rich>
                  <a:bodyPr/>
                  <a:lstStyle/>
                  <a:p>
                    <a:r>
                      <a:rPr lang="ru-RU"/>
                      <a:t>прочие 0,12%</a:t>
                    </a:r>
                  </a:p>
                </c:rich>
              </c:tx>
              <c:showVal val="1"/>
              <c:showCatName val="1"/>
            </c:dLbl>
            <c:txPr>
              <a:bodyPr/>
              <a:lstStyle/>
              <a:p>
                <a:pPr>
                  <a:defRPr sz="800" b="1" i="0" baseline="0">
                    <a:latin typeface="Arial" pitchFamily="34" charset="0"/>
                  </a:defRPr>
                </a:pPr>
                <a:endParaRPr lang="ru-RU"/>
              </a:p>
            </c:txPr>
            <c:showVal val="1"/>
            <c:showCatName val="1"/>
            <c:showLeaderLines val="1"/>
          </c:dLbls>
          <c:cat>
            <c:strRef>
              <c:f>Лист1!$A$2:$A$7</c:f>
              <c:strCache>
                <c:ptCount val="6"/>
                <c:pt idx="0">
                  <c:v>рентгеноскопия</c:v>
                </c:pt>
                <c:pt idx="1">
                  <c:v>рентгенография</c:v>
                </c:pt>
                <c:pt idx="2">
                  <c:v>флюорография</c:v>
                </c:pt>
                <c:pt idx="3">
                  <c:v>компьютерная томография</c:v>
                </c:pt>
                <c:pt idx="4">
                  <c:v>радионуклидная диагностика</c:v>
                </c:pt>
                <c:pt idx="5">
                  <c:v>прочие</c:v>
                </c:pt>
              </c:strCache>
            </c:strRef>
          </c:cat>
          <c:val>
            <c:numRef>
              <c:f>Лист1!$B$2:$B$7</c:f>
              <c:numCache>
                <c:formatCode>General</c:formatCode>
                <c:ptCount val="6"/>
                <c:pt idx="0">
                  <c:v>0.83000000000000063</c:v>
                </c:pt>
                <c:pt idx="1">
                  <c:v>9.8800000000000008</c:v>
                </c:pt>
                <c:pt idx="2">
                  <c:v>3.59</c:v>
                </c:pt>
                <c:pt idx="3">
                  <c:v>84.88</c:v>
                </c:pt>
                <c:pt idx="4">
                  <c:v>0.70000000000000062</c:v>
                </c:pt>
                <c:pt idx="5">
                  <c:v>0.12000000000000002</c:v>
                </c:pt>
              </c:numCache>
            </c:numRef>
          </c:val>
        </c:ser>
        <c:dLbls>
          <c:showVal val="1"/>
        </c:dLbls>
      </c:pie3DChart>
    </c:plotArea>
    <c:plotVisOnly val="1"/>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plotArea>
      <c:layout>
        <c:manualLayout>
          <c:layoutTarget val="inner"/>
          <c:xMode val="edge"/>
          <c:yMode val="edge"/>
          <c:x val="9.0150250417362271E-2"/>
          <c:y val="9.3617021276595741E-2"/>
          <c:w val="0.89315525876460766"/>
          <c:h val="0.51063829787234039"/>
        </c:manualLayout>
      </c:layout>
      <c:lineChart>
        <c:grouping val="standard"/>
        <c:ser>
          <c:idx val="0"/>
          <c:order val="0"/>
          <c:tx>
            <c:strRef>
              <c:f>Sheet1!$A$2</c:f>
              <c:strCache>
                <c:ptCount val="1"/>
                <c:pt idx="0">
                  <c:v>Общая заболеваемость детского населения </c:v>
                </c:pt>
              </c:strCache>
            </c:strRef>
          </c:tx>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Sheet1!$B$2:$J$2</c:f>
              <c:numCache>
                <c:formatCode>General</c:formatCode>
                <c:ptCount val="9"/>
                <c:pt idx="0">
                  <c:v>2445.6999999999998</c:v>
                </c:pt>
                <c:pt idx="1">
                  <c:v>2457.9</c:v>
                </c:pt>
                <c:pt idx="2">
                  <c:v>2404.3000000000002</c:v>
                </c:pt>
                <c:pt idx="3">
                  <c:v>2340.3000000000002</c:v>
                </c:pt>
                <c:pt idx="4">
                  <c:v>2392.5</c:v>
                </c:pt>
                <c:pt idx="5">
                  <c:v>2322</c:v>
                </c:pt>
                <c:pt idx="6">
                  <c:v>2262.1999999999998</c:v>
                </c:pt>
                <c:pt idx="7">
                  <c:v>2201.6999999999998</c:v>
                </c:pt>
                <c:pt idx="8">
                  <c:v>1973.4</c:v>
                </c:pt>
              </c:numCache>
            </c:numRef>
          </c:val>
        </c:ser>
        <c:ser>
          <c:idx val="1"/>
          <c:order val="1"/>
          <c:tx>
            <c:strRef>
              <c:f>Sheet1!$A$3</c:f>
              <c:strCache>
                <c:ptCount val="1"/>
                <c:pt idx="0">
                  <c:v>Первичная заболеваемость детского населения</c:v>
                </c:pt>
              </c:strCache>
            </c:strRef>
          </c:tx>
          <c:spPr>
            <a:ln>
              <a:solidFill>
                <a:srgbClr val="FF5050"/>
              </a:solidFill>
            </a:ln>
          </c:spPr>
          <c:marker>
            <c:symbol val="none"/>
          </c:marker>
          <c:cat>
            <c:numRef>
              <c:f>Sheet1!$B$1:$J$1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Sheet1!$B$3:$J$3</c:f>
              <c:numCache>
                <c:formatCode>General</c:formatCode>
                <c:ptCount val="9"/>
                <c:pt idx="0">
                  <c:v>1985.7</c:v>
                </c:pt>
                <c:pt idx="1">
                  <c:v>1998.9</c:v>
                </c:pt>
                <c:pt idx="2">
                  <c:v>1904.1</c:v>
                </c:pt>
                <c:pt idx="3">
                  <c:v>1810.6</c:v>
                </c:pt>
                <c:pt idx="4">
                  <c:v>1837.6</c:v>
                </c:pt>
                <c:pt idx="5">
                  <c:v>1797</c:v>
                </c:pt>
                <c:pt idx="6">
                  <c:v>1777.2</c:v>
                </c:pt>
                <c:pt idx="7">
                  <c:v>1711</c:v>
                </c:pt>
                <c:pt idx="8">
                  <c:v>1422.2</c:v>
                </c:pt>
              </c:numCache>
            </c:numRef>
          </c:val>
        </c:ser>
        <c:marker val="1"/>
        <c:axId val="201083904"/>
        <c:axId val="201085696"/>
      </c:lineChart>
      <c:catAx>
        <c:axId val="201083904"/>
        <c:scaling>
          <c:orientation val="minMax"/>
        </c:scaling>
        <c:axPos val="b"/>
        <c:numFmt formatCode="General" sourceLinked="0"/>
        <c:tickLblPos val="nextTo"/>
        <c:txPr>
          <a:bodyPr rot="0" vert="horz"/>
          <a:lstStyle/>
          <a:p>
            <a:pPr>
              <a:defRPr sz="900" b="1" i="0" baseline="0">
                <a:latin typeface="Arial" pitchFamily="34" charset="0"/>
              </a:defRPr>
            </a:pPr>
            <a:endParaRPr lang="ru-RU"/>
          </a:p>
        </c:txPr>
        <c:crossAx val="201085696"/>
        <c:crosses val="autoZero"/>
        <c:auto val="1"/>
        <c:lblAlgn val="ctr"/>
        <c:lblOffset val="100"/>
        <c:tickLblSkip val="1"/>
        <c:tickMarkSkip val="1"/>
      </c:catAx>
      <c:valAx>
        <c:axId val="201085696"/>
        <c:scaling>
          <c:orientation val="minMax"/>
          <c:max val="2600"/>
          <c:min val="1200"/>
        </c:scaling>
        <c:axPos val="l"/>
        <c:majorGridlines/>
        <c:numFmt formatCode="General" sourceLinked="1"/>
        <c:tickLblPos val="nextTo"/>
        <c:txPr>
          <a:bodyPr rot="0" vert="horz"/>
          <a:lstStyle/>
          <a:p>
            <a:pPr>
              <a:defRPr sz="900" b="1" i="0" baseline="0">
                <a:latin typeface="Arial" pitchFamily="34" charset="0"/>
              </a:defRPr>
            </a:pPr>
            <a:endParaRPr lang="ru-RU"/>
          </a:p>
        </c:txPr>
        <c:crossAx val="201083904"/>
        <c:crosses val="autoZero"/>
        <c:crossBetween val="between"/>
        <c:majorUnit val="200"/>
      </c:valAx>
    </c:plotArea>
    <c:legend>
      <c:legendPos val="b"/>
      <c:layout>
        <c:manualLayout>
          <c:xMode val="edge"/>
          <c:yMode val="edge"/>
          <c:x val="0.13688691256211424"/>
          <c:y val="0.8068922603509"/>
          <c:w val="0.71649362872094857"/>
          <c:h val="0.14939706072423944"/>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plotArea>
      <c:layout>
        <c:manualLayout>
          <c:layoutTarget val="inner"/>
          <c:xMode val="edge"/>
          <c:yMode val="edge"/>
          <c:x val="5.3928375271970266E-2"/>
          <c:y val="5.2043699152838074E-2"/>
          <c:w val="0.94607162472802964"/>
          <c:h val="0.72962962962965439"/>
        </c:manualLayout>
      </c:layout>
      <c:barChart>
        <c:barDir val="col"/>
        <c:grouping val="clustered"/>
        <c:ser>
          <c:idx val="0"/>
          <c:order val="0"/>
          <c:tx>
            <c:strRef>
              <c:f>Sheet1!$A$2:$B$2</c:f>
              <c:strCache>
                <c:ptCount val="1"/>
                <c:pt idx="0">
                  <c:v>прочие отравления</c:v>
                </c:pt>
              </c:strCache>
            </c:strRef>
          </c:tx>
          <c:spPr>
            <a:solidFill>
              <a:srgbClr val="FFFF00"/>
            </a:solidFill>
            <a:ln w="19050">
              <a:solidFill>
                <a:schemeClr val="bg1"/>
              </a:solidFill>
            </a:ln>
          </c:spPr>
          <c:dLbls>
            <c:dLbl>
              <c:idx val="0"/>
              <c:layout>
                <c:manualLayout>
                  <c:x val="2.2066811161665623E-3"/>
                  <c:y val="1.423019382073573E-2"/>
                </c:manualLayout>
              </c:layout>
              <c:dLblPos val="outEnd"/>
              <c:showVal val="1"/>
            </c:dLbl>
            <c:dLbl>
              <c:idx val="1"/>
              <c:layout>
                <c:manualLayout>
                  <c:x val="2.2078970141367485E-3"/>
                  <c:y val="1.0790041855761977E-2"/>
                </c:manualLayout>
              </c:layout>
              <c:dLblPos val="outEnd"/>
              <c:showVal val="1"/>
            </c:dLbl>
            <c:dLbl>
              <c:idx val="2"/>
              <c:layout>
                <c:manualLayout>
                  <c:x val="-1.5438256527374336E-2"/>
                  <c:y val="1.569634554291616E-2"/>
                </c:manualLayout>
              </c:layout>
              <c:dLblPos val="outEnd"/>
              <c:showVal val="1"/>
            </c:dLbl>
            <c:dLbl>
              <c:idx val="3"/>
              <c:layout>
                <c:manualLayout>
                  <c:x val="-2.2016438245757988E-3"/>
                  <c:y val="5.3950209278809886E-3"/>
                </c:manualLayout>
              </c:layout>
              <c:dLblPos val="outEnd"/>
              <c:showVal val="1"/>
            </c:dLbl>
            <c:dLbl>
              <c:idx val="4"/>
              <c:layout>
                <c:manualLayout>
                  <c:x val="-6.6151797566189096E-3"/>
                  <c:y val="1.4658038807278677E-3"/>
                </c:manualLayout>
              </c:layout>
              <c:dLblPos val="outEnd"/>
              <c:showVal val="1"/>
            </c:dLbl>
            <c:txPr>
              <a:bodyPr/>
              <a:lstStyle/>
              <a:p>
                <a:pPr>
                  <a:defRPr sz="800" b="1" i="0" baseline="0">
                    <a:latin typeface="Arial" pitchFamily="34" charset="0"/>
                  </a:defRPr>
                </a:pPr>
                <a:endParaRPr lang="ru-RU"/>
              </a:p>
            </c:txPr>
            <c:dLblPos val="outEnd"/>
            <c:showVal val="1"/>
          </c:dLbls>
          <c:cat>
            <c:numRef>
              <c:f>Sheet1!$C$1:$G$1</c:f>
              <c:numCache>
                <c:formatCode>General</c:formatCode>
                <c:ptCount val="5"/>
                <c:pt idx="0">
                  <c:v>2017</c:v>
                </c:pt>
                <c:pt idx="1">
                  <c:v>2018</c:v>
                </c:pt>
                <c:pt idx="2">
                  <c:v>2019</c:v>
                </c:pt>
                <c:pt idx="3">
                  <c:v>2020</c:v>
                </c:pt>
                <c:pt idx="4">
                  <c:v>2021</c:v>
                </c:pt>
              </c:numCache>
            </c:numRef>
          </c:cat>
          <c:val>
            <c:numRef>
              <c:f>Sheet1!$C$2:$G$2</c:f>
              <c:numCache>
                <c:formatCode>General</c:formatCode>
                <c:ptCount val="5"/>
                <c:pt idx="0">
                  <c:v>0.65000000000000446</c:v>
                </c:pt>
                <c:pt idx="1">
                  <c:v>0.58000000000000007</c:v>
                </c:pt>
                <c:pt idx="2">
                  <c:v>8.0000000000000043E-2</c:v>
                </c:pt>
                <c:pt idx="3">
                  <c:v>0.33000000000000246</c:v>
                </c:pt>
                <c:pt idx="4">
                  <c:v>0.4</c:v>
                </c:pt>
              </c:numCache>
            </c:numRef>
          </c:val>
        </c:ser>
        <c:ser>
          <c:idx val="1"/>
          <c:order val="1"/>
          <c:tx>
            <c:strRef>
              <c:f>Sheet1!$A$3:$B$3</c:f>
              <c:strCache>
                <c:ptCount val="1"/>
                <c:pt idx="0">
                  <c:v>отравления алкоголем</c:v>
                </c:pt>
              </c:strCache>
            </c:strRef>
          </c:tx>
          <c:spPr>
            <a:solidFill>
              <a:srgbClr val="00B050"/>
            </a:solidFill>
            <a:ln w="19050">
              <a:solidFill>
                <a:schemeClr val="bg1"/>
              </a:solidFill>
            </a:ln>
          </c:spPr>
          <c:dLbls>
            <c:dLbl>
              <c:idx val="0"/>
              <c:layout>
                <c:manualLayout>
                  <c:x val="-6.6143112580687845E-3"/>
                  <c:y val="1.3741476580008925E-2"/>
                </c:manualLayout>
              </c:layout>
              <c:dLblPos val="outEnd"/>
              <c:showVal val="1"/>
            </c:dLbl>
            <c:dLbl>
              <c:idx val="1"/>
              <c:layout>
                <c:manualLayout>
                  <c:x val="-2.2051178187763583E-3"/>
                  <c:y val="1.3741476580008925E-2"/>
                </c:manualLayout>
              </c:layout>
              <c:dLblPos val="outEnd"/>
              <c:showVal val="1"/>
            </c:dLbl>
            <c:dLbl>
              <c:idx val="2"/>
              <c:layout>
                <c:manualLayout>
                  <c:x val="-2.2040756205161591E-3"/>
                  <c:y val="1.8158715184983822E-2"/>
                </c:manualLayout>
              </c:layout>
              <c:dLblPos val="outEnd"/>
              <c:showVal val="1"/>
            </c:dLbl>
            <c:dLbl>
              <c:idx val="3"/>
              <c:layout>
                <c:manualLayout>
                  <c:x val="-2.2052915184864264E-3"/>
                  <c:y val="2.0602649230070342E-2"/>
                </c:manualLayout>
              </c:layout>
              <c:dLblPos val="outEnd"/>
              <c:showVal val="1"/>
            </c:dLbl>
            <c:dLbl>
              <c:idx val="4"/>
              <c:layout>
                <c:manualLayout>
                  <c:x val="0"/>
                  <c:y val="1.471885253216417E-2"/>
                </c:manualLayout>
              </c:layout>
              <c:dLblPos val="outEnd"/>
              <c:showVal val="1"/>
            </c:dLbl>
            <c:txPr>
              <a:bodyPr/>
              <a:lstStyle/>
              <a:p>
                <a:pPr>
                  <a:defRPr sz="800" b="1" i="0" baseline="0">
                    <a:latin typeface="Arial" pitchFamily="34" charset="0"/>
                  </a:defRPr>
                </a:pPr>
                <a:endParaRPr lang="ru-RU"/>
              </a:p>
            </c:txPr>
            <c:dLblPos val="outEnd"/>
            <c:showVal val="1"/>
          </c:dLbls>
          <c:cat>
            <c:numRef>
              <c:f>Sheet1!$C$1:$G$1</c:f>
              <c:numCache>
                <c:formatCode>General</c:formatCode>
                <c:ptCount val="5"/>
                <c:pt idx="0">
                  <c:v>2017</c:v>
                </c:pt>
                <c:pt idx="1">
                  <c:v>2018</c:v>
                </c:pt>
                <c:pt idx="2">
                  <c:v>2019</c:v>
                </c:pt>
                <c:pt idx="3">
                  <c:v>2020</c:v>
                </c:pt>
                <c:pt idx="4">
                  <c:v>2021</c:v>
                </c:pt>
              </c:numCache>
            </c:numRef>
          </c:cat>
          <c:val>
            <c:numRef>
              <c:f>Sheet1!$C$3:$G$3</c:f>
              <c:numCache>
                <c:formatCode>General</c:formatCode>
                <c:ptCount val="5"/>
                <c:pt idx="0">
                  <c:v>1.31</c:v>
                </c:pt>
                <c:pt idx="1">
                  <c:v>0.41000000000000031</c:v>
                </c:pt>
                <c:pt idx="2">
                  <c:v>0.8</c:v>
                </c:pt>
                <c:pt idx="3">
                  <c:v>0.2</c:v>
                </c:pt>
                <c:pt idx="4">
                  <c:v>0.60000000000000064</c:v>
                </c:pt>
              </c:numCache>
            </c:numRef>
          </c:val>
        </c:ser>
        <c:ser>
          <c:idx val="2"/>
          <c:order val="2"/>
          <c:tx>
            <c:strRef>
              <c:f>Sheet1!$A$4:$B$4</c:f>
              <c:strCache>
                <c:ptCount val="1"/>
                <c:pt idx="0">
                  <c:v>всего</c:v>
                </c:pt>
              </c:strCache>
            </c:strRef>
          </c:tx>
          <c:spPr>
            <a:solidFill>
              <a:srgbClr val="E95C05"/>
            </a:solidFill>
            <a:ln w="19050">
              <a:solidFill>
                <a:schemeClr val="bg1"/>
              </a:solidFill>
            </a:ln>
          </c:spPr>
          <c:dLbls>
            <c:dLbl>
              <c:idx val="0"/>
              <c:layout>
                <c:manualLayout>
                  <c:x val="0"/>
                  <c:y val="1.3252759339282433E-2"/>
                </c:manualLayout>
              </c:layout>
              <c:dLblPos val="outEnd"/>
              <c:showVal val="1"/>
            </c:dLbl>
            <c:dLbl>
              <c:idx val="1"/>
              <c:layout>
                <c:manualLayout>
                  <c:x val="6.6179589519793254E-3"/>
                  <c:y val="9.8126073743087291E-3"/>
                </c:manualLayout>
              </c:layout>
              <c:dLblPos val="outEnd"/>
              <c:showVal val="1"/>
            </c:dLbl>
            <c:dLbl>
              <c:idx val="2"/>
              <c:layout>
                <c:manualLayout>
                  <c:x val="4.4091934392925247E-3"/>
                  <c:y val="2.3554083954317177E-2"/>
                </c:manualLayout>
              </c:layout>
              <c:dLblPos val="outEnd"/>
              <c:showVal val="1"/>
            </c:dLbl>
            <c:dLbl>
              <c:idx val="3"/>
              <c:layout>
                <c:manualLayout>
                  <c:x val="2.2023386234159051E-3"/>
                  <c:y val="1.91361496664379E-2"/>
                </c:manualLayout>
              </c:layout>
              <c:dLblPos val="outEnd"/>
              <c:showVal val="1"/>
            </c:dLbl>
            <c:dLbl>
              <c:idx val="4"/>
              <c:layout>
                <c:manualLayout>
                  <c:x val="2.2059863173265011E-3"/>
                  <c:y val="1.4718563220010071E-2"/>
                </c:manualLayout>
              </c:layout>
              <c:tx>
                <c:rich>
                  <a:bodyPr/>
                  <a:lstStyle/>
                  <a:p>
                    <a:r>
                      <a:rPr lang="ru-RU"/>
                      <a:t>1,0</a:t>
                    </a:r>
                    <a:endParaRPr lang="en-US"/>
                  </a:p>
                </c:rich>
              </c:tx>
              <c:dLblPos val="outEnd"/>
              <c:showVal val="1"/>
            </c:dLbl>
            <c:txPr>
              <a:bodyPr/>
              <a:lstStyle/>
              <a:p>
                <a:pPr>
                  <a:defRPr sz="800" b="1" i="0" baseline="0">
                    <a:latin typeface="Arial" pitchFamily="34" charset="0"/>
                  </a:defRPr>
                </a:pPr>
                <a:endParaRPr lang="ru-RU"/>
              </a:p>
            </c:txPr>
            <c:dLblPos val="outEnd"/>
            <c:showVal val="1"/>
          </c:dLbls>
          <c:cat>
            <c:numRef>
              <c:f>Sheet1!$C$1:$G$1</c:f>
              <c:numCache>
                <c:formatCode>General</c:formatCode>
                <c:ptCount val="5"/>
                <c:pt idx="0">
                  <c:v>2017</c:v>
                </c:pt>
                <c:pt idx="1">
                  <c:v>2018</c:v>
                </c:pt>
                <c:pt idx="2">
                  <c:v>2019</c:v>
                </c:pt>
                <c:pt idx="3">
                  <c:v>2020</c:v>
                </c:pt>
                <c:pt idx="4">
                  <c:v>2021</c:v>
                </c:pt>
              </c:numCache>
            </c:numRef>
          </c:cat>
          <c:val>
            <c:numRef>
              <c:f>Sheet1!$C$4:$G$4</c:f>
              <c:numCache>
                <c:formatCode>General</c:formatCode>
                <c:ptCount val="5"/>
                <c:pt idx="0">
                  <c:v>1.9600000000000077</c:v>
                </c:pt>
                <c:pt idx="1">
                  <c:v>0.99</c:v>
                </c:pt>
                <c:pt idx="2">
                  <c:v>0.88</c:v>
                </c:pt>
                <c:pt idx="3">
                  <c:v>0.53</c:v>
                </c:pt>
                <c:pt idx="4">
                  <c:v>1</c:v>
                </c:pt>
              </c:numCache>
            </c:numRef>
          </c:val>
        </c:ser>
        <c:dLbls>
          <c:showVal val="1"/>
        </c:dLbls>
        <c:axId val="201181824"/>
        <c:axId val="201269632"/>
      </c:barChart>
      <c:catAx>
        <c:axId val="201181824"/>
        <c:scaling>
          <c:orientation val="minMax"/>
        </c:scaling>
        <c:axPos val="b"/>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01269632"/>
        <c:crosses val="autoZero"/>
        <c:auto val="1"/>
        <c:lblAlgn val="ctr"/>
        <c:lblOffset val="100"/>
        <c:tickLblSkip val="1"/>
        <c:tickMarkSkip val="1"/>
      </c:catAx>
      <c:valAx>
        <c:axId val="201269632"/>
        <c:scaling>
          <c:orientation val="minMax"/>
        </c:scaling>
        <c:axPos val="l"/>
        <c:majorGridlines>
          <c:spPr>
            <a:ln>
              <a:solidFill>
                <a:schemeClr val="bg1">
                  <a:lumMod val="65000"/>
                </a:schemeClr>
              </a:solidFill>
            </a:ln>
          </c:spPr>
        </c:majorGridlines>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01181824"/>
        <c:crosses val="autoZero"/>
        <c:crossBetween val="between"/>
      </c:valAx>
    </c:plotArea>
    <c:legend>
      <c:legendPos val="b"/>
      <c:layout>
        <c:manualLayout>
          <c:xMode val="edge"/>
          <c:yMode val="edge"/>
          <c:x val="0.1597725477259114"/>
          <c:y val="0.91618637235142752"/>
          <c:w val="0.72235126617993062"/>
          <c:h val="8.3813627648572517E-2"/>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plotArea>
      <c:layout>
        <c:manualLayout>
          <c:layoutTarget val="inner"/>
          <c:xMode val="edge"/>
          <c:yMode val="edge"/>
          <c:x val="6.2752320541276357E-2"/>
          <c:y val="3.2418562443283241E-2"/>
          <c:w val="0.92334510206768661"/>
          <c:h val="0.72962962962965472"/>
        </c:manualLayout>
      </c:layout>
      <c:barChart>
        <c:barDir val="col"/>
        <c:grouping val="clustered"/>
        <c:ser>
          <c:idx val="0"/>
          <c:order val="0"/>
          <c:tx>
            <c:strRef>
              <c:f>Sheet1!$A$2:$B$2</c:f>
              <c:strCache>
                <c:ptCount val="1"/>
                <c:pt idx="0">
                  <c:v>оба пола</c:v>
                </c:pt>
              </c:strCache>
            </c:strRef>
          </c:tx>
          <c:spPr>
            <a:solidFill>
              <a:srgbClr val="92D050"/>
            </a:solidFill>
            <a:ln w="19050">
              <a:solidFill>
                <a:schemeClr val="bg1"/>
              </a:solidFill>
            </a:ln>
          </c:spPr>
          <c:dLbls>
            <c:dLbl>
              <c:idx val="0"/>
              <c:layout>
                <c:manualLayout>
                  <c:x val="0"/>
                  <c:y val="2.0102470464416072E-2"/>
                </c:manualLayout>
              </c:layout>
              <c:showVal val="1"/>
            </c:dLbl>
            <c:dLbl>
              <c:idx val="1"/>
              <c:layout>
                <c:manualLayout>
                  <c:x val="-2.6252974173285011E-3"/>
                  <c:y val="-6.9546980392375824E-3"/>
                </c:manualLayout>
              </c:layout>
              <c:showVal val="1"/>
            </c:dLbl>
            <c:dLbl>
              <c:idx val="2"/>
              <c:layout>
                <c:manualLayout>
                  <c:x val="-1.1025358324145541E-2"/>
                  <c:y val="1.4718852532164258E-2"/>
                </c:manualLayout>
              </c:layout>
              <c:showVal val="1"/>
            </c:dLbl>
            <c:dLbl>
              <c:idx val="3"/>
              <c:layout>
                <c:manualLayout>
                  <c:x val="-4.4101433296582174E-3"/>
                  <c:y val="9.8125683547764728E-3"/>
                </c:manualLayout>
              </c:layout>
              <c:showVal val="1"/>
            </c:dLbl>
            <c:dLbl>
              <c:idx val="4"/>
              <c:layout>
                <c:manualLayout>
                  <c:x val="-6.6160482551690433E-3"/>
                  <c:y val="1.4241385876065981E-2"/>
                </c:manualLayout>
              </c:layout>
              <c:showVal val="1"/>
            </c:dLbl>
            <c:txPr>
              <a:bodyPr/>
              <a:lstStyle/>
              <a:p>
                <a:pPr>
                  <a:defRPr sz="800" b="1" i="0" baseline="0">
                    <a:latin typeface="Arial" pitchFamily="34" charset="0"/>
                  </a:defRPr>
                </a:pPr>
                <a:endParaRPr lang="ru-RU"/>
              </a:p>
            </c:txPr>
            <c:showVal val="1"/>
          </c:dLbls>
          <c:cat>
            <c:numRef>
              <c:f>Sheet1!$C$1:$G$1</c:f>
              <c:numCache>
                <c:formatCode>General</c:formatCode>
                <c:ptCount val="5"/>
                <c:pt idx="0">
                  <c:v>2017</c:v>
                </c:pt>
                <c:pt idx="1">
                  <c:v>2018</c:v>
                </c:pt>
                <c:pt idx="2">
                  <c:v>2019</c:v>
                </c:pt>
                <c:pt idx="3">
                  <c:v>2020</c:v>
                </c:pt>
                <c:pt idx="4">
                  <c:v>2021</c:v>
                </c:pt>
              </c:numCache>
            </c:numRef>
          </c:cat>
          <c:val>
            <c:numRef>
              <c:f>Sheet1!$C$2:$G$2</c:f>
              <c:numCache>
                <c:formatCode>General</c:formatCode>
                <c:ptCount val="5"/>
                <c:pt idx="0">
                  <c:v>1.31</c:v>
                </c:pt>
                <c:pt idx="1">
                  <c:v>0.41000000000000031</c:v>
                </c:pt>
                <c:pt idx="2">
                  <c:v>0.8</c:v>
                </c:pt>
                <c:pt idx="3">
                  <c:v>0.1</c:v>
                </c:pt>
                <c:pt idx="4">
                  <c:v>0.1</c:v>
                </c:pt>
              </c:numCache>
            </c:numRef>
          </c:val>
        </c:ser>
        <c:ser>
          <c:idx val="1"/>
          <c:order val="1"/>
          <c:tx>
            <c:strRef>
              <c:f>Sheet1!$A$3:$B$3</c:f>
              <c:strCache>
                <c:ptCount val="1"/>
                <c:pt idx="0">
                  <c:v>мужчины</c:v>
                </c:pt>
              </c:strCache>
            </c:strRef>
          </c:tx>
          <c:spPr>
            <a:solidFill>
              <a:srgbClr val="399AB5"/>
            </a:solidFill>
            <a:ln w="19050">
              <a:solidFill>
                <a:schemeClr val="bg1"/>
              </a:solidFill>
            </a:ln>
          </c:spPr>
          <c:dLbls>
            <c:dLbl>
              <c:idx val="0"/>
              <c:layout>
                <c:manualLayout>
                  <c:x val="2.9218067697436402E-3"/>
                  <c:y val="2.1088136566227256E-2"/>
                </c:manualLayout>
              </c:layout>
              <c:showVal val="1"/>
            </c:dLbl>
            <c:dLbl>
              <c:idx val="1"/>
              <c:layout>
                <c:manualLayout>
                  <c:x val="0"/>
                  <c:y val="1.9625136709552717E-2"/>
                </c:manualLayout>
              </c:layout>
              <c:showVal val="1"/>
            </c:dLbl>
            <c:dLbl>
              <c:idx val="2"/>
              <c:layout>
                <c:manualLayout>
                  <c:x val="-2.2040756205161591E-3"/>
                  <c:y val="1.5673614971344823E-2"/>
                </c:manualLayout>
              </c:layout>
              <c:showVal val="1"/>
            </c:dLbl>
            <c:dLbl>
              <c:idx val="3"/>
              <c:layout>
                <c:manualLayout>
                  <c:x val="-1.9106968102827547E-6"/>
                  <c:y val="1.4718446845713322E-2"/>
                </c:manualLayout>
              </c:layout>
              <c:showVal val="1"/>
            </c:dLbl>
            <c:dLbl>
              <c:idx val="4"/>
              <c:layout>
                <c:manualLayout>
                  <c:x val="-2.2059863173265011E-3"/>
                  <c:y val="1.9147651067563821E-2"/>
                </c:manualLayout>
              </c:layout>
              <c:showVal val="1"/>
            </c:dLbl>
            <c:txPr>
              <a:bodyPr/>
              <a:lstStyle/>
              <a:p>
                <a:pPr>
                  <a:defRPr sz="800" b="1" i="0" baseline="0">
                    <a:latin typeface="Arial" pitchFamily="34" charset="0"/>
                  </a:defRPr>
                </a:pPr>
                <a:endParaRPr lang="ru-RU"/>
              </a:p>
            </c:txPr>
            <c:showVal val="1"/>
          </c:dLbls>
          <c:cat>
            <c:numRef>
              <c:f>Sheet1!$C$1:$G$1</c:f>
              <c:numCache>
                <c:formatCode>General</c:formatCode>
                <c:ptCount val="5"/>
                <c:pt idx="0">
                  <c:v>2017</c:v>
                </c:pt>
                <c:pt idx="1">
                  <c:v>2018</c:v>
                </c:pt>
                <c:pt idx="2">
                  <c:v>2019</c:v>
                </c:pt>
                <c:pt idx="3">
                  <c:v>2020</c:v>
                </c:pt>
                <c:pt idx="4">
                  <c:v>2021</c:v>
                </c:pt>
              </c:numCache>
            </c:numRef>
          </c:cat>
          <c:val>
            <c:numRef>
              <c:f>Sheet1!$C$3:$G$3</c:f>
              <c:numCache>
                <c:formatCode>General</c:formatCode>
                <c:ptCount val="5"/>
                <c:pt idx="0">
                  <c:v>1.1499999999999913</c:v>
                </c:pt>
                <c:pt idx="1">
                  <c:v>0.41000000000000031</c:v>
                </c:pt>
                <c:pt idx="2">
                  <c:v>0.60000000000000064</c:v>
                </c:pt>
                <c:pt idx="3">
                  <c:v>0.05</c:v>
                </c:pt>
                <c:pt idx="4">
                  <c:v>0.05</c:v>
                </c:pt>
              </c:numCache>
            </c:numRef>
          </c:val>
        </c:ser>
        <c:ser>
          <c:idx val="2"/>
          <c:order val="2"/>
          <c:tx>
            <c:strRef>
              <c:f>Sheet1!$A$4:$B$4</c:f>
              <c:strCache>
                <c:ptCount val="1"/>
                <c:pt idx="0">
                  <c:v>женщины</c:v>
                </c:pt>
              </c:strCache>
            </c:strRef>
          </c:tx>
          <c:spPr>
            <a:solidFill>
              <a:srgbClr val="FF7C80"/>
            </a:solidFill>
            <a:ln w="19050">
              <a:solidFill>
                <a:schemeClr val="bg1"/>
              </a:solidFill>
            </a:ln>
          </c:spPr>
          <c:dLbls>
            <c:dLbl>
              <c:idx val="0"/>
              <c:layout>
                <c:manualLayout>
                  <c:x val="2.5876045802529541E-3"/>
                  <c:y val="2.7923062061866052E-2"/>
                </c:manualLayout>
              </c:layout>
              <c:showVal val="1"/>
            </c:dLbl>
            <c:dLbl>
              <c:idx val="1"/>
              <c:layout>
                <c:manualLayout>
                  <c:x val="-7.3757042773181481E-4"/>
                  <c:y val="1.2033917490207708E-2"/>
                </c:manualLayout>
              </c:layout>
              <c:showVal val="1"/>
            </c:dLbl>
            <c:dLbl>
              <c:idx val="2"/>
              <c:layout>
                <c:manualLayout>
                  <c:x val="2.2050716648291092E-3"/>
                  <c:y val="1.9625136709552717E-2"/>
                </c:manualLayout>
              </c:layout>
              <c:showVal val="1"/>
            </c:dLbl>
            <c:dLbl>
              <c:idx val="3"/>
              <c:layout>
                <c:manualLayout>
                  <c:x val="2.2030334222560973E-3"/>
                  <c:y val="2.0102121735637163E-2"/>
                </c:manualLayout>
              </c:layout>
              <c:showVal val="1"/>
            </c:dLbl>
            <c:dLbl>
              <c:idx val="4"/>
              <c:layout>
                <c:manualLayout>
                  <c:x val="-1.9106968102827547E-6"/>
                  <c:y val="2.0102470464416152E-2"/>
                </c:manualLayout>
              </c:layout>
              <c:showVal val="1"/>
            </c:dLbl>
            <c:txPr>
              <a:bodyPr/>
              <a:lstStyle/>
              <a:p>
                <a:pPr>
                  <a:defRPr sz="800" b="1" i="0" baseline="0">
                    <a:latin typeface="Arial" pitchFamily="34" charset="0"/>
                  </a:defRPr>
                </a:pPr>
                <a:endParaRPr lang="ru-RU"/>
              </a:p>
            </c:txPr>
            <c:showVal val="1"/>
          </c:dLbls>
          <c:cat>
            <c:numRef>
              <c:f>Sheet1!$C$1:$G$1</c:f>
              <c:numCache>
                <c:formatCode>General</c:formatCode>
                <c:ptCount val="5"/>
                <c:pt idx="0">
                  <c:v>2017</c:v>
                </c:pt>
                <c:pt idx="1">
                  <c:v>2018</c:v>
                </c:pt>
                <c:pt idx="2">
                  <c:v>2019</c:v>
                </c:pt>
                <c:pt idx="3">
                  <c:v>2020</c:v>
                </c:pt>
                <c:pt idx="4">
                  <c:v>2021</c:v>
                </c:pt>
              </c:numCache>
            </c:numRef>
          </c:cat>
          <c:val>
            <c:numRef>
              <c:f>Sheet1!$C$4:$G$4</c:f>
              <c:numCache>
                <c:formatCode>General</c:formatCode>
                <c:ptCount val="5"/>
                <c:pt idx="0">
                  <c:v>0.16</c:v>
                </c:pt>
                <c:pt idx="1">
                  <c:v>0</c:v>
                </c:pt>
                <c:pt idx="2">
                  <c:v>0.2</c:v>
                </c:pt>
                <c:pt idx="3">
                  <c:v>0.05</c:v>
                </c:pt>
                <c:pt idx="4">
                  <c:v>0.05</c:v>
                </c:pt>
              </c:numCache>
            </c:numRef>
          </c:val>
        </c:ser>
        <c:dLbls>
          <c:showVal val="1"/>
        </c:dLbls>
        <c:axId val="201320704"/>
        <c:axId val="201420800"/>
      </c:barChart>
      <c:catAx>
        <c:axId val="201320704"/>
        <c:scaling>
          <c:orientation val="minMax"/>
        </c:scaling>
        <c:axPos val="b"/>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01420800"/>
        <c:crosses val="autoZero"/>
        <c:auto val="1"/>
        <c:lblAlgn val="ctr"/>
        <c:lblOffset val="100"/>
        <c:tickLblSkip val="1"/>
        <c:tickMarkSkip val="1"/>
      </c:catAx>
      <c:valAx>
        <c:axId val="201420800"/>
        <c:scaling>
          <c:orientation val="minMax"/>
        </c:scaling>
        <c:axPos val="l"/>
        <c:majorGridlines>
          <c:spPr>
            <a:ln>
              <a:solidFill>
                <a:schemeClr val="bg1">
                  <a:lumMod val="65000"/>
                </a:schemeClr>
              </a:solidFill>
            </a:ln>
          </c:spPr>
        </c:majorGridlines>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01320704"/>
        <c:crosses val="autoZero"/>
        <c:crossBetween val="between"/>
      </c:valAx>
    </c:plotArea>
    <c:legend>
      <c:legendPos val="b"/>
      <c:layout>
        <c:manualLayout>
          <c:xMode val="edge"/>
          <c:yMode val="edge"/>
          <c:x val="0.1597725477259114"/>
          <c:y val="0.87189797032876204"/>
          <c:w val="0.72235126617993062"/>
          <c:h val="8.8242330233599522E-2"/>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35"/>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2.1835884375839202E-3"/>
          <c:y val="7.519685039370079E-2"/>
          <c:w val="0.47791845326266835"/>
          <c:h val="0.57381555246771065"/>
        </c:manualLayout>
      </c:layout>
      <c:pie3DChart>
        <c:varyColors val="1"/>
        <c:ser>
          <c:idx val="0"/>
          <c:order val="0"/>
          <c:tx>
            <c:strRef>
              <c:f>Sheet1!$A$2</c:f>
              <c:strCache>
                <c:ptCount val="1"/>
              </c:strCache>
            </c:strRef>
          </c:tx>
          <c:dPt>
            <c:idx val="0"/>
            <c:spPr>
              <a:solidFill>
                <a:srgbClr val="FF4B4F"/>
              </a:solidFill>
            </c:spPr>
          </c:dPt>
          <c:dPt>
            <c:idx val="1"/>
            <c:explosion val="26"/>
            <c:spPr>
              <a:solidFill>
                <a:srgbClr val="4F81BD"/>
              </a:solidFill>
            </c:spPr>
          </c:dPt>
          <c:dLbls>
            <c:dLbl>
              <c:idx val="0"/>
              <c:layout>
                <c:manualLayout>
                  <c:x val="4.4004400440044982E-3"/>
                  <c:y val="-6.535947712418398E-3"/>
                </c:manualLayout>
              </c:layout>
              <c:dLblPos val="outEnd"/>
              <c:showPercent val="1"/>
            </c:dLbl>
            <c:dLbl>
              <c:idx val="1"/>
              <c:layout>
                <c:manualLayout>
                  <c:x val="-2.2002200220022534E-3"/>
                  <c:y val="6.535947712418398E-3"/>
                </c:manualLayout>
              </c:layout>
              <c:dLblPos val="outEnd"/>
              <c:showPercent val="1"/>
            </c:dLbl>
            <c:txPr>
              <a:bodyPr/>
              <a:lstStyle/>
              <a:p>
                <a:pPr>
                  <a:defRPr sz="900" b="1" i="0" baseline="0">
                    <a:latin typeface="Arial" pitchFamily="34" charset="0"/>
                  </a:defRPr>
                </a:pPr>
                <a:endParaRPr lang="ru-RU"/>
              </a:p>
            </c:txPr>
            <c:dLblPos val="outEnd"/>
            <c:showPercent val="1"/>
          </c:dLbls>
          <c:cat>
            <c:strRef>
              <c:f>Sheet1!$B$1:$C$1</c:f>
              <c:strCache>
                <c:ptCount val="2"/>
                <c:pt idx="0">
                  <c:v>женщины</c:v>
                </c:pt>
                <c:pt idx="1">
                  <c:v>мужчины</c:v>
                </c:pt>
              </c:strCache>
            </c:strRef>
          </c:cat>
          <c:val>
            <c:numRef>
              <c:f>Sheet1!$B$2:$C$2</c:f>
              <c:numCache>
                <c:formatCode>General</c:formatCode>
                <c:ptCount val="2"/>
                <c:pt idx="0">
                  <c:v>23</c:v>
                </c:pt>
                <c:pt idx="1">
                  <c:v>77</c:v>
                </c:pt>
              </c:numCache>
            </c:numRef>
          </c:val>
        </c:ser>
        <c:dLbls>
          <c:showPercent val="1"/>
        </c:dLbls>
      </c:pie3DChart>
    </c:plotArea>
    <c:legend>
      <c:legendPos val="b"/>
      <c:layout>
        <c:manualLayout>
          <c:xMode val="edge"/>
          <c:yMode val="edge"/>
          <c:x val="0.10525228900842842"/>
          <c:y val="0.84854819618135968"/>
          <c:w val="0.29444591703266293"/>
          <c:h val="0.11223611754413072"/>
        </c:manualLayout>
      </c:layout>
      <c:txPr>
        <a:bodyPr/>
        <a:lstStyle/>
        <a:p>
          <a:pPr>
            <a:defRPr sz="900" baseline="0">
              <a:latin typeface="Arial" pitchFamily="34" charset="0"/>
            </a:defRPr>
          </a:pPr>
          <a:endParaRPr lang="ru-RU"/>
        </a:p>
      </c:txPr>
    </c:legend>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7724732895849534E-2"/>
          <c:y val="5.0198404071640834E-2"/>
          <c:w val="0.92657299588889996"/>
          <c:h val="0.71184786541797085"/>
        </c:manualLayout>
      </c:layout>
      <c:barChart>
        <c:barDir val="col"/>
        <c:grouping val="clustered"/>
        <c:ser>
          <c:idx val="0"/>
          <c:order val="0"/>
          <c:tx>
            <c:strRef>
              <c:f>Лист1!$B$1</c:f>
              <c:strCache>
                <c:ptCount val="1"/>
                <c:pt idx="0">
                  <c:v>Брянская область</c:v>
                </c:pt>
              </c:strCache>
            </c:strRef>
          </c:tx>
          <c:dLbls>
            <c:dLbl>
              <c:idx val="2"/>
              <c:layout>
                <c:manualLayout>
                  <c:x val="0"/>
                  <c:y val="-2.2817456396200149E-2"/>
                </c:manualLayout>
              </c:layout>
              <c:showVal val="1"/>
            </c:dLbl>
            <c:dLbl>
              <c:idx val="3"/>
              <c:layout>
                <c:manualLayout>
                  <c:x val="4.1112544295124724E-3"/>
                  <c:y val="-4.1071062183138295E-2"/>
                </c:manualLayout>
              </c:layout>
              <c:showVal val="1"/>
            </c:dLbl>
            <c:dLbl>
              <c:idx val="4"/>
              <c:layout>
                <c:manualLayout>
                  <c:x val="4.1112544295124724E-3"/>
                  <c:y val="-5.9325386630120422E-2"/>
                </c:manualLayout>
              </c:layout>
              <c:showVal val="1"/>
            </c:dLbl>
            <c:dLbl>
              <c:idx val="5"/>
              <c:layout>
                <c:manualLayout>
                  <c:x val="2.0556272147562392E-3"/>
                  <c:y val="-4.5634912792400315E-3"/>
                </c:manualLayout>
              </c:layout>
              <c:showVal val="1"/>
            </c:dLbl>
            <c:dLbl>
              <c:idx val="6"/>
              <c:layout>
                <c:manualLayout>
                  <c:x val="0"/>
                  <c:y val="-4.5634912792400305E-2"/>
                </c:manualLayout>
              </c:layout>
              <c:showVal val="1"/>
            </c:dLbl>
            <c:dLbl>
              <c:idx val="7"/>
              <c:layout>
                <c:manualLayout>
                  <c:x val="0"/>
                  <c:y val="-5.0198404071640834E-2"/>
                </c:manualLayout>
              </c:layout>
              <c:showVal val="1"/>
            </c:dLbl>
            <c:dLbl>
              <c:idx val="8"/>
              <c:layout>
                <c:manualLayout>
                  <c:x val="0"/>
                  <c:y val="-4.5634912792400305E-2"/>
                </c:manualLayout>
              </c:layout>
              <c:showVal val="1"/>
            </c:dLbl>
            <c:dLbl>
              <c:idx val="9"/>
              <c:tx>
                <c:rich>
                  <a:bodyPr/>
                  <a:lstStyle/>
                  <a:p>
                    <a:r>
                      <a:rPr lang="en-US" sz="800" baseline="0"/>
                      <a:t>-5</a:t>
                    </a:r>
                    <a:r>
                      <a:rPr lang="ru-RU" sz="800" baseline="0"/>
                      <a:t>,0</a:t>
                    </a:r>
                    <a:endParaRPr lang="en-US" sz="800" baseline="0"/>
                  </a:p>
                </c:rich>
              </c:tx>
              <c:showVal val="1"/>
            </c:dLbl>
            <c:dLbl>
              <c:idx val="13"/>
              <c:tx>
                <c:rich>
                  <a:bodyPr/>
                  <a:lstStyle/>
                  <a:p>
                    <a:r>
                      <a:rPr lang="en-US"/>
                      <a:t>-6</a:t>
                    </a:r>
                    <a:r>
                      <a:rPr lang="ru-RU"/>
                      <a:t>,0</a:t>
                    </a:r>
                    <a:endParaRPr lang="en-US"/>
                  </a:p>
                </c:rich>
              </c:tx>
              <c:showVal val="1"/>
            </c:dLbl>
            <c:spPr>
              <a:solidFill>
                <a:sysClr val="window" lastClr="FFFFFF">
                  <a:lumMod val="85000"/>
                </a:sysClr>
              </a:solidFill>
            </c:spPr>
            <c:txPr>
              <a:bodyPr/>
              <a:lstStyle/>
              <a:p>
                <a:pPr>
                  <a:defRPr sz="800" b="1" i="0" baseline="0">
                    <a:latin typeface="Arial" pitchFamily="34" charset="0"/>
                  </a:defRPr>
                </a:pPr>
                <a:endParaRPr lang="ru-RU"/>
              </a:p>
            </c:txPr>
            <c:showVal val="1"/>
          </c:dLbls>
          <c:trendline>
            <c:spPr>
              <a:ln w="25400" cmpd="thinThick">
                <a:solidFill>
                  <a:schemeClr val="bg1">
                    <a:lumMod val="50000"/>
                  </a:schemeClr>
                </a:solidFill>
                <a:prstDash val="solid"/>
                <a:round/>
              </a:ln>
            </c:spPr>
            <c:trendlineType val="linear"/>
          </c:trendline>
          <c:cat>
            <c:numRef>
              <c:f>Лист1!$A$2:$A$17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Лист1!$B$2:$B$17</c:f>
              <c:numCache>
                <c:formatCode>General</c:formatCode>
                <c:ptCount val="16"/>
                <c:pt idx="0">
                  <c:v>-10.8</c:v>
                </c:pt>
                <c:pt idx="1">
                  <c:v>-9.5</c:v>
                </c:pt>
                <c:pt idx="2">
                  <c:v>-7.6</c:v>
                </c:pt>
                <c:pt idx="3">
                  <c:v>-6.8</c:v>
                </c:pt>
                <c:pt idx="4">
                  <c:v>-5.8</c:v>
                </c:pt>
                <c:pt idx="5">
                  <c:v>-6.3</c:v>
                </c:pt>
                <c:pt idx="6">
                  <c:v>-5.2</c:v>
                </c:pt>
                <c:pt idx="7">
                  <c:v>-4.7</c:v>
                </c:pt>
                <c:pt idx="8">
                  <c:v>-4.8</c:v>
                </c:pt>
                <c:pt idx="9">
                  <c:v>-5</c:v>
                </c:pt>
                <c:pt idx="10">
                  <c:v>-4.4000000000000004</c:v>
                </c:pt>
                <c:pt idx="11">
                  <c:v>-4.7</c:v>
                </c:pt>
                <c:pt idx="12">
                  <c:v>-5.8</c:v>
                </c:pt>
                <c:pt idx="13">
                  <c:v>-6</c:v>
                </c:pt>
                <c:pt idx="14">
                  <c:v>-6.4</c:v>
                </c:pt>
                <c:pt idx="15">
                  <c:v>-8.9</c:v>
                </c:pt>
              </c:numCache>
            </c:numRef>
          </c:val>
        </c:ser>
        <c:ser>
          <c:idx val="1"/>
          <c:order val="1"/>
          <c:tx>
            <c:strRef>
              <c:f>Лист1!$C$1</c:f>
              <c:strCache>
                <c:ptCount val="1"/>
                <c:pt idx="0">
                  <c:v>Российская Федерация</c:v>
                </c:pt>
              </c:strCache>
            </c:strRef>
          </c:tx>
          <c:spPr>
            <a:solidFill>
              <a:srgbClr val="FF0000"/>
            </a:solidFill>
          </c:spPr>
          <c:dLbls>
            <c:dLbl>
              <c:idx val="0"/>
              <c:layout>
                <c:manualLayout>
                  <c:x val="1.2333763288537403E-2"/>
                  <c:y val="4.5634912792400315E-3"/>
                </c:manualLayout>
              </c:layout>
              <c:showVal val="1"/>
            </c:dLbl>
            <c:dLbl>
              <c:idx val="1"/>
              <c:layout>
                <c:manualLayout>
                  <c:x val="1.0278136073781152E-2"/>
                  <c:y val="0"/>
                </c:manualLayout>
              </c:layout>
              <c:showVal val="1"/>
            </c:dLbl>
            <c:dLbl>
              <c:idx val="2"/>
              <c:layout>
                <c:manualLayout>
                  <c:x val="1.0278136073781152E-2"/>
                  <c:y val="0"/>
                </c:manualLayout>
              </c:layout>
              <c:showVal val="1"/>
            </c:dLbl>
            <c:dLbl>
              <c:idx val="3"/>
              <c:layout>
                <c:manualLayout>
                  <c:x val="1.4469757328300964E-2"/>
                  <c:y val="4.5638506092620188E-3"/>
                </c:manualLayout>
              </c:layout>
              <c:showVal val="1"/>
            </c:dLbl>
            <c:dLbl>
              <c:idx val="4"/>
              <c:layout>
                <c:manualLayout>
                  <c:x val="1.0278136073781152E-2"/>
                  <c:y val="0"/>
                </c:manualLayout>
              </c:layout>
              <c:showVal val="1"/>
            </c:dLbl>
            <c:dLbl>
              <c:idx val="5"/>
              <c:layout>
                <c:manualLayout>
                  <c:x val="1.0278136073781152E-2"/>
                  <c:y val="0"/>
                </c:manualLayout>
              </c:layout>
              <c:showVal val="1"/>
            </c:dLbl>
            <c:dLbl>
              <c:idx val="6"/>
              <c:layout>
                <c:manualLayout>
                  <c:x val="1.0304901854524954E-2"/>
                  <c:y val="4.5638506092620188E-3"/>
                </c:manualLayout>
              </c:layout>
              <c:showVal val="1"/>
            </c:dLbl>
            <c:dLbl>
              <c:idx val="7"/>
              <c:layout>
                <c:manualLayout>
                  <c:x val="2.2050716648291876E-3"/>
                  <c:y val="0"/>
                </c:manualLayout>
              </c:layout>
              <c:showVal val="1"/>
            </c:dLbl>
            <c:dLbl>
              <c:idx val="11"/>
              <c:layout>
                <c:manualLayout>
                  <c:x val="1.7640573318633616E-2"/>
                  <c:y val="4.8452373731420334E-3"/>
                </c:manualLayout>
              </c:layout>
              <c:showVal val="1"/>
            </c:dLbl>
            <c:dLbl>
              <c:idx val="12"/>
              <c:layout>
                <c:manualLayout>
                  <c:x val="1.5435501653803843E-2"/>
                  <c:y val="4.8452373731420334E-3"/>
                </c:manualLayout>
              </c:layout>
              <c:showVal val="1"/>
            </c:dLbl>
            <c:dLbl>
              <c:idx val="15"/>
              <c:layout>
                <c:manualLayout>
                  <c:x val="6.6152149944873314E-3"/>
                  <c:y val="-4.8444744037107823E-3"/>
                </c:manualLayout>
              </c:layout>
              <c:showVal val="1"/>
            </c:dLbl>
            <c:spPr>
              <a:solidFill>
                <a:schemeClr val="bg1">
                  <a:lumMod val="85000"/>
                </a:schemeClr>
              </a:solidFill>
            </c:spPr>
            <c:txPr>
              <a:bodyPr/>
              <a:lstStyle/>
              <a:p>
                <a:pPr>
                  <a:defRPr sz="800" b="1" i="0" baseline="0">
                    <a:latin typeface="Arial" pitchFamily="34" charset="0"/>
                  </a:defRPr>
                </a:pPr>
                <a:endParaRPr lang="ru-RU"/>
              </a:p>
            </c:txPr>
            <c:showVal val="1"/>
          </c:dLbls>
          <c:cat>
            <c:numRef>
              <c:f>Лист1!$A$2:$A$17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Лист1!$C$2:$C$17</c:f>
              <c:numCache>
                <c:formatCode>General</c:formatCode>
                <c:ptCount val="16"/>
                <c:pt idx="0">
                  <c:v>-5.9</c:v>
                </c:pt>
                <c:pt idx="1">
                  <c:v>-4.8</c:v>
                </c:pt>
                <c:pt idx="2">
                  <c:v>-3.3</c:v>
                </c:pt>
                <c:pt idx="3">
                  <c:v>-2.5</c:v>
                </c:pt>
                <c:pt idx="4">
                  <c:v>-1.8</c:v>
                </c:pt>
                <c:pt idx="5">
                  <c:v>-1.7</c:v>
                </c:pt>
                <c:pt idx="6">
                  <c:v>-0.9</c:v>
                </c:pt>
                <c:pt idx="7">
                  <c:v>0</c:v>
                </c:pt>
                <c:pt idx="8">
                  <c:v>0.2</c:v>
                </c:pt>
                <c:pt idx="9">
                  <c:v>0.2</c:v>
                </c:pt>
                <c:pt idx="10">
                  <c:v>0.2</c:v>
                </c:pt>
                <c:pt idx="11">
                  <c:v>-1.0000000000000005E-2</c:v>
                </c:pt>
                <c:pt idx="12">
                  <c:v>-0.9</c:v>
                </c:pt>
                <c:pt idx="13">
                  <c:v>-1.6</c:v>
                </c:pt>
                <c:pt idx="14">
                  <c:v>-2.2000000000000002</c:v>
                </c:pt>
                <c:pt idx="15">
                  <c:v>-4.7</c:v>
                </c:pt>
              </c:numCache>
            </c:numRef>
          </c:val>
        </c:ser>
        <c:dLbls>
          <c:showVal val="1"/>
        </c:dLbls>
        <c:axId val="141657984"/>
        <c:axId val="141659520"/>
      </c:barChart>
      <c:catAx>
        <c:axId val="141657984"/>
        <c:scaling>
          <c:orientation val="minMax"/>
        </c:scaling>
        <c:axPos val="b"/>
        <c:numFmt formatCode="General" sourceLinked="1"/>
        <c:tickLblPos val="low"/>
        <c:txPr>
          <a:bodyPr rot="0" vert="horz" anchor="ctr" anchorCtr="0"/>
          <a:lstStyle/>
          <a:p>
            <a:pPr>
              <a:defRPr sz="900" b="1" i="0" baseline="0">
                <a:latin typeface="Arial" pitchFamily="34" charset="0"/>
              </a:defRPr>
            </a:pPr>
            <a:endParaRPr lang="ru-RU"/>
          </a:p>
        </c:txPr>
        <c:crossAx val="141659520"/>
        <c:crosses val="autoZero"/>
        <c:auto val="1"/>
        <c:lblAlgn val="ctr"/>
        <c:lblOffset val="100"/>
      </c:catAx>
      <c:valAx>
        <c:axId val="141659520"/>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141657984"/>
        <c:crosses val="autoZero"/>
        <c:crossBetween val="between"/>
      </c:valAx>
    </c:plotArea>
    <c:legend>
      <c:legendPos val="b"/>
      <c:layout>
        <c:manualLayout>
          <c:xMode val="edge"/>
          <c:yMode val="edge"/>
          <c:x val="4.9999913186154925E-2"/>
          <c:y val="0.90819226982259948"/>
          <c:w val="0.9"/>
          <c:h val="9.1807730177386568E-2"/>
        </c:manualLayout>
      </c:layout>
      <c:txPr>
        <a:bodyPr/>
        <a:lstStyle/>
        <a:p>
          <a:pPr>
            <a:defRPr sz="900" baseline="0">
              <a:latin typeface="Arial" pitchFamily="34" charset="0"/>
            </a:defRPr>
          </a:pPr>
          <a:endParaRPr lang="ru-RU"/>
        </a:p>
      </c:txPr>
    </c:legend>
    <c:plotVisOnly val="1"/>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35"/>
  <c:clrMapOvr bg1="lt1" tx1="dk1" bg2="lt2" tx2="dk2" accent1="accent1" accent2="accent2" accent3="accent3" accent4="accent4" accent5="accent5" accent6="accent6" hlink="hlink" folHlink="folHlink"/>
  <c:chart>
    <c:autoTitleDeleted val="1"/>
    <c:view3D>
      <c:rotY val="20"/>
      <c:perspective val="0"/>
    </c:view3D>
    <c:plotArea>
      <c:layout>
        <c:manualLayout>
          <c:layoutTarget val="inner"/>
          <c:xMode val="edge"/>
          <c:yMode val="edge"/>
          <c:x val="2.1835884375839202E-3"/>
          <c:y val="8.1732798106119095E-2"/>
          <c:w val="0.47791845326266857"/>
          <c:h val="0.57381555246771065"/>
        </c:manualLayout>
      </c:layout>
      <c:pie3DChart>
        <c:varyColors val="1"/>
        <c:ser>
          <c:idx val="0"/>
          <c:order val="0"/>
          <c:tx>
            <c:strRef>
              <c:f>Sheet1!$A$2</c:f>
              <c:strCache>
                <c:ptCount val="1"/>
              </c:strCache>
            </c:strRef>
          </c:tx>
          <c:dPt>
            <c:idx val="0"/>
            <c:spPr>
              <a:solidFill>
                <a:srgbClr val="FF4B4F"/>
              </a:solidFill>
            </c:spPr>
          </c:dPt>
          <c:dPt>
            <c:idx val="1"/>
            <c:explosion val="26"/>
            <c:spPr>
              <a:solidFill>
                <a:srgbClr val="4F81BD"/>
              </a:solidFill>
            </c:spPr>
          </c:dPt>
          <c:dLbls>
            <c:dLbl>
              <c:idx val="0"/>
              <c:layout>
                <c:manualLayout>
                  <c:x val="-1.9801980198020087E-2"/>
                  <c:y val="-0.32026143790849682"/>
                </c:manualLayout>
              </c:layout>
              <c:dLblPos val="outEnd"/>
              <c:showPercent val="1"/>
            </c:dLbl>
            <c:dLbl>
              <c:idx val="1"/>
              <c:layout>
                <c:manualLayout>
                  <c:x val="1.5401540154015585E-2"/>
                  <c:y val="-0.10457516339869292"/>
                </c:manualLayout>
              </c:layout>
              <c:dLblPos val="outEnd"/>
              <c:showPercent val="1"/>
            </c:dLbl>
            <c:txPr>
              <a:bodyPr/>
              <a:lstStyle/>
              <a:p>
                <a:pPr>
                  <a:defRPr sz="900" b="1" i="0" baseline="0">
                    <a:latin typeface="Arial" pitchFamily="34" charset="0"/>
                  </a:defRPr>
                </a:pPr>
                <a:endParaRPr lang="ru-RU"/>
              </a:p>
            </c:txPr>
            <c:dLblPos val="outEnd"/>
            <c:showPercent val="1"/>
          </c:dLbls>
          <c:cat>
            <c:strRef>
              <c:f>Sheet1!$B$1:$C$1</c:f>
              <c:strCache>
                <c:ptCount val="2"/>
                <c:pt idx="0">
                  <c:v>женщины</c:v>
                </c:pt>
                <c:pt idx="1">
                  <c:v>мужчины</c:v>
                </c:pt>
              </c:strCache>
            </c:strRef>
          </c:cat>
          <c:val>
            <c:numRef>
              <c:f>Sheet1!$B$2:$C$2</c:f>
              <c:numCache>
                <c:formatCode>General</c:formatCode>
                <c:ptCount val="2"/>
                <c:pt idx="0">
                  <c:v>50</c:v>
                </c:pt>
                <c:pt idx="1">
                  <c:v>50</c:v>
                </c:pt>
              </c:numCache>
            </c:numRef>
          </c:val>
        </c:ser>
        <c:dLbls>
          <c:showPercent val="1"/>
        </c:dLbls>
      </c:pie3DChart>
    </c:plotArea>
    <c:legend>
      <c:legendPos val="b"/>
      <c:layout>
        <c:manualLayout>
          <c:xMode val="edge"/>
          <c:yMode val="edge"/>
          <c:x val="0.10525228900842842"/>
          <c:y val="0.84854819618135968"/>
          <c:w val="0.29444591703266315"/>
          <c:h val="0.11223611754413072"/>
        </c:manualLayout>
      </c:layout>
      <c:txPr>
        <a:bodyPr/>
        <a:lstStyle/>
        <a:p>
          <a:pPr>
            <a:defRPr sz="900" baseline="0">
              <a:latin typeface="Arial" pitchFamily="34" charset="0"/>
            </a:defRPr>
          </a:pPr>
          <a:endParaRPr lang="ru-RU"/>
        </a:p>
      </c:txPr>
    </c:legend>
    <c:plotVisOnly val="1"/>
    <c:dispBlanksAs val="zero"/>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plotArea>
      <c:layout>
        <c:manualLayout>
          <c:layoutTarget val="inner"/>
          <c:xMode val="edge"/>
          <c:yMode val="edge"/>
          <c:x val="8.7042859995312055E-2"/>
          <c:y val="5.2043699152836916E-2"/>
          <c:w val="0.89903723445815165"/>
          <c:h val="0.73844963717903012"/>
        </c:manualLayout>
      </c:layout>
      <c:barChart>
        <c:barDir val="col"/>
        <c:grouping val="clustered"/>
        <c:ser>
          <c:idx val="0"/>
          <c:order val="0"/>
          <c:tx>
            <c:strRef>
              <c:f>Sheet1!$A$2:$B$2</c:f>
              <c:strCache>
                <c:ptCount val="1"/>
                <c:pt idx="0">
                  <c:v>женщины</c:v>
                </c:pt>
              </c:strCache>
            </c:strRef>
          </c:tx>
          <c:spPr>
            <a:solidFill>
              <a:srgbClr val="FF7C80"/>
            </a:solidFill>
            <a:ln w="19050">
              <a:solidFill>
                <a:schemeClr val="bg1"/>
              </a:solidFill>
            </a:ln>
          </c:spPr>
          <c:dLbls>
            <c:dLbl>
              <c:idx val="0"/>
              <c:layout>
                <c:manualLayout>
                  <c:x val="-2.2071500474660634E-3"/>
                  <c:y val="6.7788620885099295E-3"/>
                </c:manualLayout>
              </c:layout>
              <c:showVal val="1"/>
            </c:dLbl>
            <c:dLbl>
              <c:idx val="1"/>
              <c:layout>
                <c:manualLayout>
                  <c:x val="-2.6296110041351102E-3"/>
                  <c:y val="8.8285364300195908E-3"/>
                </c:manualLayout>
              </c:layout>
              <c:showVal val="1"/>
            </c:dLbl>
            <c:dLbl>
              <c:idx val="2"/>
              <c:layout>
                <c:manualLayout>
                  <c:x val="-4.4122155836327703E-3"/>
                  <c:y val="7.4029692124010912E-3"/>
                </c:manualLayout>
              </c:layout>
              <c:showVal val="1"/>
            </c:dLbl>
            <c:dLbl>
              <c:idx val="3"/>
              <c:layout>
                <c:manualLayout>
                  <c:x val="0"/>
                  <c:y val="1.471885253216417E-2"/>
                </c:manualLayout>
              </c:layout>
              <c:showVal val="1"/>
            </c:dLbl>
            <c:dLbl>
              <c:idx val="4"/>
              <c:layout>
                <c:manualLayout>
                  <c:x val="-2.2050716648291092E-3"/>
                  <c:y val="1.9625136709552786E-2"/>
                </c:manualLayout>
              </c:layout>
              <c:showVal val="1"/>
            </c:dLbl>
            <c:txPr>
              <a:bodyPr/>
              <a:lstStyle/>
              <a:p>
                <a:pPr>
                  <a:defRPr sz="800" b="1" i="0" baseline="0">
                    <a:latin typeface="Arial" pitchFamily="34" charset="0"/>
                  </a:defRPr>
                </a:pPr>
                <a:endParaRPr lang="ru-RU"/>
              </a:p>
            </c:txPr>
            <c:showVal val="1"/>
          </c:dLbls>
          <c:cat>
            <c:numRef>
              <c:f>Sheet1!$C$1:$G$1</c:f>
              <c:numCache>
                <c:formatCode>General</c:formatCode>
                <c:ptCount val="5"/>
                <c:pt idx="0">
                  <c:v>2017</c:v>
                </c:pt>
                <c:pt idx="1">
                  <c:v>2018</c:v>
                </c:pt>
                <c:pt idx="2">
                  <c:v>2019</c:v>
                </c:pt>
                <c:pt idx="3">
                  <c:v>2020</c:v>
                </c:pt>
                <c:pt idx="4">
                  <c:v>2021</c:v>
                </c:pt>
              </c:numCache>
            </c:numRef>
          </c:cat>
          <c:val>
            <c:numRef>
              <c:f>Sheet1!$C$2:$G$2</c:f>
              <c:numCache>
                <c:formatCode>General</c:formatCode>
                <c:ptCount val="5"/>
                <c:pt idx="0">
                  <c:v>8.0000000000000043E-2</c:v>
                </c:pt>
                <c:pt idx="1">
                  <c:v>8.0000000000000043E-2</c:v>
                </c:pt>
                <c:pt idx="2">
                  <c:v>8.0000000000000043E-2</c:v>
                </c:pt>
                <c:pt idx="3">
                  <c:v>0.05</c:v>
                </c:pt>
                <c:pt idx="4">
                  <c:v>7.0000000000000021E-2</c:v>
                </c:pt>
              </c:numCache>
            </c:numRef>
          </c:val>
        </c:ser>
        <c:ser>
          <c:idx val="1"/>
          <c:order val="1"/>
          <c:tx>
            <c:strRef>
              <c:f>Sheet1!$A$3:$B$3</c:f>
              <c:strCache>
                <c:ptCount val="1"/>
                <c:pt idx="0">
                  <c:v>мужчины</c:v>
                </c:pt>
              </c:strCache>
            </c:strRef>
          </c:tx>
          <c:spPr>
            <a:solidFill>
              <a:srgbClr val="399AB5"/>
            </a:solidFill>
            <a:ln w="19050">
              <a:solidFill>
                <a:schemeClr val="bg1"/>
              </a:solidFill>
            </a:ln>
          </c:spPr>
          <c:dLbls>
            <c:dLbl>
              <c:idx val="0"/>
              <c:layout>
                <c:manualLayout>
                  <c:x val="-1.4883365599145761E-3"/>
                  <c:y val="1.1275568211451129E-2"/>
                </c:manualLayout>
              </c:layout>
              <c:tx>
                <c:rich>
                  <a:bodyPr/>
                  <a:lstStyle/>
                  <a:p>
                    <a:r>
                      <a:rPr lang="en-US"/>
                      <a:t>2</a:t>
                    </a:r>
                    <a:r>
                      <a:rPr lang="ru-RU"/>
                      <a:t>,0</a:t>
                    </a:r>
                    <a:endParaRPr lang="en-US"/>
                  </a:p>
                </c:rich>
              </c:tx>
              <c:showVal val="1"/>
            </c:dLbl>
            <c:dLbl>
              <c:idx val="1"/>
              <c:layout>
                <c:manualLayout>
                  <c:x val="-2.204196989792006E-3"/>
                  <c:y val="1.3470396383887627E-2"/>
                </c:manualLayout>
              </c:layout>
              <c:tx>
                <c:rich>
                  <a:bodyPr/>
                  <a:lstStyle/>
                  <a:p>
                    <a:r>
                      <a:rPr lang="en-US" sz="800" baseline="0"/>
                      <a:t>2</a:t>
                    </a:r>
                    <a:r>
                      <a:rPr lang="ru-RU" sz="800" baseline="0"/>
                      <a:t>,0</a:t>
                    </a:r>
                    <a:endParaRPr lang="en-US" sz="800" baseline="0"/>
                  </a:p>
                </c:rich>
              </c:tx>
              <c:dLblPos val="outEnd"/>
              <c:showVal val="1"/>
            </c:dLbl>
            <c:dLbl>
              <c:idx val="2"/>
              <c:layout>
                <c:manualLayout>
                  <c:x val="-4.4090888166837434E-3"/>
                  <c:y val="1.4718947804616358E-2"/>
                </c:manualLayout>
              </c:layout>
              <c:dLblPos val="outEnd"/>
              <c:showVal val="1"/>
            </c:dLbl>
            <c:dLbl>
              <c:idx val="3"/>
              <c:layout>
                <c:manualLayout>
                  <c:x val="8.0889684588732274E-17"/>
                  <c:y val="2.0249258472397696E-2"/>
                </c:manualLayout>
              </c:layout>
              <c:showVal val="1"/>
            </c:dLbl>
            <c:dLbl>
              <c:idx val="4"/>
              <c:layout>
                <c:manualLayout>
                  <c:x val="0"/>
                  <c:y val="1.9625136709552786E-2"/>
                </c:manualLayout>
              </c:layout>
              <c:showVal val="1"/>
            </c:dLbl>
            <c:txPr>
              <a:bodyPr/>
              <a:lstStyle/>
              <a:p>
                <a:pPr>
                  <a:defRPr sz="800" b="1" i="0" baseline="0">
                    <a:latin typeface="Arial" pitchFamily="34" charset="0"/>
                  </a:defRPr>
                </a:pPr>
                <a:endParaRPr lang="ru-RU"/>
              </a:p>
            </c:txPr>
            <c:showVal val="1"/>
          </c:dLbls>
          <c:cat>
            <c:numRef>
              <c:f>Sheet1!$C$1:$G$1</c:f>
              <c:numCache>
                <c:formatCode>General</c:formatCode>
                <c:ptCount val="5"/>
                <c:pt idx="0">
                  <c:v>2017</c:v>
                </c:pt>
                <c:pt idx="1">
                  <c:v>2018</c:v>
                </c:pt>
                <c:pt idx="2">
                  <c:v>2019</c:v>
                </c:pt>
                <c:pt idx="3">
                  <c:v>2020</c:v>
                </c:pt>
                <c:pt idx="4">
                  <c:v>2021</c:v>
                </c:pt>
              </c:numCache>
            </c:numRef>
          </c:cat>
          <c:val>
            <c:numRef>
              <c:f>Sheet1!$C$3:$G$3</c:f>
              <c:numCache>
                <c:formatCode>General</c:formatCode>
                <c:ptCount val="5"/>
                <c:pt idx="0">
                  <c:v>0.60000000000000064</c:v>
                </c:pt>
                <c:pt idx="1">
                  <c:v>0.5</c:v>
                </c:pt>
                <c:pt idx="2">
                  <c:v>0.25</c:v>
                </c:pt>
                <c:pt idx="3">
                  <c:v>0.35000000000000031</c:v>
                </c:pt>
                <c:pt idx="4">
                  <c:v>0.23</c:v>
                </c:pt>
              </c:numCache>
            </c:numRef>
          </c:val>
        </c:ser>
        <c:ser>
          <c:idx val="2"/>
          <c:order val="2"/>
          <c:tx>
            <c:strRef>
              <c:f>Sheet1!$A$4:$B$4</c:f>
              <c:strCache>
                <c:ptCount val="1"/>
                <c:pt idx="0">
                  <c:v>оба пола</c:v>
                </c:pt>
              </c:strCache>
            </c:strRef>
          </c:tx>
          <c:spPr>
            <a:solidFill>
              <a:srgbClr val="92D050"/>
            </a:solidFill>
            <a:ln w="19050">
              <a:solidFill>
                <a:schemeClr val="bg1"/>
              </a:solidFill>
            </a:ln>
          </c:spPr>
          <c:dLbls>
            <c:dLbl>
              <c:idx val="0"/>
              <c:layout>
                <c:manualLayout>
                  <c:x val="3.8059702140706491E-4"/>
                  <c:y val="3.0386025934668677E-3"/>
                </c:manualLayout>
              </c:layout>
              <c:showVal val="1"/>
            </c:dLbl>
            <c:dLbl>
              <c:idx val="1"/>
              <c:layout>
                <c:manualLayout>
                  <c:x val="3.6715192352623151E-3"/>
                  <c:y val="-8.1282282202292302E-3"/>
                </c:manualLayout>
              </c:layout>
              <c:showVal val="1"/>
            </c:dLbl>
            <c:dLbl>
              <c:idx val="2"/>
              <c:layout>
                <c:manualLayout>
                  <c:x val="0"/>
                  <c:y val="1.1684728459453684E-2"/>
                </c:manualLayout>
              </c:layout>
              <c:showVal val="1"/>
            </c:dLbl>
            <c:dLbl>
              <c:idx val="3"/>
              <c:layout>
                <c:manualLayout>
                  <c:x val="4.4111733279831988E-3"/>
                  <c:y val="1.4094503507778746E-2"/>
                </c:manualLayout>
              </c:layout>
              <c:showVal val="1"/>
            </c:dLbl>
            <c:dLbl>
              <c:idx val="4"/>
              <c:layout>
                <c:manualLayout>
                  <c:x val="-2.2113190700647676E-3"/>
                  <c:y val="9.1882999638887783E-3"/>
                </c:manualLayout>
              </c:layout>
              <c:showVal val="1"/>
            </c:dLbl>
            <c:txPr>
              <a:bodyPr/>
              <a:lstStyle/>
              <a:p>
                <a:pPr>
                  <a:defRPr sz="800" b="1" i="0" baseline="0">
                    <a:latin typeface="Arial" pitchFamily="34" charset="0"/>
                  </a:defRPr>
                </a:pPr>
                <a:endParaRPr lang="ru-RU"/>
              </a:p>
            </c:txPr>
            <c:showVal val="1"/>
          </c:dLbls>
          <c:cat>
            <c:numRef>
              <c:f>Sheet1!$C$1:$G$1</c:f>
              <c:numCache>
                <c:formatCode>General</c:formatCode>
                <c:ptCount val="5"/>
                <c:pt idx="0">
                  <c:v>2017</c:v>
                </c:pt>
                <c:pt idx="1">
                  <c:v>2018</c:v>
                </c:pt>
                <c:pt idx="2">
                  <c:v>2019</c:v>
                </c:pt>
                <c:pt idx="3">
                  <c:v>2020</c:v>
                </c:pt>
                <c:pt idx="4">
                  <c:v>2021</c:v>
                </c:pt>
              </c:numCache>
            </c:numRef>
          </c:cat>
          <c:val>
            <c:numRef>
              <c:f>Sheet1!$C$4:$G$4</c:f>
              <c:numCache>
                <c:formatCode>General</c:formatCode>
                <c:ptCount val="5"/>
                <c:pt idx="0">
                  <c:v>0.68</c:v>
                </c:pt>
                <c:pt idx="1">
                  <c:v>0.58000000000000007</c:v>
                </c:pt>
                <c:pt idx="2">
                  <c:v>0.33000000000000246</c:v>
                </c:pt>
                <c:pt idx="3">
                  <c:v>0.4</c:v>
                </c:pt>
                <c:pt idx="4">
                  <c:v>0.4</c:v>
                </c:pt>
              </c:numCache>
            </c:numRef>
          </c:val>
        </c:ser>
        <c:dLbls>
          <c:showVal val="1"/>
        </c:dLbls>
        <c:axId val="201599616"/>
        <c:axId val="201617792"/>
      </c:barChart>
      <c:catAx>
        <c:axId val="201599616"/>
        <c:scaling>
          <c:orientation val="minMax"/>
        </c:scaling>
        <c:axPos val="b"/>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01617792"/>
        <c:crosses val="autoZero"/>
        <c:auto val="1"/>
        <c:lblAlgn val="ctr"/>
        <c:lblOffset val="100"/>
        <c:tickLblSkip val="1"/>
        <c:tickMarkSkip val="1"/>
      </c:catAx>
      <c:valAx>
        <c:axId val="201617792"/>
        <c:scaling>
          <c:orientation val="minMax"/>
        </c:scaling>
        <c:axPos val="l"/>
        <c:majorGridlines>
          <c:spPr>
            <a:ln>
              <a:solidFill>
                <a:schemeClr val="bg1">
                  <a:lumMod val="65000"/>
                </a:schemeClr>
              </a:solidFill>
            </a:ln>
          </c:spPr>
        </c:majorGridlines>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01599616"/>
        <c:crosses val="autoZero"/>
        <c:crossBetween val="between"/>
      </c:valAx>
    </c:plotArea>
    <c:legend>
      <c:legendPos val="b"/>
      <c:layout>
        <c:manualLayout>
          <c:xMode val="edge"/>
          <c:yMode val="edge"/>
          <c:x val="0.1597725477259114"/>
          <c:y val="0.91618637235142752"/>
          <c:w val="0.72235126617993062"/>
          <c:h val="8.3813627648572517E-2"/>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458781362007171"/>
          <c:y val="4.9295774647887584E-2"/>
          <c:w val="0.73835125448035765"/>
          <c:h val="0.7147887323944796"/>
        </c:manualLayout>
      </c:layout>
      <c:barChart>
        <c:barDir val="bar"/>
        <c:grouping val="clustered"/>
        <c:ser>
          <c:idx val="0"/>
          <c:order val="0"/>
          <c:tx>
            <c:strRef>
              <c:f>Лист1!$B$1</c:f>
              <c:strCache>
                <c:ptCount val="1"/>
                <c:pt idx="0">
                  <c:v>Среднеобластной показатель 46025,9</c:v>
                </c:pt>
              </c:strCache>
            </c:strRef>
          </c:tx>
          <c:spPr>
            <a:solidFill>
              <a:srgbClr val="F79646">
                <a:lumMod val="75000"/>
              </a:srgbClr>
            </a:solidFill>
            <a:ln w="2839">
              <a:solidFill>
                <a:sysClr val="window" lastClr="FFFFFF"/>
              </a:solidFill>
              <a:prstDash val="solid"/>
            </a:ln>
            <a:effectLst>
              <a:innerShdw blurRad="114300">
                <a:sysClr val="windowText" lastClr="000000">
                  <a:lumMod val="65000"/>
                  <a:lumOff val="35000"/>
                </a:sysClr>
              </a:innerShdw>
            </a:effectLst>
            <a:scene3d>
              <a:camera prst="orthographicFront"/>
              <a:lightRig rig="threePt" dir="t"/>
            </a:scene3d>
            <a:sp3d>
              <a:bevelT/>
              <a:bevelB/>
            </a:sp3d>
          </c:spPr>
          <c:dLbls>
            <c:delete val="1"/>
          </c:dLbls>
          <c:cat>
            <c:strRef>
              <c:f>Лист1!$A$2:$A$6</c:f>
              <c:strCache>
                <c:ptCount val="5"/>
                <c:pt idx="0">
                  <c:v>г.Брянск</c:v>
                </c:pt>
                <c:pt idx="1">
                  <c:v>Брянский район</c:v>
                </c:pt>
                <c:pt idx="2">
                  <c:v>г.Фокино</c:v>
                </c:pt>
                <c:pt idx="3">
                  <c:v>Карачевский район</c:v>
                </c:pt>
                <c:pt idx="4">
                  <c:v>Суземский район</c:v>
                </c:pt>
              </c:strCache>
            </c:strRef>
          </c:cat>
          <c:val>
            <c:numRef>
              <c:f>Лист1!$B$2:$B$6</c:f>
              <c:numCache>
                <c:formatCode>General</c:formatCode>
                <c:ptCount val="5"/>
                <c:pt idx="0">
                  <c:v>46025.9</c:v>
                </c:pt>
                <c:pt idx="1">
                  <c:v>46025.9</c:v>
                </c:pt>
                <c:pt idx="2">
                  <c:v>46025.9</c:v>
                </c:pt>
                <c:pt idx="3">
                  <c:v>46025.9</c:v>
                </c:pt>
                <c:pt idx="4">
                  <c:v>46025.9</c:v>
                </c:pt>
              </c:numCache>
            </c:numRef>
          </c:val>
        </c:ser>
        <c:ser>
          <c:idx val="1"/>
          <c:order val="1"/>
          <c:tx>
            <c:strRef>
              <c:f>Лист1!$C$1</c:f>
              <c:strCache>
                <c:ptCount val="1"/>
                <c:pt idx="0">
                  <c:v>Уровень заболеваемости по территории</c:v>
                </c:pt>
              </c:strCache>
            </c:strRef>
          </c:tx>
          <c:spPr>
            <a:solidFill>
              <a:srgbClr val="00B0F0"/>
            </a:solidFill>
            <a:ln w="2839">
              <a:solidFill>
                <a:sysClr val="window" lastClr="FFFFFF"/>
              </a:solidFill>
              <a:prstDash val="solid"/>
            </a:ln>
            <a:effectLst>
              <a:innerShdw blurRad="114300">
                <a:srgbClr val="1F497D"/>
              </a:innerShdw>
            </a:effectLst>
            <a:scene3d>
              <a:camera prst="orthographicFront"/>
              <a:lightRig rig="threePt" dir="t"/>
            </a:scene3d>
            <a:sp3d>
              <a:bevelT/>
            </a:sp3d>
          </c:spPr>
          <c:dLbls>
            <c:dLbl>
              <c:idx val="3"/>
              <c:layout>
                <c:manualLayout>
                  <c:x val="9.573542046600993E-3"/>
                  <c:y val="0"/>
                </c:manualLayout>
              </c:layout>
              <c:dLblPos val="outEnd"/>
              <c:showVal val="1"/>
            </c:dLbl>
            <c:dLbl>
              <c:idx val="4"/>
              <c:layout>
                <c:manualLayout>
                  <c:x val="8.7756454990453888E-17"/>
                  <c:y val="-6.2358282210999063E-3"/>
                </c:manualLayout>
              </c:layout>
              <c:dLblPos val="outEnd"/>
              <c:showVal val="1"/>
            </c:dLbl>
            <c:txPr>
              <a:bodyPr/>
              <a:lstStyle/>
              <a:p>
                <a:pPr>
                  <a:defRPr sz="900" b="1" i="0" baseline="0">
                    <a:latin typeface="Arial" pitchFamily="34" charset="0"/>
                  </a:defRPr>
                </a:pPr>
                <a:endParaRPr lang="ru-RU"/>
              </a:p>
            </c:txPr>
            <c:dLblPos val="outEnd"/>
            <c:showVal val="1"/>
          </c:dLbls>
          <c:cat>
            <c:strRef>
              <c:f>Лист1!$A$2:$A$6</c:f>
              <c:strCache>
                <c:ptCount val="5"/>
                <c:pt idx="0">
                  <c:v>г.Брянск</c:v>
                </c:pt>
                <c:pt idx="1">
                  <c:v>Брянский район</c:v>
                </c:pt>
                <c:pt idx="2">
                  <c:v>г.Фокино</c:v>
                </c:pt>
                <c:pt idx="3">
                  <c:v>Карачевский район</c:v>
                </c:pt>
                <c:pt idx="4">
                  <c:v>Суземский район</c:v>
                </c:pt>
              </c:strCache>
            </c:strRef>
          </c:cat>
          <c:val>
            <c:numRef>
              <c:f>Лист1!$C$2:$C$6</c:f>
              <c:numCache>
                <c:formatCode>General</c:formatCode>
                <c:ptCount val="5"/>
                <c:pt idx="0">
                  <c:v>72054.8</c:v>
                </c:pt>
                <c:pt idx="1">
                  <c:v>65205.1</c:v>
                </c:pt>
                <c:pt idx="2">
                  <c:v>63508.7</c:v>
                </c:pt>
                <c:pt idx="3">
                  <c:v>55928.800000000003</c:v>
                </c:pt>
                <c:pt idx="4">
                  <c:v>48108.3</c:v>
                </c:pt>
              </c:numCache>
            </c:numRef>
          </c:val>
        </c:ser>
        <c:dLbls>
          <c:showVal val="1"/>
        </c:dLbls>
        <c:axId val="201515776"/>
        <c:axId val="201517312"/>
      </c:barChart>
      <c:catAx>
        <c:axId val="201515776"/>
        <c:scaling>
          <c:orientation val="minMax"/>
        </c:scaling>
        <c:axPos val="l"/>
        <c:numFmt formatCode="General" sourceLinked="1"/>
        <c:tickLblPos val="nextTo"/>
        <c:spPr>
          <a:ln>
            <a:solidFill>
              <a:sysClr val="windowText" lastClr="000000"/>
            </a:solidFill>
          </a:ln>
        </c:spPr>
        <c:txPr>
          <a:bodyPr/>
          <a:lstStyle/>
          <a:p>
            <a:pPr>
              <a:defRPr sz="894" b="1" i="0" baseline="0">
                <a:latin typeface="Arial" pitchFamily="34" charset="0"/>
              </a:defRPr>
            </a:pPr>
            <a:endParaRPr lang="ru-RU"/>
          </a:p>
        </c:txPr>
        <c:crossAx val="201517312"/>
        <c:crosses val="autoZero"/>
        <c:auto val="1"/>
        <c:lblAlgn val="ctr"/>
        <c:lblOffset val="100"/>
      </c:catAx>
      <c:valAx>
        <c:axId val="201517312"/>
        <c:scaling>
          <c:orientation val="minMax"/>
        </c:scaling>
        <c:axPos val="b"/>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894" b="1" i="0" baseline="0">
                <a:latin typeface="Arial" pitchFamily="34" charset="0"/>
              </a:defRPr>
            </a:pPr>
            <a:endParaRPr lang="ru-RU"/>
          </a:p>
        </c:txPr>
        <c:crossAx val="201515776"/>
        <c:crosses val="autoZero"/>
        <c:crossBetween val="between"/>
      </c:valAx>
    </c:plotArea>
    <c:legend>
      <c:legendPos val="b"/>
      <c:layout>
        <c:manualLayout>
          <c:xMode val="edge"/>
          <c:yMode val="edge"/>
          <c:x val="4.9999905807353584E-2"/>
          <c:y val="0.9334487298047105"/>
          <c:w val="0.94067238478825499"/>
          <c:h val="4.9970733830169423E-2"/>
        </c:manualLayout>
      </c:layout>
      <c:txPr>
        <a:bodyPr/>
        <a:lstStyle/>
        <a:p>
          <a:pPr>
            <a:defRPr sz="900">
              <a:latin typeface="Arial" pitchFamily="34" charset="0"/>
              <a:cs typeface="Arial" pitchFamily="34" charset="0"/>
            </a:defRPr>
          </a:pPr>
          <a:endParaRPr lang="ru-RU"/>
        </a:p>
      </c:txPr>
    </c:legend>
    <c:plotVisOnly val="1"/>
    <c:dispBlanksAs val="gap"/>
  </c:chart>
  <c:spPr>
    <a:ln>
      <a:noFill/>
    </a:ln>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0290387327191528"/>
          <c:y val="2.4229886339401423E-2"/>
          <c:w val="0.75745564151882294"/>
          <c:h val="0.87697719075438163"/>
        </c:manualLayout>
      </c:layout>
      <c:barChart>
        <c:barDir val="bar"/>
        <c:grouping val="clustered"/>
        <c:ser>
          <c:idx val="0"/>
          <c:order val="0"/>
          <c:tx>
            <c:strRef>
              <c:f>Лист1!$B$1</c:f>
              <c:strCache>
                <c:ptCount val="1"/>
                <c:pt idx="0">
                  <c:v>Уровень заболеваемости по территории</c:v>
                </c:pt>
              </c:strCache>
            </c:strRef>
          </c:tx>
          <c:spPr>
            <a:solidFill>
              <a:srgbClr val="92D050"/>
            </a:solidFill>
            <a:ln w="5902">
              <a:solidFill>
                <a:sysClr val="window" lastClr="FFFFFF"/>
              </a:solidFill>
              <a:prstDash val="solid"/>
            </a:ln>
          </c:spPr>
          <c:dLbls>
            <c:dLbl>
              <c:idx val="0"/>
              <c:layout>
                <c:manualLayout>
                  <c:x val="-2.79457775760977E-3"/>
                  <c:y val="1.5161845726824501E-3"/>
                </c:manualLayout>
              </c:layout>
              <c:dLblPos val="outEnd"/>
              <c:showVal val="1"/>
            </c:dLbl>
            <c:dLbl>
              <c:idx val="1"/>
              <c:layout>
                <c:manualLayout>
                  <c:x val="1.4742727170129091E-3"/>
                  <c:y val="-1.1991600874643135E-3"/>
                </c:manualLayout>
              </c:layout>
              <c:dLblPos val="outEnd"/>
              <c:showVal val="1"/>
            </c:dLbl>
            <c:dLbl>
              <c:idx val="2"/>
              <c:layout>
                <c:manualLayout>
                  <c:x val="-5.4553820243252423E-4"/>
                  <c:y val="-1.14597012726135E-3"/>
                </c:manualLayout>
              </c:layout>
              <c:dLblPos val="outEnd"/>
              <c:showVal val="1"/>
            </c:dLbl>
            <c:dLbl>
              <c:idx val="3"/>
              <c:layout>
                <c:manualLayout>
                  <c:x val="-4.4848032364201522E-4"/>
                  <c:y val="-1.092896556467902E-3"/>
                </c:manualLayout>
              </c:layout>
              <c:tx>
                <c:rich>
                  <a:bodyPr/>
                  <a:lstStyle/>
                  <a:p>
                    <a:r>
                      <a:rPr lang="ru-RU"/>
                      <a:t>55928,8</a:t>
                    </a:r>
                    <a:endParaRPr lang="en-US"/>
                  </a:p>
                </c:rich>
              </c:tx>
              <c:dLblPos val="outEnd"/>
              <c:showVal val="1"/>
            </c:dLbl>
            <c:dLbl>
              <c:idx val="4"/>
              <c:layout>
                <c:manualLayout>
                  <c:x val="-7.4902985528124385E-4"/>
                  <c:y val="5.3527489490909233E-4"/>
                </c:manualLayout>
              </c:layout>
              <c:dLblPos val="outEnd"/>
              <c:showVal val="1"/>
            </c:dLbl>
            <c:dLbl>
              <c:idx val="5"/>
              <c:layout>
                <c:manualLayout>
                  <c:x val="2.3778312165224297E-3"/>
                  <c:y val="-2.5617309060554871E-3"/>
                </c:manualLayout>
              </c:layout>
              <c:tx>
                <c:rich>
                  <a:bodyPr/>
                  <a:lstStyle/>
                  <a:p>
                    <a:r>
                      <a:rPr lang="ru-RU"/>
                      <a:t>46025,9</a:t>
                    </a:r>
                    <a:endParaRPr lang="en-US"/>
                  </a:p>
                </c:rich>
              </c:tx>
              <c:dLblPos val="outEnd"/>
              <c:showVal val="1"/>
            </c:dLbl>
            <c:dLbl>
              <c:idx val="6"/>
              <c:layout>
                <c:manualLayout>
                  <c:x val="-1.7546042038862801E-3"/>
                  <c:y val="3.5978306579085291E-3"/>
                </c:manualLayout>
              </c:layout>
              <c:tx>
                <c:rich>
                  <a:bodyPr/>
                  <a:lstStyle/>
                  <a:p>
                    <a:r>
                      <a:rPr lang="ru-RU"/>
                      <a:t>41682,6</a:t>
                    </a:r>
                    <a:endParaRPr lang="en-US"/>
                  </a:p>
                </c:rich>
              </c:tx>
              <c:dLblPos val="outEnd"/>
              <c:showVal val="1"/>
            </c:dLbl>
            <c:dLbl>
              <c:idx val="7"/>
              <c:layout>
                <c:manualLayout>
                  <c:x val="-9.0641610975100023E-4"/>
                  <c:y val="3.6509041342207092E-3"/>
                </c:manualLayout>
              </c:layout>
              <c:dLblPos val="outEnd"/>
              <c:showVal val="1"/>
            </c:dLbl>
            <c:dLbl>
              <c:idx val="8"/>
              <c:layout>
                <c:manualLayout>
                  <c:x val="-9.9728710381791728E-4"/>
                  <c:y val="3.7041226200321452E-3"/>
                </c:manualLayout>
              </c:layout>
              <c:dLblPos val="outEnd"/>
              <c:showVal val="1"/>
            </c:dLbl>
            <c:dLbl>
              <c:idx val="9"/>
              <c:layout>
                <c:manualLayout>
                  <c:x val="-1.436114603321652E-3"/>
                  <c:y val="3.7571960963448852E-3"/>
                </c:manualLayout>
              </c:layout>
              <c:dLblPos val="outEnd"/>
              <c:showVal val="1"/>
            </c:dLbl>
            <c:dLbl>
              <c:idx val="10"/>
              <c:layout>
                <c:manualLayout>
                  <c:x val="2.0962085621650792E-4"/>
                  <c:y val="3.8104145821550852E-3"/>
                </c:manualLayout>
              </c:layout>
              <c:dLblPos val="outEnd"/>
              <c:showVal val="1"/>
            </c:dLbl>
            <c:dLbl>
              <c:idx val="11"/>
              <c:layout>
                <c:manualLayout>
                  <c:x val="3.8271686627415708E-4"/>
                  <c:y val="6.6259189976943141E-3"/>
                </c:manualLayout>
              </c:layout>
              <c:dLblPos val="outEnd"/>
              <c:showVal val="1"/>
            </c:dLbl>
            <c:dLbl>
              <c:idx val="12"/>
              <c:layout>
                <c:manualLayout>
                  <c:x val="-2.0685061426147892E-3"/>
                  <c:y val="6.6789924740070514E-3"/>
                </c:manualLayout>
              </c:layout>
              <c:tx>
                <c:rich>
                  <a:bodyPr/>
                  <a:lstStyle/>
                  <a:p>
                    <a:r>
                      <a:rPr lang="en-US"/>
                      <a:t>30258</a:t>
                    </a:r>
                    <a:r>
                      <a:rPr lang="ru-RU"/>
                      <a:t>,0</a:t>
                    </a:r>
                    <a:endParaRPr lang="en-US"/>
                  </a:p>
                </c:rich>
              </c:tx>
              <c:dLblPos val="outEnd"/>
              <c:showVal val="1"/>
            </c:dLbl>
            <c:dLbl>
              <c:idx val="13"/>
              <c:layout>
                <c:manualLayout>
                  <c:x val="1.3657116389866443E-4"/>
                  <c:y val="3.9697800205915892E-3"/>
                </c:manualLayout>
              </c:layout>
              <c:tx>
                <c:rich>
                  <a:bodyPr/>
                  <a:lstStyle/>
                  <a:p>
                    <a:r>
                      <a:rPr lang="ru-RU"/>
                      <a:t>29830,2</a:t>
                    </a:r>
                    <a:endParaRPr lang="en-US"/>
                  </a:p>
                </c:rich>
              </c:tx>
              <c:dLblPos val="outEnd"/>
              <c:showVal val="1"/>
            </c:dLbl>
            <c:dLbl>
              <c:idx val="14"/>
              <c:layout>
                <c:manualLayout>
                  <c:x val="-2.7296587926511852E-4"/>
                  <c:y val="5.4040689665173424E-3"/>
                </c:manualLayout>
              </c:layout>
              <c:tx>
                <c:rich>
                  <a:bodyPr/>
                  <a:lstStyle/>
                  <a:p>
                    <a:r>
                      <a:rPr lang="en-US"/>
                      <a:t>28132,</a:t>
                    </a:r>
                    <a:r>
                      <a:rPr lang="ru-RU"/>
                      <a:t>0</a:t>
                    </a:r>
                    <a:endParaRPr lang="en-US"/>
                  </a:p>
                </c:rich>
              </c:tx>
              <c:dLblPos val="outEnd"/>
              <c:showVal val="1"/>
            </c:dLbl>
            <c:dLbl>
              <c:idx val="15"/>
              <c:layout>
                <c:manualLayout>
                  <c:x val="-2.3882525889475292E-3"/>
                  <c:y val="7.5646624395062124E-3"/>
                </c:manualLayout>
              </c:layout>
              <c:dLblPos val="outEnd"/>
              <c:showVal val="1"/>
            </c:dLbl>
            <c:dLbl>
              <c:idx val="16"/>
              <c:layout>
                <c:manualLayout>
                  <c:x val="-2.125146121440723E-3"/>
                  <c:y val="5.5103609286408914E-3"/>
                </c:manualLayout>
              </c:layout>
              <c:dLblPos val="outEnd"/>
              <c:showVal val="1"/>
            </c:dLbl>
            <c:dLbl>
              <c:idx val="17"/>
              <c:layout>
                <c:manualLayout>
                  <c:x val="-2.1217935993295012E-3"/>
                  <c:y val="4.1822189353402494E-3"/>
                </c:manualLayout>
              </c:layout>
              <c:tx>
                <c:rich>
                  <a:bodyPr/>
                  <a:lstStyle/>
                  <a:p>
                    <a:r>
                      <a:rPr lang="en-US"/>
                      <a:t>27193</a:t>
                    </a:r>
                    <a:r>
                      <a:rPr lang="ru-RU"/>
                      <a:t>,0</a:t>
                    </a:r>
                    <a:endParaRPr lang="en-US"/>
                  </a:p>
                </c:rich>
              </c:tx>
              <c:dLblPos val="outEnd"/>
              <c:showVal val="1"/>
            </c:dLbl>
            <c:dLbl>
              <c:idx val="18"/>
              <c:layout>
                <c:manualLayout>
                  <c:x val="-2.3874014654304892E-3"/>
                  <c:y val="4.9614768919725534E-3"/>
                </c:manualLayout>
              </c:layout>
              <c:tx>
                <c:rich>
                  <a:bodyPr/>
                  <a:lstStyle/>
                  <a:p>
                    <a:r>
                      <a:rPr lang="ru-RU"/>
                      <a:t>26724,4</a:t>
                    </a:r>
                    <a:endParaRPr lang="en-US"/>
                  </a:p>
                </c:rich>
              </c:tx>
              <c:dLblPos val="outEnd"/>
              <c:showVal val="1"/>
            </c:dLbl>
            <c:dLbl>
              <c:idx val="19"/>
              <c:layout>
                <c:manualLayout>
                  <c:x val="4.9052691942941533E-4"/>
                  <c:y val="4.2885108974637948E-3"/>
                </c:manualLayout>
              </c:layout>
              <c:dLblPos val="outEnd"/>
              <c:showVal val="1"/>
            </c:dLbl>
            <c:dLbl>
              <c:idx val="20"/>
              <c:layout>
                <c:manualLayout>
                  <c:x val="-1.9214964521767441E-3"/>
                  <c:y val="4.7047706297269698E-3"/>
                </c:manualLayout>
              </c:layout>
              <c:dLblPos val="outEnd"/>
              <c:showVal val="1"/>
            </c:dLbl>
            <c:dLbl>
              <c:idx val="21"/>
              <c:layout>
                <c:manualLayout>
                  <c:x val="-4.3896616210331047E-3"/>
                  <c:y val="2.9425612052730696E-3"/>
                </c:manualLayout>
              </c:layout>
              <c:dLblPos val="outEnd"/>
              <c:showVal val="1"/>
            </c:dLbl>
            <c:dLbl>
              <c:idx val="22"/>
              <c:layout>
                <c:manualLayout>
                  <c:x val="-4.3896616210331047E-3"/>
                  <c:y val="4.4138418079096124E-3"/>
                </c:manualLayout>
              </c:layout>
              <c:dLblPos val="outEnd"/>
              <c:showVal val="1"/>
            </c:dLbl>
            <c:dLbl>
              <c:idx val="23"/>
              <c:layout>
                <c:manualLayout>
                  <c:x val="-2.1515943362647475E-3"/>
                  <c:y val="3.5092570898899852E-3"/>
                </c:manualLayout>
              </c:layout>
              <c:showVal val="1"/>
            </c:dLbl>
            <c:dLbl>
              <c:idx val="24"/>
              <c:layout>
                <c:manualLayout>
                  <c:x val="2.2050716648291092E-3"/>
                  <c:y val="2.9562910047164852E-3"/>
                </c:manualLayout>
              </c:layout>
              <c:showVal val="1"/>
            </c:dLbl>
            <c:dLbl>
              <c:idx val="25"/>
              <c:layout>
                <c:manualLayout>
                  <c:x val="-2.0712047157280642E-3"/>
                  <c:y val="2.9562910047164492E-3"/>
                </c:manualLayout>
              </c:layout>
              <c:showVal val="1"/>
            </c:dLbl>
            <c:dLbl>
              <c:idx val="26"/>
              <c:layout>
                <c:manualLayout>
                  <c:x val="0"/>
                  <c:y val="2.9562910047164492E-3"/>
                </c:manualLayout>
              </c:layout>
              <c:showVal val="1"/>
            </c:dLbl>
            <c:dLbl>
              <c:idx val="27"/>
              <c:layout>
                <c:manualLayout>
                  <c:x val="0"/>
                  <c:y val="1.4781455023582335E-3"/>
                </c:manualLayout>
              </c:layout>
              <c:showVal val="1"/>
            </c:dLbl>
            <c:dLbl>
              <c:idx val="28"/>
              <c:layout>
                <c:manualLayout>
                  <c:x val="0"/>
                  <c:y val="1.4781455023582201E-3"/>
                </c:manualLayout>
              </c:layout>
              <c:showVal val="1"/>
            </c:dLbl>
            <c:dLbl>
              <c:idx val="29"/>
              <c:layout>
                <c:manualLayout>
                  <c:x val="0"/>
                  <c:y val="1.4781455023582335E-3"/>
                </c:manualLayout>
              </c:layout>
              <c:showVal val="1"/>
            </c:dLbl>
            <c:dLbl>
              <c:idx val="30"/>
              <c:layout>
                <c:manualLayout>
                  <c:x val="2.2050716648291092E-3"/>
                  <c:y val="2.8371082492507152E-3"/>
                </c:manualLayout>
              </c:layout>
              <c:tx>
                <c:rich>
                  <a:bodyPr/>
                  <a:lstStyle/>
                  <a:p>
                    <a:r>
                      <a:rPr lang="en-US"/>
                      <a:t>12619</a:t>
                    </a:r>
                    <a:r>
                      <a:rPr lang="ru-RU"/>
                      <a:t>,0</a:t>
                    </a:r>
                    <a:endParaRPr lang="en-US"/>
                  </a:p>
                </c:rich>
              </c:tx>
              <c:showVal val="1"/>
            </c:dLbl>
            <c:dLbl>
              <c:idx val="31"/>
              <c:layout>
                <c:manualLayout>
                  <c:x val="-4.3078766201633837E-3"/>
                  <c:y val="2.1551826982021452E-3"/>
                </c:manualLayout>
              </c:layout>
              <c:showVal val="1"/>
            </c:dLbl>
            <c:spPr>
              <a:noFill/>
              <a:ln w="23663">
                <a:noFill/>
              </a:ln>
            </c:spPr>
            <c:txPr>
              <a:bodyPr/>
              <a:lstStyle/>
              <a:p>
                <a:pPr>
                  <a:defRPr sz="836" b="1" i="0" u="none" strike="noStrike" baseline="0">
                    <a:solidFill>
                      <a:srgbClr val="000000"/>
                    </a:solidFill>
                    <a:latin typeface="Arial" pitchFamily="34" charset="0"/>
                    <a:ea typeface="Calibri"/>
                    <a:cs typeface="Calibri"/>
                  </a:defRPr>
                </a:pPr>
                <a:endParaRPr lang="ru-RU"/>
              </a:p>
            </c:txPr>
            <c:showVal val="1"/>
          </c:dLbls>
          <c:cat>
            <c:strRef>
              <c:f>Лист1!$A$2:$A$33</c:f>
              <c:strCache>
                <c:ptCount val="32"/>
                <c:pt idx="0">
                  <c:v>г.Брянск</c:v>
                </c:pt>
                <c:pt idx="1">
                  <c:v>Брянский</c:v>
                </c:pt>
                <c:pt idx="2">
                  <c:v>г.Фокино</c:v>
                </c:pt>
                <c:pt idx="3">
                  <c:v>Карачевский</c:v>
                </c:pt>
                <c:pt idx="4">
                  <c:v>Суземский</c:v>
                </c:pt>
                <c:pt idx="5">
                  <c:v>Область</c:v>
                </c:pt>
                <c:pt idx="6">
                  <c:v>Выгоничский</c:v>
                </c:pt>
                <c:pt idx="7">
                  <c:v>Погарский</c:v>
                </c:pt>
                <c:pt idx="8">
                  <c:v>Дубровский</c:v>
                </c:pt>
                <c:pt idx="9">
                  <c:v>Злынковский</c:v>
                </c:pt>
                <c:pt idx="10">
                  <c:v>Жуковский</c:v>
                </c:pt>
                <c:pt idx="11">
                  <c:v>Климовский</c:v>
                </c:pt>
                <c:pt idx="12">
                  <c:v>Рогнединский</c:v>
                </c:pt>
                <c:pt idx="13">
                  <c:v>г.Клинцы</c:v>
                </c:pt>
                <c:pt idx="14">
                  <c:v>г.Новозыбков + район</c:v>
                </c:pt>
                <c:pt idx="15">
                  <c:v>Мглинский</c:v>
                </c:pt>
                <c:pt idx="16">
                  <c:v>Брасовский</c:v>
                </c:pt>
                <c:pt idx="17">
                  <c:v>Жирятинский</c:v>
                </c:pt>
                <c:pt idx="18">
                  <c:v>Унечский</c:v>
                </c:pt>
                <c:pt idx="19">
                  <c:v>Почепский</c:v>
                </c:pt>
                <c:pt idx="20">
                  <c:v>Дятьковский</c:v>
                </c:pt>
                <c:pt idx="21">
                  <c:v>г.Сельцо</c:v>
                </c:pt>
                <c:pt idx="22">
                  <c:v>Трубчевский</c:v>
                </c:pt>
                <c:pt idx="23">
                  <c:v>Комаричский</c:v>
                </c:pt>
                <c:pt idx="24">
                  <c:v>Навлинский</c:v>
                </c:pt>
                <c:pt idx="25">
                  <c:v>Суражский</c:v>
                </c:pt>
                <c:pt idx="26">
                  <c:v>Гордеевский</c:v>
                </c:pt>
                <c:pt idx="27">
                  <c:v>Стародубский</c:v>
                </c:pt>
                <c:pt idx="28">
                  <c:v>Красногорский</c:v>
                </c:pt>
                <c:pt idx="29">
                  <c:v>Клетнянский</c:v>
                </c:pt>
                <c:pt idx="30">
                  <c:v>Клинцовский</c:v>
                </c:pt>
                <c:pt idx="31">
                  <c:v>Севский</c:v>
                </c:pt>
              </c:strCache>
            </c:strRef>
          </c:cat>
          <c:val>
            <c:numRef>
              <c:f>Лист1!$B$2:$B$33</c:f>
              <c:numCache>
                <c:formatCode>General</c:formatCode>
                <c:ptCount val="32"/>
                <c:pt idx="0">
                  <c:v>72054.8</c:v>
                </c:pt>
                <c:pt idx="1">
                  <c:v>65205.1</c:v>
                </c:pt>
                <c:pt idx="2">
                  <c:v>63508.7</c:v>
                </c:pt>
                <c:pt idx="3">
                  <c:v>55928.800000000003</c:v>
                </c:pt>
                <c:pt idx="4">
                  <c:v>48108.3</c:v>
                </c:pt>
                <c:pt idx="5">
                  <c:v>46025.9</c:v>
                </c:pt>
                <c:pt idx="6">
                  <c:v>41682.6</c:v>
                </c:pt>
                <c:pt idx="7">
                  <c:v>40460.800000000003</c:v>
                </c:pt>
                <c:pt idx="8">
                  <c:v>39291.199999999997</c:v>
                </c:pt>
                <c:pt idx="9">
                  <c:v>37010.400000000001</c:v>
                </c:pt>
                <c:pt idx="10">
                  <c:v>35677.599999999999</c:v>
                </c:pt>
                <c:pt idx="11">
                  <c:v>30900.2</c:v>
                </c:pt>
                <c:pt idx="12">
                  <c:v>30258</c:v>
                </c:pt>
                <c:pt idx="13">
                  <c:v>30258</c:v>
                </c:pt>
                <c:pt idx="14">
                  <c:v>28132.2</c:v>
                </c:pt>
                <c:pt idx="15">
                  <c:v>28005.200000000001</c:v>
                </c:pt>
                <c:pt idx="16">
                  <c:v>27774.7</c:v>
                </c:pt>
                <c:pt idx="17">
                  <c:v>27193</c:v>
                </c:pt>
                <c:pt idx="18">
                  <c:v>26724.400000000001</c:v>
                </c:pt>
                <c:pt idx="19">
                  <c:v>25910.799999999996</c:v>
                </c:pt>
                <c:pt idx="20">
                  <c:v>25136.5</c:v>
                </c:pt>
                <c:pt idx="21">
                  <c:v>24379.9</c:v>
                </c:pt>
                <c:pt idx="22">
                  <c:v>22308.799999999996</c:v>
                </c:pt>
                <c:pt idx="23">
                  <c:v>21764.3</c:v>
                </c:pt>
                <c:pt idx="24">
                  <c:v>18593.8</c:v>
                </c:pt>
                <c:pt idx="25">
                  <c:v>18017.400000000001</c:v>
                </c:pt>
                <c:pt idx="26">
                  <c:v>17096.7</c:v>
                </c:pt>
                <c:pt idx="27">
                  <c:v>17078.2</c:v>
                </c:pt>
                <c:pt idx="28">
                  <c:v>16513.3</c:v>
                </c:pt>
                <c:pt idx="29">
                  <c:v>16241.5</c:v>
                </c:pt>
                <c:pt idx="30">
                  <c:v>12619</c:v>
                </c:pt>
                <c:pt idx="31">
                  <c:v>6243.2</c:v>
                </c:pt>
              </c:numCache>
            </c:numRef>
          </c:val>
        </c:ser>
        <c:ser>
          <c:idx val="1"/>
          <c:order val="1"/>
          <c:tx>
            <c:strRef>
              <c:f>Лист1!$C$1</c:f>
              <c:strCache>
                <c:ptCount val="1"/>
                <c:pt idx="0">
                  <c:v>Среднеобластной показатель 46025,9</c:v>
                </c:pt>
              </c:strCache>
            </c:strRef>
          </c:tx>
          <c:spPr>
            <a:solidFill>
              <a:srgbClr val="FF0000"/>
            </a:solidFill>
            <a:ln w="5902">
              <a:solidFill>
                <a:sysClr val="window" lastClr="FFFFFF"/>
              </a:solidFill>
              <a:prstDash val="solid"/>
            </a:ln>
            <a:scene3d>
              <a:camera prst="orthographicFront"/>
              <a:lightRig rig="threePt" dir="t"/>
            </a:scene3d>
            <a:sp3d>
              <a:bevelT w="0" h="0"/>
              <a:bevelB w="0" h="0"/>
            </a:sp3d>
          </c:spPr>
          <c:cat>
            <c:strRef>
              <c:f>Лист1!$A$2:$A$33</c:f>
              <c:strCache>
                <c:ptCount val="32"/>
                <c:pt idx="0">
                  <c:v>г.Брянск</c:v>
                </c:pt>
                <c:pt idx="1">
                  <c:v>Брянский</c:v>
                </c:pt>
                <c:pt idx="2">
                  <c:v>г.Фокино</c:v>
                </c:pt>
                <c:pt idx="3">
                  <c:v>Карачевский</c:v>
                </c:pt>
                <c:pt idx="4">
                  <c:v>Суземский</c:v>
                </c:pt>
                <c:pt idx="5">
                  <c:v>Область</c:v>
                </c:pt>
                <c:pt idx="6">
                  <c:v>Выгоничский</c:v>
                </c:pt>
                <c:pt idx="7">
                  <c:v>Погарский</c:v>
                </c:pt>
                <c:pt idx="8">
                  <c:v>Дубровский</c:v>
                </c:pt>
                <c:pt idx="9">
                  <c:v>Злынковский</c:v>
                </c:pt>
                <c:pt idx="10">
                  <c:v>Жуковский</c:v>
                </c:pt>
                <c:pt idx="11">
                  <c:v>Климовский</c:v>
                </c:pt>
                <c:pt idx="12">
                  <c:v>Рогнединский</c:v>
                </c:pt>
                <c:pt idx="13">
                  <c:v>г.Клинцы</c:v>
                </c:pt>
                <c:pt idx="14">
                  <c:v>г.Новозыбков + район</c:v>
                </c:pt>
                <c:pt idx="15">
                  <c:v>Мглинский</c:v>
                </c:pt>
                <c:pt idx="16">
                  <c:v>Брасовский</c:v>
                </c:pt>
                <c:pt idx="17">
                  <c:v>Жирятинский</c:v>
                </c:pt>
                <c:pt idx="18">
                  <c:v>Унечский</c:v>
                </c:pt>
                <c:pt idx="19">
                  <c:v>Почепский</c:v>
                </c:pt>
                <c:pt idx="20">
                  <c:v>Дятьковский</c:v>
                </c:pt>
                <c:pt idx="21">
                  <c:v>г.Сельцо</c:v>
                </c:pt>
                <c:pt idx="22">
                  <c:v>Трубчевский</c:v>
                </c:pt>
                <c:pt idx="23">
                  <c:v>Комаричский</c:v>
                </c:pt>
                <c:pt idx="24">
                  <c:v>Навлинский</c:v>
                </c:pt>
                <c:pt idx="25">
                  <c:v>Суражский</c:v>
                </c:pt>
                <c:pt idx="26">
                  <c:v>Гордеевский</c:v>
                </c:pt>
                <c:pt idx="27">
                  <c:v>Стародубский</c:v>
                </c:pt>
                <c:pt idx="28">
                  <c:v>Красногорский</c:v>
                </c:pt>
                <c:pt idx="29">
                  <c:v>Клетнянский</c:v>
                </c:pt>
                <c:pt idx="30">
                  <c:v>Клинцовский</c:v>
                </c:pt>
                <c:pt idx="31">
                  <c:v>Севский</c:v>
                </c:pt>
              </c:strCache>
            </c:strRef>
          </c:cat>
          <c:val>
            <c:numRef>
              <c:f>Лист1!$C$2:$C$33</c:f>
              <c:numCache>
                <c:formatCode>General</c:formatCode>
                <c:ptCount val="32"/>
                <c:pt idx="0">
                  <c:v>46025.9</c:v>
                </c:pt>
                <c:pt idx="1">
                  <c:v>46025.9</c:v>
                </c:pt>
                <c:pt idx="2">
                  <c:v>46025.9</c:v>
                </c:pt>
                <c:pt idx="3">
                  <c:v>46025.9</c:v>
                </c:pt>
                <c:pt idx="4">
                  <c:v>46025.9</c:v>
                </c:pt>
                <c:pt idx="5">
                  <c:v>46025.9</c:v>
                </c:pt>
                <c:pt idx="6">
                  <c:v>46025.9</c:v>
                </c:pt>
                <c:pt idx="7">
                  <c:v>46025.9</c:v>
                </c:pt>
                <c:pt idx="8">
                  <c:v>46025.9</c:v>
                </c:pt>
                <c:pt idx="9">
                  <c:v>46025.9</c:v>
                </c:pt>
                <c:pt idx="10">
                  <c:v>46025.9</c:v>
                </c:pt>
                <c:pt idx="11">
                  <c:v>46025.9</c:v>
                </c:pt>
                <c:pt idx="12">
                  <c:v>46025.9</c:v>
                </c:pt>
                <c:pt idx="13">
                  <c:v>46025.9</c:v>
                </c:pt>
                <c:pt idx="14">
                  <c:v>46025.9</c:v>
                </c:pt>
                <c:pt idx="15">
                  <c:v>46025.9</c:v>
                </c:pt>
                <c:pt idx="16">
                  <c:v>46025.9</c:v>
                </c:pt>
                <c:pt idx="17">
                  <c:v>46025.9</c:v>
                </c:pt>
                <c:pt idx="18">
                  <c:v>46025.9</c:v>
                </c:pt>
                <c:pt idx="19">
                  <c:v>46025.9</c:v>
                </c:pt>
                <c:pt idx="20">
                  <c:v>46025.9</c:v>
                </c:pt>
                <c:pt idx="21">
                  <c:v>46025.9</c:v>
                </c:pt>
                <c:pt idx="22">
                  <c:v>46025.9</c:v>
                </c:pt>
                <c:pt idx="23">
                  <c:v>46025.9</c:v>
                </c:pt>
                <c:pt idx="24">
                  <c:v>46025.9</c:v>
                </c:pt>
                <c:pt idx="25">
                  <c:v>46025.9</c:v>
                </c:pt>
                <c:pt idx="26">
                  <c:v>46025.9</c:v>
                </c:pt>
                <c:pt idx="27">
                  <c:v>46025.9</c:v>
                </c:pt>
                <c:pt idx="28">
                  <c:v>46025.9</c:v>
                </c:pt>
                <c:pt idx="29">
                  <c:v>46025.9</c:v>
                </c:pt>
                <c:pt idx="30">
                  <c:v>46025.9</c:v>
                </c:pt>
                <c:pt idx="31">
                  <c:v>46025.9</c:v>
                </c:pt>
              </c:numCache>
            </c:numRef>
          </c:val>
        </c:ser>
        <c:axId val="201760128"/>
        <c:axId val="201811072"/>
      </c:barChart>
      <c:catAx>
        <c:axId val="201760128"/>
        <c:scaling>
          <c:orientation val="minMax"/>
        </c:scaling>
        <c:axPos val="l"/>
        <c:numFmt formatCode="General" sourceLinked="1"/>
        <c:tickLblPos val="nextTo"/>
        <c:spPr>
          <a:ln>
            <a:solidFill>
              <a:sysClr val="windowText" lastClr="000000"/>
            </a:solidFill>
          </a:ln>
        </c:spPr>
        <c:txPr>
          <a:bodyPr rot="0" vert="horz"/>
          <a:lstStyle/>
          <a:p>
            <a:pPr>
              <a:defRPr sz="800" b="1" i="0" u="none" strike="noStrike" baseline="0">
                <a:solidFill>
                  <a:srgbClr val="000000"/>
                </a:solidFill>
                <a:latin typeface="Arial" pitchFamily="34" charset="0"/>
                <a:ea typeface="Calibri"/>
                <a:cs typeface="Calibri"/>
              </a:defRPr>
            </a:pPr>
            <a:endParaRPr lang="ru-RU"/>
          </a:p>
        </c:txPr>
        <c:crossAx val="201811072"/>
        <c:crosses val="autoZero"/>
        <c:auto val="1"/>
        <c:lblAlgn val="ctr"/>
        <c:lblOffset val="100"/>
      </c:catAx>
      <c:valAx>
        <c:axId val="201811072"/>
        <c:scaling>
          <c:orientation val="minMax"/>
          <c:max val="80000"/>
        </c:scaling>
        <c:axPos val="b"/>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883" b="1" i="0" baseline="0">
                <a:latin typeface="Arial" pitchFamily="34" charset="0"/>
              </a:defRPr>
            </a:pPr>
            <a:endParaRPr lang="ru-RU"/>
          </a:p>
        </c:txPr>
        <c:crossAx val="201760128"/>
        <c:crosses val="autoZero"/>
        <c:crossBetween val="between"/>
      </c:valAx>
    </c:plotArea>
    <c:legend>
      <c:legendPos val="b"/>
      <c:legendEntry>
        <c:idx val="0"/>
        <c:txPr>
          <a:bodyPr/>
          <a:lstStyle/>
          <a:p>
            <a:pPr>
              <a:defRPr sz="900" baseline="0">
                <a:latin typeface="Arial" pitchFamily="34" charset="0"/>
              </a:defRPr>
            </a:pPr>
            <a:endParaRPr lang="ru-RU"/>
          </a:p>
        </c:txPr>
      </c:legendEntry>
      <c:legendEntry>
        <c:idx val="1"/>
        <c:txPr>
          <a:bodyPr/>
          <a:lstStyle/>
          <a:p>
            <a:pPr>
              <a:defRPr sz="900" baseline="0">
                <a:latin typeface="Arial" pitchFamily="34" charset="0"/>
              </a:defRPr>
            </a:pPr>
            <a:endParaRPr lang="ru-RU"/>
          </a:p>
        </c:txPr>
      </c:legendEntry>
      <c:layout>
        <c:manualLayout>
          <c:xMode val="edge"/>
          <c:yMode val="edge"/>
          <c:x val="4.9999974076802033E-2"/>
          <c:y val="0.96535743756463688"/>
          <c:w val="0.94389649523540264"/>
          <c:h val="2.5172865465680452E-2"/>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20"/>
      <c:rotY val="260"/>
      <c:perspective val="30"/>
    </c:view3D>
    <c:plotArea>
      <c:layout>
        <c:manualLayout>
          <c:layoutTarget val="inner"/>
          <c:xMode val="edge"/>
          <c:yMode val="edge"/>
          <c:x val="0.148340399757726"/>
          <c:y val="9.9688513200555579E-2"/>
          <c:w val="0.69164606121067462"/>
          <c:h val="0.79993168133395087"/>
        </c:manualLayout>
      </c:layout>
      <c:pie3DChart>
        <c:varyColors val="1"/>
        <c:ser>
          <c:idx val="0"/>
          <c:order val="0"/>
          <c:tx>
            <c:strRef>
              <c:f>Лист1!$B$1</c:f>
              <c:strCache>
                <c:ptCount val="1"/>
                <c:pt idx="0">
                  <c:v>%</c:v>
                </c:pt>
              </c:strCache>
            </c:strRef>
          </c:tx>
          <c:explosion val="25"/>
          <c:dPt>
            <c:idx val="0"/>
            <c:spPr>
              <a:solidFill>
                <a:srgbClr val="FF0066"/>
              </a:solidFill>
            </c:spPr>
          </c:dPt>
          <c:dPt>
            <c:idx val="1"/>
            <c:spPr>
              <a:solidFill>
                <a:srgbClr val="48A5FA"/>
              </a:solidFill>
            </c:spPr>
          </c:dPt>
          <c:dPt>
            <c:idx val="2"/>
            <c:spPr>
              <a:solidFill>
                <a:schemeClr val="bg1">
                  <a:lumMod val="50000"/>
                </a:schemeClr>
              </a:solidFill>
            </c:spPr>
          </c:dPt>
          <c:dPt>
            <c:idx val="3"/>
            <c:spPr>
              <a:solidFill>
                <a:srgbClr val="FFFF00"/>
              </a:solidFill>
            </c:spPr>
          </c:dPt>
          <c:dPt>
            <c:idx val="4"/>
            <c:spPr>
              <a:solidFill>
                <a:srgbClr val="F25ADC"/>
              </a:solidFill>
            </c:spPr>
          </c:dPt>
          <c:dPt>
            <c:idx val="6"/>
            <c:spPr>
              <a:solidFill>
                <a:srgbClr val="5EFAFE"/>
              </a:solidFill>
            </c:spPr>
          </c:dPt>
          <c:dPt>
            <c:idx val="7"/>
            <c:spPr>
              <a:solidFill>
                <a:srgbClr val="00B050"/>
              </a:solidFill>
            </c:spPr>
          </c:dPt>
          <c:dPt>
            <c:idx val="8"/>
            <c:spPr>
              <a:solidFill>
                <a:schemeClr val="bg1">
                  <a:lumMod val="85000"/>
                </a:schemeClr>
              </a:solidFill>
            </c:spPr>
          </c:dPt>
          <c:dLbls>
            <c:dLbl>
              <c:idx val="0"/>
              <c:layout>
                <c:manualLayout>
                  <c:x val="6.9369855533452721E-2"/>
                  <c:y val="-5.2472341430829704E-2"/>
                </c:manualLayout>
              </c:layout>
              <c:tx>
                <c:rich>
                  <a:bodyPr/>
                  <a:lstStyle/>
                  <a:p>
                    <a:r>
                      <a:rPr lang="ru-RU"/>
                      <a:t>грипп и ОРВИ 73,5%</a:t>
                    </a:r>
                  </a:p>
                </c:rich>
              </c:tx>
              <c:dLblPos val="bestFit"/>
              <c:showVal val="1"/>
              <c:showCatName val="1"/>
            </c:dLbl>
            <c:dLbl>
              <c:idx val="1"/>
              <c:layout>
                <c:manualLayout>
                  <c:x val="0.17624234422823584"/>
                  <c:y val="-0.16590738605615868"/>
                </c:manualLayout>
              </c:layout>
              <c:tx>
                <c:rich>
                  <a:bodyPr/>
                  <a:lstStyle/>
                  <a:p>
                    <a:r>
                      <a:rPr lang="ru-RU"/>
                      <a:t>кишечные инфекции 0,6%</a:t>
                    </a:r>
                  </a:p>
                </c:rich>
              </c:tx>
              <c:dLblPos val="bestFit"/>
              <c:showVal val="1"/>
              <c:showCatName val="1"/>
            </c:dLbl>
            <c:dLbl>
              <c:idx val="2"/>
              <c:layout>
                <c:manualLayout>
                  <c:x val="0.16856099827378668"/>
                  <c:y val="-7.5980194851174104E-2"/>
                </c:manualLayout>
              </c:layout>
              <c:tx>
                <c:rich>
                  <a:bodyPr/>
                  <a:lstStyle/>
                  <a:p>
                    <a:r>
                      <a:rPr lang="ru-RU"/>
                      <a:t>паразитарные  заболевания 0,17%</a:t>
                    </a:r>
                  </a:p>
                </c:rich>
              </c:tx>
              <c:dLblPos val="bestFit"/>
              <c:showVal val="1"/>
              <c:showCatName val="1"/>
            </c:dLbl>
            <c:dLbl>
              <c:idx val="3"/>
              <c:layout>
                <c:manualLayout>
                  <c:x val="0.14318801609516521"/>
                  <c:y val="3.2358989844094743E-2"/>
                </c:manualLayout>
              </c:layout>
              <c:tx>
                <c:rich>
                  <a:bodyPr/>
                  <a:lstStyle/>
                  <a:p>
                    <a:r>
                      <a:rPr lang="ru-RU"/>
                      <a:t>социально-значимые инфекции 0,16%</a:t>
                    </a:r>
                  </a:p>
                </c:rich>
              </c:tx>
              <c:dLblPos val="bestFit"/>
              <c:showVal val="1"/>
              <c:showCatName val="1"/>
            </c:dLbl>
            <c:dLbl>
              <c:idx val="4"/>
              <c:layout>
                <c:manualLayout>
                  <c:x val="0.16008676333413288"/>
                  <c:y val="0.15323361539252706"/>
                </c:manualLayout>
              </c:layout>
              <c:tx>
                <c:rich>
                  <a:bodyPr/>
                  <a:lstStyle/>
                  <a:p>
                    <a:r>
                      <a:rPr lang="ru-RU"/>
                      <a:t>детские инфекции 0,6%</a:t>
                    </a:r>
                  </a:p>
                </c:rich>
              </c:tx>
              <c:dLblPos val="bestFit"/>
              <c:showVal val="1"/>
              <c:showCatName val="1"/>
            </c:dLbl>
            <c:dLbl>
              <c:idx val="5"/>
              <c:layout>
                <c:manualLayout>
                  <c:x val="-4.6809143120293467E-2"/>
                  <c:y val="0.13692646932708954"/>
                </c:manualLayout>
              </c:layout>
              <c:tx>
                <c:rich>
                  <a:bodyPr/>
                  <a:lstStyle/>
                  <a:p>
                    <a:r>
                      <a:rPr lang="ru-RU"/>
                      <a:t>природно-очаговые инфекции 0,01%</a:t>
                    </a:r>
                  </a:p>
                </c:rich>
              </c:tx>
              <c:dLblPos val="bestFit"/>
              <c:showVal val="1"/>
              <c:showCatName val="1"/>
            </c:dLbl>
            <c:dLbl>
              <c:idx val="6"/>
              <c:layout>
                <c:manualLayout>
                  <c:x val="-0.27803171769801627"/>
                  <c:y val="0.12250139726251549"/>
                </c:manualLayout>
              </c:layout>
              <c:tx>
                <c:rich>
                  <a:bodyPr/>
                  <a:lstStyle/>
                  <a:p>
                    <a:r>
                      <a:rPr lang="ru-RU"/>
                      <a:t>прочие инфекции 0,83%</a:t>
                    </a:r>
                  </a:p>
                </c:rich>
              </c:tx>
              <c:dLblPos val="bestFit"/>
              <c:showVal val="1"/>
              <c:showCatName val="1"/>
            </c:dLbl>
            <c:dLbl>
              <c:idx val="7"/>
              <c:layout>
                <c:manualLayout>
                  <c:x val="-0.15870183631591991"/>
                  <c:y val="7.732997836994911E-3"/>
                </c:manualLayout>
              </c:layout>
              <c:tx>
                <c:rich>
                  <a:bodyPr/>
                  <a:lstStyle/>
                  <a:p>
                    <a:r>
                      <a:rPr lang="ru-RU"/>
                      <a:t>внебольничные пневмонии 7,8%</a:t>
                    </a:r>
                  </a:p>
                </c:rich>
              </c:tx>
              <c:dLblPos val="bestFit"/>
              <c:showVal val="1"/>
              <c:showCatName val="1"/>
            </c:dLbl>
            <c:dLbl>
              <c:idx val="8"/>
              <c:layout>
                <c:manualLayout>
                  <c:x val="-4.7645338921278896E-2"/>
                  <c:y val="-3.507301415399821E-2"/>
                </c:manualLayout>
              </c:layout>
              <c:tx>
                <c:rich>
                  <a:bodyPr/>
                  <a:lstStyle/>
                  <a:p>
                    <a:r>
                      <a:rPr lang="en-US"/>
                      <a:t>COVID-19</a:t>
                    </a:r>
                    <a:r>
                      <a:rPr lang="ru-RU"/>
                      <a:t> </a:t>
                    </a:r>
                    <a:r>
                      <a:rPr lang="en-US"/>
                      <a:t>16,1</a:t>
                    </a:r>
                    <a:r>
                      <a:rPr lang="ru-RU"/>
                      <a:t>%</a:t>
                    </a:r>
                    <a:endParaRPr lang="en-US"/>
                  </a:p>
                </c:rich>
              </c:tx>
              <c:dLblPos val="bestFit"/>
              <c:showVal val="1"/>
              <c:showCatName val="1"/>
            </c:dLbl>
            <c:txPr>
              <a:bodyPr/>
              <a:lstStyle/>
              <a:p>
                <a:pPr>
                  <a:defRPr sz="700" b="1" i="0" baseline="0">
                    <a:latin typeface="Arial" pitchFamily="34" charset="0"/>
                  </a:defRPr>
                </a:pPr>
                <a:endParaRPr lang="ru-RU"/>
              </a:p>
            </c:txPr>
            <c:dLblPos val="bestFit"/>
            <c:showVal val="1"/>
            <c:showCatName val="1"/>
            <c:showLeaderLines val="1"/>
          </c:dLbls>
          <c:cat>
            <c:strRef>
              <c:f>Лист1!$A$2:$A$10</c:f>
              <c:strCache>
                <c:ptCount val="9"/>
                <c:pt idx="0">
                  <c:v>грипп и ОРВИ</c:v>
                </c:pt>
                <c:pt idx="1">
                  <c:v>кишечные инфекции</c:v>
                </c:pt>
                <c:pt idx="2">
                  <c:v>паразитарные  заболевания</c:v>
                </c:pt>
                <c:pt idx="3">
                  <c:v>социально-значимые инфекции</c:v>
                </c:pt>
                <c:pt idx="4">
                  <c:v>детские инфекции</c:v>
                </c:pt>
                <c:pt idx="5">
                  <c:v>природно-очаговые инфекции</c:v>
                </c:pt>
                <c:pt idx="6">
                  <c:v>прочие инфекции</c:v>
                </c:pt>
                <c:pt idx="7">
                  <c:v>внебольничные пневмонии</c:v>
                </c:pt>
                <c:pt idx="8">
                  <c:v>COVID-19</c:v>
                </c:pt>
              </c:strCache>
            </c:strRef>
          </c:cat>
          <c:val>
            <c:numRef>
              <c:f>Лист1!$B$2:$B$10</c:f>
              <c:numCache>
                <c:formatCode>General</c:formatCode>
                <c:ptCount val="9"/>
                <c:pt idx="0">
                  <c:v>73.5</c:v>
                </c:pt>
                <c:pt idx="1">
                  <c:v>0.60000000000000064</c:v>
                </c:pt>
                <c:pt idx="2">
                  <c:v>0.17</c:v>
                </c:pt>
                <c:pt idx="3">
                  <c:v>0.16</c:v>
                </c:pt>
                <c:pt idx="4">
                  <c:v>0.60000000000000064</c:v>
                </c:pt>
                <c:pt idx="5">
                  <c:v>1.0000000000000005E-2</c:v>
                </c:pt>
                <c:pt idx="6">
                  <c:v>0.83000000000000063</c:v>
                </c:pt>
                <c:pt idx="7">
                  <c:v>7.8</c:v>
                </c:pt>
                <c:pt idx="8">
                  <c:v>16.100000000000001</c:v>
                </c:pt>
              </c:numCache>
            </c:numRef>
          </c:val>
        </c:ser>
        <c:dLbls>
          <c:showVal val="1"/>
        </c:dLbls>
      </c:pie3DChart>
    </c:plotArea>
    <c:plotVisOnly val="1"/>
    <c:dispBlanksAs val="zero"/>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50311948712912E-2"/>
          <c:y val="9.8909694416742355E-2"/>
          <c:w val="0.94224968805128873"/>
          <c:h val="0.7680608365019691"/>
        </c:manualLayout>
      </c:layout>
      <c:barChart>
        <c:barDir val="col"/>
        <c:grouping val="clustered"/>
        <c:ser>
          <c:idx val="0"/>
          <c:order val="0"/>
          <c:tx>
            <c:strRef>
              <c:f>Sheet1!$A$2:$B$2</c:f>
              <c:strCache>
                <c:ptCount val="1"/>
                <c:pt idx="0">
                  <c:v>на 100 тыс. нас.</c:v>
                </c:pt>
              </c:strCache>
            </c:strRef>
          </c:tx>
          <c:dLbls>
            <c:dLbl>
              <c:idx val="0"/>
              <c:layout>
                <c:manualLayout>
                  <c:x val="3.1748746785575325E-3"/>
                  <c:y val="1.2714949092901846E-2"/>
                </c:manualLayout>
              </c:layout>
              <c:dLblPos val="outEnd"/>
              <c:showVal val="1"/>
            </c:dLbl>
            <c:dLbl>
              <c:idx val="1"/>
              <c:layout>
                <c:manualLayout>
                  <c:x val="4.2659509265697865E-4"/>
                  <c:y val="1.4977003110906035E-2"/>
                </c:manualLayout>
              </c:layout>
              <c:tx>
                <c:rich>
                  <a:bodyPr/>
                  <a:lstStyle/>
                  <a:p>
                    <a:r>
                      <a:rPr lang="en-US"/>
                      <a:t>2,5</a:t>
                    </a:r>
                    <a:r>
                      <a:rPr lang="ru-RU"/>
                      <a:t>0</a:t>
                    </a:r>
                    <a:endParaRPr lang="en-US"/>
                  </a:p>
                </c:rich>
              </c:tx>
              <c:dLblPos val="outEnd"/>
              <c:showVal val="1"/>
            </c:dLbl>
            <c:dLbl>
              <c:idx val="2"/>
              <c:layout>
                <c:manualLayout>
                  <c:x val="1.8227193243074444E-3"/>
                  <c:y val="1.5665704846269841E-2"/>
                </c:manualLayout>
              </c:layout>
              <c:tx>
                <c:rich>
                  <a:bodyPr/>
                  <a:lstStyle/>
                  <a:p>
                    <a:r>
                      <a:rPr lang="en-US" sz="893" b="1" i="0" baseline="0">
                        <a:latin typeface="Arial" pitchFamily="34" charset="0"/>
                      </a:rPr>
                      <a:t>2,5</a:t>
                    </a:r>
                    <a:r>
                      <a:rPr lang="ru-RU" sz="893" b="1" i="0" baseline="0">
                        <a:latin typeface="Arial" pitchFamily="34" charset="0"/>
                      </a:rPr>
                      <a:t>0</a:t>
                    </a:r>
                    <a:endParaRPr lang="en-US" sz="900" b="1" i="0" baseline="0">
                      <a:latin typeface="Arial" pitchFamily="34" charset="0"/>
                    </a:endParaRPr>
                  </a:p>
                </c:rich>
              </c:tx>
              <c:dLblPos val="outEnd"/>
            </c:dLbl>
            <c:dLbl>
              <c:idx val="3"/>
              <c:layout>
                <c:manualLayout>
                  <c:x val="3.3950983231514731E-3"/>
                  <c:y val="1.3420245546229802E-2"/>
                </c:manualLayout>
              </c:layout>
              <c:tx>
                <c:rich>
                  <a:bodyPr/>
                  <a:lstStyle/>
                  <a:p>
                    <a:r>
                      <a:rPr lang="ru-RU" sz="893" b="1" i="0" baseline="0">
                        <a:latin typeface="Arial" pitchFamily="34" charset="0"/>
                      </a:rPr>
                      <a:t>0,70</a:t>
                    </a:r>
                  </a:p>
                </c:rich>
              </c:tx>
              <c:dLblPos val="outEnd"/>
            </c:dLbl>
            <c:dLbl>
              <c:idx val="4"/>
              <c:layout>
                <c:manualLayout>
                  <c:x val="4.9673379608335504E-3"/>
                  <c:y val="1.2718579817771141E-2"/>
                </c:manualLayout>
              </c:layout>
              <c:tx>
                <c:rich>
                  <a:bodyPr/>
                  <a:lstStyle/>
                  <a:p>
                    <a:r>
                      <a:rPr lang="ru-RU" sz="893" b="1" i="0" baseline="0">
                        <a:latin typeface="Arial" pitchFamily="34" charset="0"/>
                      </a:rPr>
                      <a:t>2,20</a:t>
                    </a:r>
                  </a:p>
                </c:rich>
              </c:tx>
              <c:dLblPos val="outEnd"/>
            </c:dLbl>
            <c:dLbl>
              <c:idx val="5"/>
              <c:layout>
                <c:manualLayout>
                  <c:x val="-1.0589904540913661E-4"/>
                  <c:y val="1.9385856541090141E-2"/>
                </c:manualLayout>
              </c:layout>
              <c:tx>
                <c:rich>
                  <a:bodyPr/>
                  <a:lstStyle/>
                  <a:p>
                    <a:r>
                      <a:rPr lang="ru-RU" sz="893" b="1" i="0" baseline="0">
                        <a:latin typeface="Arial" pitchFamily="34" charset="0"/>
                      </a:rPr>
                      <a:t>2,48</a:t>
                    </a:r>
                  </a:p>
                </c:rich>
              </c:tx>
              <c:dLblPos val="outEnd"/>
            </c:dLbl>
            <c:dLbl>
              <c:idx val="6"/>
              <c:layout>
                <c:manualLayout>
                  <c:x val="8.7279797893605844E-17"/>
                  <c:y val="9.4517958412100068E-3"/>
                </c:manualLayout>
              </c:layout>
              <c:showVal val="1"/>
            </c:dLbl>
            <c:dLbl>
              <c:idx val="7"/>
              <c:layout>
                <c:manualLayout>
                  <c:x val="0"/>
                  <c:y val="1.4177693761814738E-2"/>
                </c:manualLayout>
              </c:layout>
              <c:showVal val="1"/>
            </c:dLbl>
            <c:dLbl>
              <c:idx val="8"/>
              <c:layout>
                <c:manualLayout>
                  <c:x val="2.3803610645711849E-3"/>
                  <c:y val="1.9435728370946911E-2"/>
                </c:manualLayout>
              </c:layout>
              <c:showVal val="1"/>
            </c:dLbl>
            <c:dLbl>
              <c:idx val="9"/>
              <c:layout>
                <c:manualLayout>
                  <c:x val="-2.3822368416117354E-3"/>
                  <c:y val="1.5773804471894221E-2"/>
                </c:manualLayout>
              </c:layout>
              <c:showVal val="1"/>
            </c:dLbl>
            <c:dLbl>
              <c:idx val="11"/>
              <c:layout>
                <c:manualLayout>
                  <c:x val="-2.2768670309653992E-3"/>
                  <c:y val="1.7676423223658481E-2"/>
                </c:manualLayout>
              </c:layout>
              <c:showVal val="1"/>
            </c:dLbl>
            <c:dLbl>
              <c:idx val="12"/>
              <c:layout>
                <c:manualLayout>
                  <c:x val="0"/>
                  <c:y val="1.7687080040652461E-2"/>
                </c:manualLayout>
              </c:layout>
              <c:showVal val="1"/>
            </c:dLbl>
            <c:numFmt formatCode="General" sourceLinked="0"/>
            <c:txPr>
              <a:bodyPr/>
              <a:lstStyle/>
              <a:p>
                <a:pPr>
                  <a:defRPr sz="893" b="1" i="0" baseline="0">
                    <a:latin typeface="Arial" pitchFamily="34" charset="0"/>
                  </a:defRPr>
                </a:pPr>
                <a:endParaRPr lang="ru-RU"/>
              </a:p>
            </c:txPr>
            <c:showVal val="1"/>
          </c:dLbls>
          <c:cat>
            <c:numRef>
              <c:f>Sheet1!$C$1:$O$1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Sheet1!$C$2:$O$2</c:f>
              <c:numCache>
                <c:formatCode>General</c:formatCode>
                <c:ptCount val="13"/>
                <c:pt idx="0">
                  <c:v>1.25</c:v>
                </c:pt>
                <c:pt idx="1">
                  <c:v>2.5</c:v>
                </c:pt>
                <c:pt idx="2">
                  <c:v>0.70000000000000062</c:v>
                </c:pt>
                <c:pt idx="3">
                  <c:v>2.2000000000000002</c:v>
                </c:pt>
                <c:pt idx="4">
                  <c:v>2.48</c:v>
                </c:pt>
                <c:pt idx="5">
                  <c:v>3.44</c:v>
                </c:pt>
                <c:pt idx="6">
                  <c:v>1.06</c:v>
                </c:pt>
                <c:pt idx="7">
                  <c:v>3.25</c:v>
                </c:pt>
                <c:pt idx="8">
                  <c:v>2.14</c:v>
                </c:pt>
                <c:pt idx="9">
                  <c:v>2.48</c:v>
                </c:pt>
                <c:pt idx="10">
                  <c:v>7.81</c:v>
                </c:pt>
                <c:pt idx="11">
                  <c:v>1.26</c:v>
                </c:pt>
                <c:pt idx="12">
                  <c:v>0</c:v>
                </c:pt>
              </c:numCache>
            </c:numRef>
          </c:val>
        </c:ser>
        <c:dLbls>
          <c:showVal val="1"/>
        </c:dLbls>
        <c:gapWidth val="190"/>
        <c:axId val="201958912"/>
        <c:axId val="201960448"/>
      </c:barChart>
      <c:catAx>
        <c:axId val="201958912"/>
        <c:scaling>
          <c:orientation val="minMax"/>
        </c:scaling>
        <c:axPos val="b"/>
        <c:numFmt formatCode="General" sourceLinked="1"/>
        <c:tickLblPos val="nextTo"/>
        <c:spPr>
          <a:ln>
            <a:solidFill>
              <a:schemeClr val="tx1"/>
            </a:solidFill>
          </a:ln>
        </c:spPr>
        <c:txPr>
          <a:bodyPr rot="0" vert="horz"/>
          <a:lstStyle/>
          <a:p>
            <a:pPr>
              <a:defRPr sz="893" b="1" i="0" baseline="0">
                <a:latin typeface="Arial" pitchFamily="34" charset="0"/>
              </a:defRPr>
            </a:pPr>
            <a:endParaRPr lang="ru-RU"/>
          </a:p>
        </c:txPr>
        <c:crossAx val="201960448"/>
        <c:crosses val="autoZero"/>
        <c:auto val="1"/>
        <c:lblAlgn val="ctr"/>
        <c:lblOffset val="100"/>
        <c:tickLblSkip val="1"/>
        <c:tickMarkSkip val="1"/>
      </c:catAx>
      <c:valAx>
        <c:axId val="201960448"/>
        <c:scaling>
          <c:orientation val="minMax"/>
        </c:scaling>
        <c:axPos val="l"/>
        <c:majorGridlines>
          <c:spPr>
            <a:ln>
              <a:solidFill>
                <a:sysClr val="window" lastClr="FFFFFF">
                  <a:lumMod val="75000"/>
                </a:sysClr>
              </a:solidFill>
            </a:ln>
          </c:spPr>
        </c:majorGridlines>
        <c:numFmt formatCode="General" sourceLinked="1"/>
        <c:tickLblPos val="nextTo"/>
        <c:spPr>
          <a:ln>
            <a:solidFill>
              <a:schemeClr val="tx1"/>
            </a:solidFill>
          </a:ln>
        </c:spPr>
        <c:txPr>
          <a:bodyPr rot="0" vert="horz"/>
          <a:lstStyle/>
          <a:p>
            <a:pPr>
              <a:defRPr sz="893" b="1" i="0" baseline="0">
                <a:latin typeface="Arial" pitchFamily="34" charset="0"/>
              </a:defRPr>
            </a:pPr>
            <a:endParaRPr lang="ru-RU"/>
          </a:p>
        </c:txPr>
        <c:crossAx val="201958912"/>
        <c:crosses val="autoZero"/>
        <c:crossBetween val="between"/>
      </c:valAx>
    </c:plotArea>
    <c:plotVisOnly val="1"/>
    <c:dispBlanksAs val="gap"/>
  </c:chart>
  <c:spPr>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23980238904333E-2"/>
          <c:y val="3.7510545556805656E-2"/>
          <c:w val="0.92682926829268364"/>
          <c:h val="0.84169884169894649"/>
        </c:manualLayout>
      </c:layout>
      <c:barChart>
        <c:barDir val="col"/>
        <c:grouping val="clustered"/>
        <c:ser>
          <c:idx val="0"/>
          <c:order val="0"/>
          <c:tx>
            <c:strRef>
              <c:f>Sheet1!$A$2:$B$2</c:f>
              <c:strCache>
                <c:ptCount val="1"/>
                <c:pt idx="0">
                  <c:v>на 100 тыс. нас.</c:v>
                </c:pt>
              </c:strCache>
            </c:strRef>
          </c:tx>
          <c:dLbls>
            <c:dLbl>
              <c:idx val="1"/>
              <c:layout>
                <c:manualLayout>
                  <c:x val="0"/>
                  <c:y val="1.488095238095238E-2"/>
                </c:manualLayout>
              </c:layout>
              <c:tx>
                <c:rich>
                  <a:bodyPr/>
                  <a:lstStyle/>
                  <a:p>
                    <a:pPr>
                      <a:defRPr/>
                    </a:pPr>
                    <a:r>
                      <a:rPr lang="en-US"/>
                      <a:t>0,7</a:t>
                    </a:r>
                    <a:r>
                      <a:rPr lang="ru-RU"/>
                      <a:t>0</a:t>
                    </a:r>
                    <a:endParaRPr lang="en-US"/>
                  </a:p>
                </c:rich>
              </c:tx>
              <c:spPr/>
              <c:dLblPos val="outEnd"/>
            </c:dLbl>
            <c:dLbl>
              <c:idx val="2"/>
              <c:layout>
                <c:manualLayout>
                  <c:x val="0"/>
                  <c:y val="1.488095238095238E-2"/>
                </c:manualLayout>
              </c:layout>
              <c:spPr/>
              <c:txPr>
                <a:bodyPr/>
                <a:lstStyle/>
                <a:p>
                  <a:pPr>
                    <a:defRPr/>
                  </a:pPr>
                  <a:endParaRPr lang="ru-RU"/>
                </a:p>
              </c:txPr>
              <c:dLblPos val="outEnd"/>
              <c:showVal val="1"/>
            </c:dLbl>
            <c:dLbl>
              <c:idx val="3"/>
              <c:layout>
                <c:manualLayout>
                  <c:x val="2.4609326934908332E-3"/>
                  <c:y val="1.488095238095238E-2"/>
                </c:manualLayout>
              </c:layout>
              <c:spPr/>
              <c:txPr>
                <a:bodyPr/>
                <a:lstStyle/>
                <a:p>
                  <a:pPr>
                    <a:defRPr/>
                  </a:pPr>
                  <a:endParaRPr lang="ru-RU"/>
                </a:p>
              </c:txPr>
              <c:dLblPos val="outEnd"/>
              <c:showVal val="1"/>
            </c:dLbl>
            <c:dLbl>
              <c:idx val="4"/>
              <c:layout>
                <c:manualLayout>
                  <c:x val="2.4609326934908332E-3"/>
                  <c:y val="9.9206349206350727E-3"/>
                </c:manualLayout>
              </c:layout>
              <c:showVal val="1"/>
            </c:dLbl>
            <c:dLbl>
              <c:idx val="5"/>
              <c:layout>
                <c:manualLayout>
                  <c:x val="0"/>
                  <c:y val="1.488095238095238E-2"/>
                </c:manualLayout>
              </c:layout>
              <c:spPr/>
              <c:txPr>
                <a:bodyPr/>
                <a:lstStyle/>
                <a:p>
                  <a:pPr>
                    <a:defRPr/>
                  </a:pPr>
                  <a:endParaRPr lang="ru-RU"/>
                </a:p>
              </c:txPr>
              <c:dLblPos val="outEnd"/>
              <c:showVal val="1"/>
            </c:dLbl>
            <c:dLbl>
              <c:idx val="6"/>
              <c:layout>
                <c:manualLayout>
                  <c:x val="0"/>
                  <c:y val="1.4866110486189231E-2"/>
                </c:manualLayout>
              </c:layout>
              <c:spPr/>
              <c:txPr>
                <a:bodyPr/>
                <a:lstStyle/>
                <a:p>
                  <a:pPr>
                    <a:defRPr/>
                  </a:pPr>
                  <a:endParaRPr lang="ru-RU"/>
                </a:p>
              </c:txPr>
              <c:dLblPos val="outEnd"/>
              <c:showVal val="1"/>
            </c:dLbl>
            <c:dLbl>
              <c:idx val="8"/>
              <c:layout>
                <c:manualLayout>
                  <c:x val="0"/>
                  <c:y val="1.488095238095238E-2"/>
                </c:manualLayout>
              </c:layout>
              <c:showVal val="1"/>
            </c:dLbl>
            <c:dLbl>
              <c:idx val="9"/>
              <c:layout>
                <c:manualLayout>
                  <c:x val="0"/>
                  <c:y val="1.488095238095238E-2"/>
                </c:manualLayout>
              </c:layout>
              <c:showVal val="1"/>
            </c:dLbl>
            <c:dLbl>
              <c:idx val="10"/>
              <c:layout>
                <c:manualLayout>
                  <c:x val="0"/>
                  <c:y val="1.488095238095238E-2"/>
                </c:manualLayout>
              </c:layout>
              <c:showVal val="1"/>
            </c:dLbl>
            <c:dLbl>
              <c:idx val="11"/>
              <c:layout>
                <c:manualLayout>
                  <c:x val="0"/>
                  <c:y val="1.7056526941925883E-2"/>
                </c:manualLayout>
              </c:layout>
              <c:showVal val="1"/>
            </c:dLbl>
            <c:dLbl>
              <c:idx val="12"/>
              <c:layout>
                <c:manualLayout>
                  <c:x val="-2.3887523245663652E-3"/>
                  <c:y val="1.7056526941925883E-2"/>
                </c:manualLayout>
              </c:layout>
              <c:showVal val="1"/>
            </c:dLbl>
            <c:showVal val="1"/>
          </c:dLbls>
          <c:cat>
            <c:numRef>
              <c:f>Sheet1!$C$1:$P$1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Sheet1!$C$2:$P$2</c:f>
              <c:numCache>
                <c:formatCode>General</c:formatCode>
                <c:ptCount val="14"/>
                <c:pt idx="0">
                  <c:v>1.1599999999999899</c:v>
                </c:pt>
                <c:pt idx="1">
                  <c:v>0.70000000000000062</c:v>
                </c:pt>
                <c:pt idx="2">
                  <c:v>0.23</c:v>
                </c:pt>
                <c:pt idx="3">
                  <c:v>8.0000000000000043E-2</c:v>
                </c:pt>
                <c:pt idx="4">
                  <c:v>0.39000000000000257</c:v>
                </c:pt>
                <c:pt idx="5">
                  <c:v>8.0000000000000043E-2</c:v>
                </c:pt>
                <c:pt idx="6">
                  <c:v>8.0000000000000043E-2</c:v>
                </c:pt>
                <c:pt idx="7">
                  <c:v>0.16</c:v>
                </c:pt>
                <c:pt idx="8">
                  <c:v>8.0000000000000043E-2</c:v>
                </c:pt>
                <c:pt idx="9">
                  <c:v>0.25</c:v>
                </c:pt>
                <c:pt idx="10">
                  <c:v>0</c:v>
                </c:pt>
                <c:pt idx="11">
                  <c:v>0</c:v>
                </c:pt>
                <c:pt idx="12">
                  <c:v>0</c:v>
                </c:pt>
                <c:pt idx="13">
                  <c:v>8.0000000000000043E-2</c:v>
                </c:pt>
              </c:numCache>
            </c:numRef>
          </c:val>
        </c:ser>
        <c:dLbls>
          <c:showVal val="1"/>
        </c:dLbls>
        <c:gapWidth val="190"/>
        <c:axId val="201949568"/>
        <c:axId val="201951104"/>
      </c:barChart>
      <c:catAx>
        <c:axId val="201949568"/>
        <c:scaling>
          <c:orientation val="minMax"/>
        </c:scaling>
        <c:axPos val="b"/>
        <c:numFmt formatCode="General" sourceLinked="1"/>
        <c:tickLblPos val="nextTo"/>
        <c:spPr>
          <a:ln>
            <a:solidFill>
              <a:schemeClr val="tx1"/>
            </a:solidFill>
          </a:ln>
        </c:spPr>
        <c:txPr>
          <a:bodyPr rot="0" vert="horz"/>
          <a:lstStyle/>
          <a:p>
            <a:pPr>
              <a:defRPr/>
            </a:pPr>
            <a:endParaRPr lang="ru-RU"/>
          </a:p>
        </c:txPr>
        <c:crossAx val="201951104"/>
        <c:crosses val="autoZero"/>
        <c:auto val="1"/>
        <c:lblAlgn val="ctr"/>
        <c:lblOffset val="100"/>
        <c:tickLblSkip val="1"/>
        <c:tickMarkSkip val="1"/>
      </c:catAx>
      <c:valAx>
        <c:axId val="201951104"/>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01949568"/>
        <c:crosses val="autoZero"/>
        <c:crossBetween val="between"/>
      </c:valAx>
      <c:spPr>
        <a:ln>
          <a:noFill/>
        </a:ln>
      </c:spPr>
    </c:plotArea>
    <c:plotVisOnly val="1"/>
    <c:dispBlanksAs val="gap"/>
  </c:chart>
  <c:spPr>
    <a:ln>
      <a:noFill/>
    </a:ln>
  </c:spPr>
  <c:txPr>
    <a:bodyPr/>
    <a:lstStyle/>
    <a:p>
      <a:pPr>
        <a:defRPr sz="895" b="1" i="0" baseline="0">
          <a:latin typeface="Arial" pitchFamily="34" charset="0"/>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056597655022882"/>
          <c:y val="0"/>
        </c:manualLayout>
      </c:layout>
    </c:title>
    <c:plotArea>
      <c:layout>
        <c:manualLayout>
          <c:layoutTarget val="inner"/>
          <c:xMode val="edge"/>
          <c:yMode val="edge"/>
          <c:x val="7.7790189553309533E-2"/>
          <c:y val="4.7210184899357563E-2"/>
          <c:w val="0.89308176100628756"/>
          <c:h val="0.82403433476394849"/>
        </c:manualLayout>
      </c:layout>
      <c:barChart>
        <c:barDir val="col"/>
        <c:grouping val="clustered"/>
        <c:ser>
          <c:idx val="0"/>
          <c:order val="0"/>
          <c:tx>
            <c:strRef>
              <c:f>Sheet1!$A$2:$B$2</c:f>
              <c:strCache>
                <c:ptCount val="1"/>
                <c:pt idx="0">
                  <c:v>на 100 тыс. нас.</c:v>
                </c:pt>
              </c:strCache>
            </c:strRef>
          </c:tx>
          <c:dLbls>
            <c:dLbl>
              <c:idx val="0"/>
              <c:layout>
                <c:manualLayout>
                  <c:x val="-7.1493978088612523E-3"/>
                  <c:y val="2.1177514479234816E-2"/>
                </c:manualLayout>
              </c:layout>
              <c:dLblPos val="outEnd"/>
              <c:showVal val="1"/>
            </c:dLbl>
            <c:dLbl>
              <c:idx val="1"/>
              <c:layout>
                <c:manualLayout>
                  <c:x val="1.7130838097293081E-3"/>
                  <c:y val="1.5688825120789649E-2"/>
                </c:manualLayout>
              </c:layout>
              <c:dLblPos val="outEnd"/>
              <c:showVal val="1"/>
            </c:dLbl>
            <c:dLbl>
              <c:idx val="2"/>
              <c:layout>
                <c:manualLayout>
                  <c:x val="-8.8939984853919005E-3"/>
                  <c:y val="1.626191449242461E-2"/>
                </c:manualLayout>
              </c:layout>
              <c:dLblPos val="outEnd"/>
              <c:showVal val="1"/>
            </c:dLbl>
            <c:dLbl>
              <c:idx val="3"/>
              <c:layout>
                <c:manualLayout>
                  <c:x val="-1.0268579441270861E-3"/>
                  <c:y val="1.5688825120789649E-2"/>
                </c:manualLayout>
              </c:layout>
              <c:dLblPos val="outEnd"/>
              <c:showVal val="1"/>
            </c:dLbl>
            <c:dLbl>
              <c:idx val="4"/>
              <c:layout>
                <c:manualLayout>
                  <c:x val="-6.7977419726122134E-3"/>
                  <c:y val="2.0553759985986787E-2"/>
                </c:manualLayout>
              </c:layout>
              <c:dLblPos val="outEnd"/>
              <c:showVal val="1"/>
            </c:dLbl>
            <c:dLbl>
              <c:idx val="5"/>
              <c:layout>
                <c:manualLayout>
                  <c:x val="-9.245910701301421E-3"/>
                  <c:y val="2.2399623489039452E-2"/>
                </c:manualLayout>
              </c:layout>
              <c:dLblPos val="outEnd"/>
              <c:showVal val="1"/>
            </c:dLbl>
            <c:dLbl>
              <c:idx val="6"/>
              <c:layout>
                <c:manualLayout>
                  <c:x val="-9.2521430974284743E-17"/>
                  <c:y val="1.6524373450839985E-2"/>
                </c:manualLayout>
              </c:layout>
              <c:showVal val="1"/>
            </c:dLbl>
            <c:dLbl>
              <c:idx val="7"/>
              <c:layout>
                <c:manualLayout>
                  <c:x val="0"/>
                  <c:y val="2.2055762002698012E-2"/>
                </c:manualLayout>
              </c:layout>
              <c:showVal val="1"/>
            </c:dLbl>
            <c:dLbl>
              <c:idx val="8"/>
              <c:layout>
                <c:manualLayout>
                  <c:x val="0"/>
                  <c:y val="2.2055762002698012E-2"/>
                </c:manualLayout>
              </c:layout>
              <c:showVal val="1"/>
            </c:dLbl>
            <c:dLbl>
              <c:idx val="9"/>
              <c:layout>
                <c:manualLayout>
                  <c:x val="0"/>
                  <c:y val="2.2055762002698012E-2"/>
                </c:manualLayout>
              </c:layout>
              <c:showVal val="1"/>
            </c:dLbl>
            <c:dLbl>
              <c:idx val="10"/>
              <c:layout>
                <c:manualLayout>
                  <c:x val="0"/>
                  <c:y val="1.6535915181564411E-2"/>
                </c:manualLayout>
              </c:layout>
              <c:showVal val="1"/>
            </c:dLbl>
            <c:dLbl>
              <c:idx val="12"/>
              <c:layout>
                <c:manualLayout>
                  <c:x val="-2.3184604400364891E-3"/>
                  <c:y val="2.2055762002698012E-2"/>
                </c:manualLayout>
              </c:layout>
              <c:showVal val="1"/>
            </c:dLbl>
            <c:dLbl>
              <c:idx val="13"/>
              <c:layout>
                <c:manualLayout>
                  <c:x val="0"/>
                  <c:y val="1.6532877644989345E-2"/>
                </c:manualLayout>
              </c:layout>
              <c:showVal val="1"/>
            </c:dLbl>
            <c:txPr>
              <a:bodyPr/>
              <a:lstStyle/>
              <a:p>
                <a:pPr>
                  <a:defRPr sz="900" b="1" i="0" baseline="0">
                    <a:latin typeface="Arial" pitchFamily="34" charset="0"/>
                  </a:defRPr>
                </a:pPr>
                <a:endParaRPr lang="ru-RU"/>
              </a:p>
            </c:txPr>
            <c:showVal val="1"/>
          </c:dLbls>
          <c:cat>
            <c:numRef>
              <c:f>Sheet1!$C$1:$P$1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Sheet1!$C$2:$P$2</c:f>
              <c:numCache>
                <c:formatCode>General</c:formatCode>
                <c:ptCount val="14"/>
                <c:pt idx="0">
                  <c:v>0</c:v>
                </c:pt>
                <c:pt idx="1">
                  <c:v>8.0000000000000043E-2</c:v>
                </c:pt>
                <c:pt idx="2">
                  <c:v>0</c:v>
                </c:pt>
                <c:pt idx="3">
                  <c:v>8.0000000000000043E-2</c:v>
                </c:pt>
                <c:pt idx="4">
                  <c:v>0</c:v>
                </c:pt>
                <c:pt idx="5">
                  <c:v>0</c:v>
                </c:pt>
                <c:pt idx="6">
                  <c:v>2.08</c:v>
                </c:pt>
                <c:pt idx="7">
                  <c:v>0</c:v>
                </c:pt>
                <c:pt idx="8">
                  <c:v>0</c:v>
                </c:pt>
                <c:pt idx="9">
                  <c:v>0</c:v>
                </c:pt>
                <c:pt idx="10">
                  <c:v>0.17</c:v>
                </c:pt>
                <c:pt idx="11">
                  <c:v>4.74</c:v>
                </c:pt>
                <c:pt idx="12">
                  <c:v>0</c:v>
                </c:pt>
                <c:pt idx="13">
                  <c:v>0</c:v>
                </c:pt>
              </c:numCache>
            </c:numRef>
          </c:val>
        </c:ser>
        <c:axId val="202294400"/>
        <c:axId val="202295936"/>
      </c:barChart>
      <c:catAx>
        <c:axId val="202294400"/>
        <c:scaling>
          <c:orientation val="minMax"/>
        </c:scaling>
        <c:axPos val="b"/>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02295936"/>
        <c:crosses val="autoZero"/>
        <c:auto val="1"/>
        <c:lblAlgn val="ctr"/>
        <c:lblOffset val="100"/>
        <c:tickLblSkip val="1"/>
        <c:tickMarkSkip val="1"/>
      </c:catAx>
      <c:valAx>
        <c:axId val="202295936"/>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900" b="1" i="0" baseline="0">
                <a:latin typeface="Arial" pitchFamily="34" charset="0"/>
              </a:defRPr>
            </a:pPr>
            <a:endParaRPr lang="ru-RU"/>
          </a:p>
        </c:txPr>
        <c:crossAx val="202294400"/>
        <c:crosses val="autoZero"/>
        <c:crossBetween val="between"/>
      </c:valAx>
    </c:plotArea>
    <c:plotVisOnly val="1"/>
    <c:dispBlanksAs val="gap"/>
  </c:chart>
  <c:spPr>
    <a:ln>
      <a:noFill/>
    </a:ln>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236655359601988"/>
          <c:y val="0"/>
        </c:manualLayout>
      </c:layout>
    </c:title>
    <c:plotArea>
      <c:layout>
        <c:manualLayout>
          <c:layoutTarget val="inner"/>
          <c:xMode val="edge"/>
          <c:yMode val="edge"/>
          <c:x val="4.9618320610687022E-2"/>
          <c:y val="4.6413502109704664E-2"/>
          <c:w val="0.94656488549618323"/>
          <c:h val="0.82700421940934365"/>
        </c:manualLayout>
      </c:layout>
      <c:barChart>
        <c:barDir val="col"/>
        <c:grouping val="clustered"/>
        <c:ser>
          <c:idx val="0"/>
          <c:order val="0"/>
          <c:tx>
            <c:strRef>
              <c:f>Sheet1!$A$2:$B$2</c:f>
              <c:strCache>
                <c:ptCount val="1"/>
                <c:pt idx="0">
                  <c:v>на 100 тыс. нас.</c:v>
                </c:pt>
              </c:strCache>
            </c:strRef>
          </c:tx>
          <c:dLbls>
            <c:dLbl>
              <c:idx val="0"/>
              <c:layout>
                <c:manualLayout>
                  <c:x val="-1.2857175861055101E-5"/>
                  <c:y val="2.1203502967967656E-2"/>
                </c:manualLayout>
              </c:layout>
              <c:tx>
                <c:rich>
                  <a:bodyPr/>
                  <a:lstStyle/>
                  <a:p>
                    <a:r>
                      <a:rPr lang="ru-RU" baseline="0"/>
                      <a:t>2,30</a:t>
                    </a:r>
                  </a:p>
                </c:rich>
              </c:tx>
              <c:dLblPos val="outEnd"/>
            </c:dLbl>
            <c:dLbl>
              <c:idx val="1"/>
              <c:layout>
                <c:manualLayout>
                  <c:x val="-1.2281656707061861E-3"/>
                  <c:y val="-2.3235357857657292E-3"/>
                </c:manualLayout>
              </c:layout>
              <c:tx>
                <c:rich>
                  <a:bodyPr/>
                  <a:lstStyle/>
                  <a:p>
                    <a:r>
                      <a:rPr lang="ru-RU" baseline="0"/>
                      <a:t>0,39</a:t>
                    </a:r>
                  </a:p>
                </c:rich>
              </c:tx>
              <c:dLblPos val="outEnd"/>
            </c:dLbl>
            <c:dLbl>
              <c:idx val="2"/>
              <c:layout>
                <c:manualLayout>
                  <c:x val="-5.3795621442014356E-3"/>
                  <c:y val="1.7899894191585566E-2"/>
                </c:manualLayout>
              </c:layout>
              <c:dLblPos val="outEnd"/>
              <c:showVal val="1"/>
            </c:dLbl>
            <c:dLbl>
              <c:idx val="3"/>
              <c:layout>
                <c:manualLayout>
                  <c:x val="-7.1819903316099904E-3"/>
                  <c:y val="1.9025159051044505E-2"/>
                </c:manualLayout>
              </c:layout>
              <c:dLblPos val="outEnd"/>
              <c:showVal val="1"/>
            </c:dLbl>
            <c:dLbl>
              <c:idx val="4"/>
              <c:layout>
                <c:manualLayout>
                  <c:x val="-3.602160785554781E-3"/>
                  <c:y val="1.4343201703133041E-2"/>
                </c:manualLayout>
              </c:layout>
              <c:dLblPos val="outEnd"/>
              <c:showVal val="1"/>
            </c:dLbl>
            <c:dLbl>
              <c:idx val="5"/>
              <c:layout>
                <c:manualLayout>
                  <c:x val="6.6363397623927037E-4"/>
                  <c:y val="1.7132864318033843E-2"/>
                </c:manualLayout>
              </c:layout>
              <c:dLblPos val="outEnd"/>
              <c:showVal val="1"/>
            </c:dLbl>
            <c:dLbl>
              <c:idx val="6"/>
              <c:layout>
                <c:manualLayout>
                  <c:x val="-9.3548266603154455E-17"/>
                  <c:y val="1.7172295363480361E-2"/>
                </c:manualLayout>
              </c:layout>
              <c:showVal val="1"/>
            </c:dLbl>
            <c:dLbl>
              <c:idx val="7"/>
              <c:layout>
                <c:manualLayout>
                  <c:x val="-2.5513795643118792E-3"/>
                  <c:y val="1.7176908490257953E-2"/>
                </c:manualLayout>
              </c:layout>
              <c:showVal val="1"/>
            </c:dLbl>
            <c:dLbl>
              <c:idx val="8"/>
              <c:layout>
                <c:manualLayout>
                  <c:x val="-2.5513458349279245E-3"/>
                  <c:y val="1.7172295363480361E-2"/>
                </c:manualLayout>
              </c:layout>
              <c:showVal val="1"/>
            </c:dLbl>
            <c:dLbl>
              <c:idx val="9"/>
              <c:layout>
                <c:manualLayout>
                  <c:x val="0"/>
                  <c:y val="1.7176908490257953E-2"/>
                </c:manualLayout>
              </c:layout>
              <c:showVal val="1"/>
            </c:dLbl>
            <c:dLbl>
              <c:idx val="10"/>
              <c:layout>
                <c:manualLayout>
                  <c:x val="0"/>
                  <c:y val="1.7189307315947349E-2"/>
                </c:manualLayout>
              </c:layout>
              <c:showVal val="1"/>
            </c:dLbl>
            <c:dLbl>
              <c:idx val="11"/>
              <c:layout>
                <c:manualLayout>
                  <c:x val="-2.2276461410416222E-3"/>
                  <c:y val="1.7174431823816477E-2"/>
                </c:manualLayout>
              </c:layout>
              <c:showVal val="1"/>
            </c:dLbl>
            <c:dLbl>
              <c:idx val="12"/>
              <c:layout>
                <c:manualLayout>
                  <c:x val="0"/>
                  <c:y val="1.7174431823816477E-2"/>
                </c:manualLayout>
              </c:layout>
              <c:showVal val="1"/>
            </c:dLbl>
            <c:dLbl>
              <c:idx val="13"/>
              <c:layout>
                <c:manualLayout>
                  <c:x val="0"/>
                  <c:y val="1.1449621215877755E-2"/>
                </c:manualLayout>
              </c:layout>
              <c:showVal val="1"/>
            </c:dLbl>
            <c:txPr>
              <a:bodyPr/>
              <a:lstStyle/>
              <a:p>
                <a:pPr>
                  <a:defRPr baseline="0"/>
                </a:pPr>
                <a:endParaRPr lang="ru-RU"/>
              </a:p>
            </c:txPr>
            <c:showVal val="1"/>
          </c:dLbls>
          <c:cat>
            <c:numRef>
              <c:f>Sheet1!$C$1:$P$1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Sheet1!$C$2:$P$2</c:f>
              <c:numCache>
                <c:formatCode>General</c:formatCode>
                <c:ptCount val="14"/>
                <c:pt idx="0">
                  <c:v>2.2999999999999998</c:v>
                </c:pt>
                <c:pt idx="1">
                  <c:v>0.39000000000000257</c:v>
                </c:pt>
                <c:pt idx="2">
                  <c:v>8.0000000000000043E-2</c:v>
                </c:pt>
                <c:pt idx="3">
                  <c:v>0</c:v>
                </c:pt>
                <c:pt idx="4">
                  <c:v>0.16</c:v>
                </c:pt>
                <c:pt idx="5">
                  <c:v>0</c:v>
                </c:pt>
                <c:pt idx="6">
                  <c:v>0</c:v>
                </c:pt>
                <c:pt idx="7">
                  <c:v>0</c:v>
                </c:pt>
                <c:pt idx="8">
                  <c:v>0</c:v>
                </c:pt>
                <c:pt idx="9">
                  <c:v>0</c:v>
                </c:pt>
                <c:pt idx="10">
                  <c:v>0</c:v>
                </c:pt>
                <c:pt idx="11">
                  <c:v>0</c:v>
                </c:pt>
                <c:pt idx="12">
                  <c:v>0</c:v>
                </c:pt>
                <c:pt idx="13">
                  <c:v>0</c:v>
                </c:pt>
              </c:numCache>
            </c:numRef>
          </c:val>
        </c:ser>
        <c:axId val="202287360"/>
        <c:axId val="202354688"/>
      </c:barChart>
      <c:catAx>
        <c:axId val="202287360"/>
        <c:scaling>
          <c:orientation val="minMax"/>
        </c:scaling>
        <c:axPos val="b"/>
        <c:numFmt formatCode="General" sourceLinked="1"/>
        <c:tickLblPos val="nextTo"/>
        <c:spPr>
          <a:ln>
            <a:solidFill>
              <a:schemeClr val="tx1"/>
            </a:solidFill>
          </a:ln>
        </c:spPr>
        <c:txPr>
          <a:bodyPr rot="0" vert="horz"/>
          <a:lstStyle/>
          <a:p>
            <a:pPr>
              <a:defRPr/>
            </a:pPr>
            <a:endParaRPr lang="ru-RU"/>
          </a:p>
        </c:txPr>
        <c:crossAx val="202354688"/>
        <c:crosses val="autoZero"/>
        <c:auto val="1"/>
        <c:lblAlgn val="ctr"/>
        <c:lblOffset val="100"/>
        <c:tickLblSkip val="1"/>
        <c:tickMarkSkip val="1"/>
      </c:catAx>
      <c:valAx>
        <c:axId val="202354688"/>
        <c:scaling>
          <c:orientation val="minMax"/>
          <c:max val="3"/>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02287360"/>
        <c:crosses val="autoZero"/>
        <c:crossBetween val="between"/>
        <c:majorUnit val="0.5"/>
      </c:valAx>
      <c:spPr>
        <a:ln>
          <a:noFill/>
        </a:ln>
      </c:spPr>
    </c:plotArea>
    <c:plotVisOnly val="1"/>
    <c:dispBlanksAs val="gap"/>
  </c:chart>
  <c:spPr>
    <a:ln>
      <a:noFill/>
    </a:ln>
  </c:spPr>
  <c:txPr>
    <a:bodyPr/>
    <a:lstStyle/>
    <a:p>
      <a:pPr>
        <a:defRPr sz="897" b="1" i="0" baseline="0">
          <a:latin typeface="Arial" pitchFamily="34" charset="0"/>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209494798552988"/>
          <c:y val="0"/>
        </c:manualLayout>
      </c:layout>
    </c:title>
    <c:plotArea>
      <c:layout>
        <c:manualLayout>
          <c:layoutTarget val="inner"/>
          <c:xMode val="edge"/>
          <c:yMode val="edge"/>
          <c:x val="7.7618175346604271E-2"/>
          <c:y val="2.6976733240580999E-2"/>
          <c:w val="0.92238183404043472"/>
          <c:h val="0.72850678733031649"/>
        </c:manualLayout>
      </c:layout>
      <c:barChart>
        <c:barDir val="col"/>
        <c:grouping val="clustered"/>
        <c:ser>
          <c:idx val="0"/>
          <c:order val="0"/>
          <c:tx>
            <c:strRef>
              <c:f>Sheet1!$A$2:$B$2</c:f>
              <c:strCache>
                <c:ptCount val="1"/>
                <c:pt idx="0">
                  <c:v>на 100 тыс. нас.</c:v>
                </c:pt>
              </c:strCache>
            </c:strRef>
          </c:tx>
          <c:dLbls>
            <c:dLbl>
              <c:idx val="0"/>
              <c:layout>
                <c:manualLayout>
                  <c:x val="9.9686066036361779E-18"/>
                  <c:y val="6.6731821710792104E-3"/>
                </c:manualLayout>
              </c:layout>
              <c:tx>
                <c:rich>
                  <a:bodyPr/>
                  <a:lstStyle/>
                  <a:p>
                    <a:r>
                      <a:rPr lang="ru-RU" sz="800" b="1" i="0" baseline="0"/>
                      <a:t>301,8</a:t>
                    </a:r>
                  </a:p>
                </c:rich>
              </c:tx>
              <c:dLblPos val="outEnd"/>
            </c:dLbl>
            <c:dLbl>
              <c:idx val="1"/>
              <c:layout>
                <c:manualLayout>
                  <c:x val="2.0425151454425052E-3"/>
                  <c:y val="7.4836016146682142E-3"/>
                </c:manualLayout>
              </c:layout>
              <c:dLblPos val="outEnd"/>
              <c:showVal val="1"/>
            </c:dLbl>
            <c:dLbl>
              <c:idx val="2"/>
              <c:layout>
                <c:manualLayout>
                  <c:x val="6.6791149384913934E-6"/>
                  <c:y val="8.2843022488059727E-3"/>
                </c:manualLayout>
              </c:layout>
              <c:dLblPos val="outEnd"/>
              <c:showVal val="1"/>
            </c:dLbl>
            <c:dLbl>
              <c:idx val="3"/>
              <c:layout>
                <c:manualLayout>
                  <c:x val="-9.0581565948137947E-4"/>
                  <c:y val="1.0735926167063989E-2"/>
                </c:manualLayout>
              </c:layout>
              <c:dLblPos val="outEnd"/>
              <c:showVal val="1"/>
            </c:dLbl>
            <c:dLbl>
              <c:idx val="4"/>
              <c:layout>
                <c:manualLayout>
                  <c:x val="-9.8036967174282611E-4"/>
                  <c:y val="2.2243162652438612E-3"/>
                </c:manualLayout>
              </c:layout>
              <c:dLblPos val="outEnd"/>
              <c:showVal val="1"/>
            </c:dLbl>
            <c:dLbl>
              <c:idx val="5"/>
              <c:layout>
                <c:manualLayout>
                  <c:x val="0"/>
                  <c:y val="1.4051522248243483E-2"/>
                </c:manualLayout>
              </c:layout>
              <c:showVal val="1"/>
            </c:dLbl>
            <c:dLbl>
              <c:idx val="6"/>
              <c:layout>
                <c:manualLayout>
                  <c:x val="0"/>
                  <c:y val="1.2152776670241254E-2"/>
                </c:manualLayout>
              </c:layout>
              <c:showVal val="1"/>
            </c:dLbl>
            <c:dLbl>
              <c:idx val="7"/>
              <c:layout>
                <c:manualLayout>
                  <c:x val="0"/>
                  <c:y val="6.8792371245957806E-3"/>
                </c:manualLayout>
              </c:layout>
              <c:showVal val="1"/>
            </c:dLbl>
            <c:dLbl>
              <c:idx val="8"/>
              <c:layout>
                <c:manualLayout>
                  <c:x val="-4.3499876778892357E-3"/>
                  <c:y val="8.1018511134941709E-3"/>
                </c:manualLayout>
              </c:layout>
              <c:showVal val="1"/>
            </c:dLbl>
            <c:dLbl>
              <c:idx val="9"/>
              <c:layout>
                <c:manualLayout>
                  <c:x val="0"/>
                  <c:y val="8.1018511134941709E-3"/>
                </c:manualLayout>
              </c:layout>
              <c:showVal val="1"/>
            </c:dLbl>
            <c:dLbl>
              <c:idx val="10"/>
              <c:layout>
                <c:manualLayout>
                  <c:x val="-4.3801057392632977E-3"/>
                  <c:y val="-1.4539674435089186E-2"/>
                </c:manualLayout>
              </c:layout>
              <c:showVal val="1"/>
            </c:dLbl>
            <c:dLbl>
              <c:idx val="11"/>
              <c:layout>
                <c:manualLayout>
                  <c:x val="0"/>
                  <c:y val="1.2152776670241254E-2"/>
                </c:manualLayout>
              </c:layout>
              <c:showVal val="1"/>
            </c:dLbl>
            <c:dLbl>
              <c:idx val="12"/>
              <c:layout>
                <c:manualLayout>
                  <c:x val="0"/>
                  <c:y val="9.0565434952981395E-3"/>
                </c:manualLayout>
              </c:layout>
              <c:showVal val="1"/>
            </c:dLbl>
            <c:txPr>
              <a:bodyPr/>
              <a:lstStyle/>
              <a:p>
                <a:pPr>
                  <a:defRPr sz="800" b="1" i="0" baseline="0"/>
                </a:pPr>
                <a:endParaRPr lang="ru-RU"/>
              </a:p>
            </c:txPr>
            <c:showVal val="1"/>
          </c:dLbls>
          <c:cat>
            <c:numRef>
              <c:f>Sheet1!$C$1:$O$1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Sheet1!$C$2:$O$2</c:f>
              <c:numCache>
                <c:formatCode>General</c:formatCode>
                <c:ptCount val="13"/>
                <c:pt idx="0">
                  <c:v>301.8</c:v>
                </c:pt>
                <c:pt idx="1">
                  <c:v>9.2000000000000011</c:v>
                </c:pt>
                <c:pt idx="2">
                  <c:v>126.6</c:v>
                </c:pt>
                <c:pt idx="3">
                  <c:v>1.6</c:v>
                </c:pt>
                <c:pt idx="4">
                  <c:v>41.46</c:v>
                </c:pt>
                <c:pt idx="5">
                  <c:v>0.96000000000000063</c:v>
                </c:pt>
                <c:pt idx="6">
                  <c:v>1.6400000000000001</c:v>
                </c:pt>
                <c:pt idx="7">
                  <c:v>52.52</c:v>
                </c:pt>
                <c:pt idx="8">
                  <c:v>14.54</c:v>
                </c:pt>
                <c:pt idx="9">
                  <c:v>10.42</c:v>
                </c:pt>
                <c:pt idx="10">
                  <c:v>32.07</c:v>
                </c:pt>
                <c:pt idx="11">
                  <c:v>28.95</c:v>
                </c:pt>
                <c:pt idx="12">
                  <c:v>5.6</c:v>
                </c:pt>
              </c:numCache>
            </c:numRef>
          </c:val>
        </c:ser>
        <c:dLbls>
          <c:showVal val="1"/>
        </c:dLbls>
        <c:axId val="202202496"/>
        <c:axId val="202204288"/>
      </c:barChart>
      <c:catAx>
        <c:axId val="202202496"/>
        <c:scaling>
          <c:orientation val="minMax"/>
        </c:scaling>
        <c:axPos val="b"/>
        <c:numFmt formatCode="General" sourceLinked="1"/>
        <c:tickLblPos val="nextTo"/>
        <c:spPr>
          <a:ln>
            <a:solidFill>
              <a:schemeClr val="tx1"/>
            </a:solidFill>
          </a:ln>
        </c:spPr>
        <c:txPr>
          <a:bodyPr rot="0" vert="horz"/>
          <a:lstStyle/>
          <a:p>
            <a:pPr>
              <a:defRPr/>
            </a:pPr>
            <a:endParaRPr lang="ru-RU"/>
          </a:p>
        </c:txPr>
        <c:crossAx val="202204288"/>
        <c:crosses val="autoZero"/>
        <c:auto val="1"/>
        <c:lblAlgn val="ctr"/>
        <c:lblOffset val="100"/>
        <c:tickLblSkip val="1"/>
        <c:tickMarkSkip val="1"/>
      </c:catAx>
      <c:valAx>
        <c:axId val="202204288"/>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02202496"/>
        <c:crosses val="autoZero"/>
        <c:crossBetween val="between"/>
      </c:valAx>
      <c:spPr>
        <a:ln>
          <a:noFill/>
        </a:ln>
      </c:spPr>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0501146328849606E-2"/>
          <c:y val="2.8321708089831608E-2"/>
          <c:w val="0.93949885367119912"/>
          <c:h val="0.57364423771300321"/>
        </c:manualLayout>
      </c:layout>
      <c:lineChart>
        <c:grouping val="standard"/>
        <c:ser>
          <c:idx val="0"/>
          <c:order val="0"/>
          <c:tx>
            <c:strRef>
              <c:f>Лист1!$B$1</c:f>
              <c:strCache>
                <c:ptCount val="1"/>
                <c:pt idx="0">
                  <c:v>Показатель рождаемости на 1000 человек</c:v>
                </c:pt>
              </c:strCache>
            </c:strRef>
          </c:tx>
          <c:spPr>
            <a:ln w="38100">
              <a:solidFill>
                <a:srgbClr val="E20C6D"/>
              </a:solidFill>
              <a:prstDash val="lgDash"/>
            </a:ln>
          </c:spPr>
          <c:marker>
            <c:symbol val="none"/>
          </c:marker>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10.9</c:v>
                </c:pt>
                <c:pt idx="1">
                  <c:v>11.4</c:v>
                </c:pt>
                <c:pt idx="2">
                  <c:v>11.1</c:v>
                </c:pt>
                <c:pt idx="3">
                  <c:v>11</c:v>
                </c:pt>
                <c:pt idx="4">
                  <c:v>11.4</c:v>
                </c:pt>
                <c:pt idx="5">
                  <c:v>10.9</c:v>
                </c:pt>
                <c:pt idx="6">
                  <c:v>9.5</c:v>
                </c:pt>
                <c:pt idx="7">
                  <c:v>9.2000000000000011</c:v>
                </c:pt>
                <c:pt idx="8">
                  <c:v>8.3000000000000007</c:v>
                </c:pt>
                <c:pt idx="9">
                  <c:v>8</c:v>
                </c:pt>
              </c:numCache>
            </c:numRef>
          </c:val>
        </c:ser>
        <c:ser>
          <c:idx val="1"/>
          <c:order val="1"/>
          <c:tx>
            <c:strRef>
              <c:f>Лист1!$C$1</c:f>
              <c:strCache>
                <c:ptCount val="1"/>
                <c:pt idx="0">
                  <c:v>Показатель смертности на 1000 человек</c:v>
                </c:pt>
              </c:strCache>
            </c:strRef>
          </c:tx>
          <c:spPr>
            <a:ln w="38100">
              <a:solidFill>
                <a:srgbClr val="1F497D">
                  <a:lumMod val="75000"/>
                </a:srgbClr>
              </a:solidFill>
            </a:ln>
          </c:spPr>
          <c:marker>
            <c:symbol val="none"/>
          </c:marker>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16.100000000000001</c:v>
                </c:pt>
                <c:pt idx="1">
                  <c:v>16.2</c:v>
                </c:pt>
                <c:pt idx="2">
                  <c:v>15.9</c:v>
                </c:pt>
                <c:pt idx="3">
                  <c:v>16</c:v>
                </c:pt>
                <c:pt idx="4">
                  <c:v>15.8</c:v>
                </c:pt>
                <c:pt idx="5">
                  <c:v>15.6</c:v>
                </c:pt>
                <c:pt idx="6">
                  <c:v>15.3</c:v>
                </c:pt>
                <c:pt idx="7">
                  <c:v>15.2</c:v>
                </c:pt>
                <c:pt idx="8">
                  <c:v>14.7</c:v>
                </c:pt>
                <c:pt idx="9">
                  <c:v>16.899999999999999</c:v>
                </c:pt>
              </c:numCache>
            </c:numRef>
          </c:val>
        </c:ser>
        <c:marker val="1"/>
        <c:axId val="141680000"/>
        <c:axId val="141685888"/>
      </c:lineChart>
      <c:catAx>
        <c:axId val="141680000"/>
        <c:scaling>
          <c:orientation val="minMax"/>
        </c:scaling>
        <c:axPos val="b"/>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41685888"/>
        <c:crosses val="autoZero"/>
        <c:auto val="1"/>
        <c:lblAlgn val="ctr"/>
        <c:lblOffset val="100"/>
      </c:catAx>
      <c:valAx>
        <c:axId val="141685888"/>
        <c:scaling>
          <c:orientation val="minMax"/>
          <c:min val="8"/>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a:lstStyle/>
          <a:p>
            <a:pPr>
              <a:defRPr sz="900" b="1" i="0" baseline="0">
                <a:latin typeface="Arial" pitchFamily="34" charset="0"/>
              </a:defRPr>
            </a:pPr>
            <a:endParaRPr lang="ru-RU"/>
          </a:p>
        </c:txPr>
        <c:crossAx val="141680000"/>
        <c:crosses val="autoZero"/>
        <c:crossBetween val="between"/>
      </c:valAx>
    </c:plotArea>
    <c:legend>
      <c:legendPos val="b"/>
      <c:layout>
        <c:manualLayout>
          <c:xMode val="edge"/>
          <c:yMode val="edge"/>
          <c:x val="0.16378698610553521"/>
          <c:y val="0.81570707731043779"/>
          <c:w val="0.67140716304986181"/>
          <c:h val="0.18429305385188408"/>
        </c:manualLayout>
      </c:layout>
      <c:txPr>
        <a:bodyPr/>
        <a:lstStyle/>
        <a:p>
          <a:pPr>
            <a:defRPr sz="900" baseline="0">
              <a:latin typeface="Arial" pitchFamily="34" charset="0"/>
            </a:defRPr>
          </a:pPr>
          <a:endParaRPr lang="ru-RU"/>
        </a:p>
      </c:txPr>
    </c:legend>
    <c:plotVisOnly val="1"/>
    <c:dispBlanksAs val="gap"/>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49139586566283022"/>
          <c:y val="0"/>
        </c:manualLayout>
      </c:layout>
    </c:title>
    <c:plotArea>
      <c:layout>
        <c:manualLayout>
          <c:layoutTarget val="inner"/>
          <c:xMode val="edge"/>
          <c:yMode val="edge"/>
          <c:x val="8.9088524208490005E-2"/>
          <c:y val="4.6620103280951647E-2"/>
          <c:w val="0.90978146671459625"/>
          <c:h val="0.79204301738032634"/>
        </c:manualLayout>
      </c:layout>
      <c:barChart>
        <c:barDir val="col"/>
        <c:grouping val="clustered"/>
        <c:ser>
          <c:idx val="0"/>
          <c:order val="0"/>
          <c:tx>
            <c:strRef>
              <c:f>Sheet1!$A$2:$B$2</c:f>
              <c:strCache>
                <c:ptCount val="1"/>
                <c:pt idx="0">
                  <c:v>на 100 тыс. нас.</c:v>
                </c:pt>
              </c:strCache>
            </c:strRef>
          </c:tx>
          <c:dLbls>
            <c:dLbl>
              <c:idx val="0"/>
              <c:layout>
                <c:manualLayout>
                  <c:x val="0"/>
                  <c:y val="1.2632896184167581E-17"/>
                </c:manualLayout>
              </c:layout>
              <c:tx>
                <c:rich>
                  <a:bodyPr/>
                  <a:lstStyle/>
                  <a:p>
                    <a:r>
                      <a:rPr lang="en-US" sz="850"/>
                      <a:t>18598</a:t>
                    </a:r>
                    <a:r>
                      <a:rPr lang="ru-RU" sz="850"/>
                      <a:t>,0</a:t>
                    </a:r>
                    <a:endParaRPr lang="en-US" sz="850"/>
                  </a:p>
                </c:rich>
              </c:tx>
              <c:dLblPos val="outEnd"/>
              <c:showVal val="1"/>
            </c:dLbl>
            <c:dLbl>
              <c:idx val="1"/>
              <c:layout>
                <c:manualLayout>
                  <c:x val="-4.3740064848951524E-3"/>
                  <c:y val="1.1025200396039101E-2"/>
                </c:manualLayout>
              </c:layout>
              <c:dLblPos val="outEnd"/>
              <c:showVal val="1"/>
            </c:dLbl>
            <c:dLbl>
              <c:idx val="3"/>
              <c:layout>
                <c:manualLayout>
                  <c:x val="0"/>
                  <c:y val="5.5581449800541647E-3"/>
                </c:manualLayout>
              </c:layout>
              <c:tx>
                <c:rich>
                  <a:bodyPr/>
                  <a:lstStyle/>
                  <a:p>
                    <a:r>
                      <a:rPr lang="en-US" sz="850"/>
                      <a:t>17575</a:t>
                    </a:r>
                    <a:r>
                      <a:rPr lang="ru-RU" sz="850"/>
                      <a:t>,0</a:t>
                    </a:r>
                    <a:endParaRPr lang="en-US" sz="850"/>
                  </a:p>
                </c:rich>
              </c:tx>
              <c:dLblPos val="outEnd"/>
              <c:showVal val="1"/>
            </c:dLbl>
            <c:dLbl>
              <c:idx val="4"/>
              <c:layout>
                <c:manualLayout>
                  <c:x val="2.2050716648291092E-3"/>
                  <c:y val="-1.3698420305172874E-4"/>
                </c:manualLayout>
              </c:layout>
              <c:tx>
                <c:rich>
                  <a:bodyPr/>
                  <a:lstStyle/>
                  <a:p>
                    <a:r>
                      <a:rPr lang="ru-RU" sz="850"/>
                      <a:t>18027,3</a:t>
                    </a:r>
                    <a:endParaRPr lang="en-US" sz="850"/>
                  </a:p>
                </c:rich>
              </c:tx>
              <c:dLblPos val="outEnd"/>
              <c:showVal val="1"/>
            </c:dLbl>
            <c:dLbl>
              <c:idx val="5"/>
              <c:layout>
                <c:manualLayout>
                  <c:x val="0"/>
                  <c:y val="1.1025200396039101E-2"/>
                </c:manualLayout>
              </c:layout>
              <c:dLblPos val="outEnd"/>
              <c:showVal val="1"/>
            </c:dLbl>
            <c:dLbl>
              <c:idx val="6"/>
              <c:layout>
                <c:manualLayout>
                  <c:x val="0"/>
                  <c:y val="1.263289618416751E-17"/>
                </c:manualLayout>
              </c:layout>
              <c:dLblPos val="outEnd"/>
              <c:showVal val="1"/>
            </c:dLbl>
            <c:dLbl>
              <c:idx val="7"/>
              <c:tx>
                <c:rich>
                  <a:bodyPr/>
                  <a:lstStyle/>
                  <a:p>
                    <a:r>
                      <a:rPr lang="en-US" sz="850"/>
                      <a:t>20753</a:t>
                    </a:r>
                    <a:r>
                      <a:rPr lang="ru-RU" sz="850"/>
                      <a:t>,0</a:t>
                    </a:r>
                    <a:endParaRPr lang="en-US" sz="850"/>
                  </a:p>
                </c:rich>
              </c:tx>
              <c:dLblPos val="outEnd"/>
              <c:showVal val="1"/>
            </c:dLbl>
            <c:dLbl>
              <c:idx val="8"/>
              <c:tx>
                <c:rich>
                  <a:bodyPr/>
                  <a:lstStyle/>
                  <a:p>
                    <a:r>
                      <a:rPr lang="ru-RU" sz="850"/>
                      <a:t>19365,1</a:t>
                    </a:r>
                    <a:endParaRPr lang="en-US" sz="850"/>
                  </a:p>
                </c:rich>
              </c:tx>
              <c:dLblPos val="outEnd"/>
              <c:showVal val="1"/>
            </c:dLbl>
            <c:dLbl>
              <c:idx val="9"/>
              <c:layout>
                <c:manualLayout>
                  <c:x val="-2.1870032424476612E-3"/>
                  <c:y val="0"/>
                </c:manualLayout>
              </c:layout>
              <c:dLblPos val="outEnd"/>
              <c:showVal val="1"/>
            </c:dLbl>
            <c:txPr>
              <a:bodyPr/>
              <a:lstStyle/>
              <a:p>
                <a:pPr>
                  <a:defRPr sz="850" b="1" i="0" baseline="0">
                    <a:latin typeface="Arial" pitchFamily="34" charset="0"/>
                  </a:defRPr>
                </a:pPr>
                <a:endParaRPr lang="ru-RU"/>
              </a:p>
            </c:txPr>
            <c:dLblPos val="outEnd"/>
            <c:showVal val="1"/>
          </c:dLbls>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Sheet1!$C$2:$M$2</c:f>
              <c:numCache>
                <c:formatCode>General</c:formatCode>
                <c:ptCount val="11"/>
                <c:pt idx="0">
                  <c:v>20111.3</c:v>
                </c:pt>
                <c:pt idx="1">
                  <c:v>17661.2</c:v>
                </c:pt>
                <c:pt idx="2">
                  <c:v>19653.2</c:v>
                </c:pt>
                <c:pt idx="3">
                  <c:v>17575</c:v>
                </c:pt>
                <c:pt idx="4">
                  <c:v>18027.3</c:v>
                </c:pt>
                <c:pt idx="5">
                  <c:v>20421.900000000001</c:v>
                </c:pt>
                <c:pt idx="6">
                  <c:v>20782.599999999915</c:v>
                </c:pt>
                <c:pt idx="7">
                  <c:v>20753</c:v>
                </c:pt>
                <c:pt idx="8">
                  <c:v>19365.099999999915</c:v>
                </c:pt>
                <c:pt idx="9">
                  <c:v>23703.3</c:v>
                </c:pt>
                <c:pt idx="10">
                  <c:v>33810.5</c:v>
                </c:pt>
              </c:numCache>
            </c:numRef>
          </c:val>
        </c:ser>
        <c:dLbls>
          <c:showVal val="1"/>
        </c:dLbls>
        <c:axId val="202666752"/>
        <c:axId val="202668288"/>
      </c:barChart>
      <c:catAx>
        <c:axId val="202666752"/>
        <c:scaling>
          <c:orientation val="minMax"/>
        </c:scaling>
        <c:axPos val="b"/>
        <c:numFmt formatCode="General" sourceLinked="1"/>
        <c:tickLblPos val="nextTo"/>
        <c:spPr>
          <a:ln>
            <a:solidFill>
              <a:schemeClr val="tx1"/>
            </a:solidFill>
          </a:ln>
        </c:spPr>
        <c:txPr>
          <a:bodyPr rot="0" vert="horz"/>
          <a:lstStyle/>
          <a:p>
            <a:pPr>
              <a:defRPr sz="899" b="1" i="0" baseline="0">
                <a:latin typeface="Arial" pitchFamily="34" charset="0"/>
              </a:defRPr>
            </a:pPr>
            <a:endParaRPr lang="ru-RU"/>
          </a:p>
        </c:txPr>
        <c:crossAx val="202668288"/>
        <c:crosses val="autoZero"/>
        <c:auto val="1"/>
        <c:lblAlgn val="ctr"/>
        <c:lblOffset val="100"/>
        <c:tickLblSkip val="1"/>
        <c:tickMarkSkip val="1"/>
      </c:catAx>
      <c:valAx>
        <c:axId val="202668288"/>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99" b="1" i="0" baseline="0">
                <a:latin typeface="Arial" pitchFamily="34" charset="0"/>
              </a:defRPr>
            </a:pPr>
            <a:endParaRPr lang="ru-RU"/>
          </a:p>
        </c:txPr>
        <c:crossAx val="202666752"/>
        <c:crosses val="autoZero"/>
        <c:crossBetween val="between"/>
      </c:valAx>
    </c:plotArea>
    <c:plotVisOnly val="1"/>
    <c:dispBlanksAs val="gap"/>
  </c:chart>
  <c:spPr>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Лист1!$A$2</c:f>
              <c:strCache>
                <c:ptCount val="1"/>
                <c:pt idx="0">
                  <c:v>ОРЗ</c:v>
                </c:pt>
              </c:strCache>
            </c:strRef>
          </c:tx>
          <c:cat>
            <c:strRef>
              <c:f>Лист1!$B$1:$Y$1</c:f>
              <c:strCache>
                <c:ptCount val="24"/>
                <c:pt idx="0">
                  <c:v>январь 2020</c:v>
                </c:pt>
                <c:pt idx="1">
                  <c:v>февраль 2020</c:v>
                </c:pt>
                <c:pt idx="2">
                  <c:v>март 2020</c:v>
                </c:pt>
                <c:pt idx="3">
                  <c:v>апрель 2020</c:v>
                </c:pt>
                <c:pt idx="4">
                  <c:v>май 2020</c:v>
                </c:pt>
                <c:pt idx="5">
                  <c:v>июнь 2020</c:v>
                </c:pt>
                <c:pt idx="6">
                  <c:v>июль 2020</c:v>
                </c:pt>
                <c:pt idx="7">
                  <c:v>август 2020</c:v>
                </c:pt>
                <c:pt idx="8">
                  <c:v>сентябрь 2020</c:v>
                </c:pt>
                <c:pt idx="9">
                  <c:v>октябрь 2020</c:v>
                </c:pt>
                <c:pt idx="10">
                  <c:v>ноябрь 2020</c:v>
                </c:pt>
                <c:pt idx="11">
                  <c:v>декабрь 2020</c:v>
                </c:pt>
                <c:pt idx="12">
                  <c:v>январь 2021</c:v>
                </c:pt>
                <c:pt idx="13">
                  <c:v>февраль 2021</c:v>
                </c:pt>
                <c:pt idx="14">
                  <c:v>март 2021</c:v>
                </c:pt>
                <c:pt idx="15">
                  <c:v>апрель 2021</c:v>
                </c:pt>
                <c:pt idx="16">
                  <c:v>май 2021</c:v>
                </c:pt>
                <c:pt idx="17">
                  <c:v>июнь 2021</c:v>
                </c:pt>
                <c:pt idx="18">
                  <c:v>июль 2021</c:v>
                </c:pt>
                <c:pt idx="19">
                  <c:v>август 2021</c:v>
                </c:pt>
                <c:pt idx="20">
                  <c:v>сентябрь 2021</c:v>
                </c:pt>
                <c:pt idx="21">
                  <c:v>октябрь 2021</c:v>
                </c:pt>
                <c:pt idx="22">
                  <c:v>ноябрь 2021</c:v>
                </c:pt>
                <c:pt idx="23">
                  <c:v>декабрь 2021</c:v>
                </c:pt>
              </c:strCache>
            </c:strRef>
          </c:cat>
          <c:val>
            <c:numRef>
              <c:f>Лист1!$B$2:$Y$2</c:f>
              <c:numCache>
                <c:formatCode>General</c:formatCode>
                <c:ptCount val="24"/>
                <c:pt idx="0">
                  <c:v>28305</c:v>
                </c:pt>
                <c:pt idx="1">
                  <c:v>37423</c:v>
                </c:pt>
                <c:pt idx="2">
                  <c:v>33920</c:v>
                </c:pt>
                <c:pt idx="3">
                  <c:v>18543</c:v>
                </c:pt>
                <c:pt idx="4">
                  <c:v>9312</c:v>
                </c:pt>
                <c:pt idx="5">
                  <c:v>9769</c:v>
                </c:pt>
                <c:pt idx="6">
                  <c:v>8102</c:v>
                </c:pt>
                <c:pt idx="7">
                  <c:v>12748</c:v>
                </c:pt>
                <c:pt idx="8">
                  <c:v>27815</c:v>
                </c:pt>
                <c:pt idx="9">
                  <c:v>34719</c:v>
                </c:pt>
                <c:pt idx="10">
                  <c:v>36207</c:v>
                </c:pt>
                <c:pt idx="11">
                  <c:v>24771</c:v>
                </c:pt>
                <c:pt idx="12">
                  <c:v>33160</c:v>
                </c:pt>
                <c:pt idx="13">
                  <c:v>35970</c:v>
                </c:pt>
                <c:pt idx="14">
                  <c:v>38143</c:v>
                </c:pt>
                <c:pt idx="15">
                  <c:v>29499</c:v>
                </c:pt>
                <c:pt idx="16">
                  <c:v>18351</c:v>
                </c:pt>
                <c:pt idx="17">
                  <c:v>23966</c:v>
                </c:pt>
                <c:pt idx="18">
                  <c:v>24466</c:v>
                </c:pt>
                <c:pt idx="19">
                  <c:v>21325</c:v>
                </c:pt>
                <c:pt idx="20">
                  <c:v>43541</c:v>
                </c:pt>
                <c:pt idx="21">
                  <c:v>47784</c:v>
                </c:pt>
                <c:pt idx="22">
                  <c:v>32463</c:v>
                </c:pt>
                <c:pt idx="23">
                  <c:v>56085</c:v>
                </c:pt>
              </c:numCache>
            </c:numRef>
          </c:val>
        </c:ser>
        <c:marker val="1"/>
        <c:axId val="202737536"/>
        <c:axId val="202739072"/>
      </c:lineChart>
      <c:catAx>
        <c:axId val="202737536"/>
        <c:scaling>
          <c:orientation val="minMax"/>
        </c:scaling>
        <c:axPos val="b"/>
        <c:tickLblPos val="nextTo"/>
        <c:txPr>
          <a:bodyPr/>
          <a:lstStyle/>
          <a:p>
            <a:pPr>
              <a:defRPr b="1" i="0" baseline="0"/>
            </a:pPr>
            <a:endParaRPr lang="ru-RU"/>
          </a:p>
        </c:txPr>
        <c:crossAx val="202739072"/>
        <c:crosses val="autoZero"/>
        <c:auto val="1"/>
        <c:lblAlgn val="ctr"/>
        <c:lblOffset val="100"/>
      </c:catAx>
      <c:valAx>
        <c:axId val="202739072"/>
        <c:scaling>
          <c:orientation val="minMax"/>
        </c:scaling>
        <c:axPos val="l"/>
        <c:majorGridlines>
          <c:spPr>
            <a:ln>
              <a:solidFill>
                <a:schemeClr val="bg1">
                  <a:lumMod val="65000"/>
                </a:schemeClr>
              </a:solidFill>
              <a:prstDash val="solid"/>
            </a:ln>
          </c:spPr>
        </c:majorGridlines>
        <c:numFmt formatCode="General" sourceLinked="1"/>
        <c:tickLblPos val="nextTo"/>
        <c:txPr>
          <a:bodyPr/>
          <a:lstStyle/>
          <a:p>
            <a:pPr>
              <a:defRPr sz="900" b="1" i="0" baseline="0"/>
            </a:pPr>
            <a:endParaRPr lang="ru-RU"/>
          </a:p>
        </c:txPr>
        <c:crossAx val="202737536"/>
        <c:crosses val="autoZero"/>
        <c:crossBetween val="midCat"/>
      </c:valAx>
    </c:plotArea>
    <c:plotVisOnly val="1"/>
  </c:chart>
  <c:spPr>
    <a:ln>
      <a:noFill/>
    </a:ln>
  </c:spPr>
  <c:txPr>
    <a:bodyPr/>
    <a:lstStyle/>
    <a:p>
      <a:pPr>
        <a:defRPr sz="800" b="0">
          <a:latin typeface="Arial"/>
          <a:ea typeface="Arial"/>
          <a:cs typeface="Arial"/>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90"/>
      <c:perspective val="0"/>
    </c:view3D>
    <c:plotArea>
      <c:layout>
        <c:manualLayout>
          <c:layoutTarget val="inner"/>
          <c:xMode val="edge"/>
          <c:yMode val="edge"/>
          <c:x val="7.0815605439466564E-2"/>
          <c:y val="4.2427626813710907E-2"/>
          <c:w val="0.7215137673008265"/>
          <c:h val="0.67559747339275089"/>
        </c:manualLayout>
      </c:layout>
      <c:pie3DChart>
        <c:varyColors val="1"/>
        <c:ser>
          <c:idx val="0"/>
          <c:order val="0"/>
          <c:spPr>
            <a:solidFill>
              <a:srgbClr val="9999FF"/>
            </a:solidFill>
            <a:ln w="12678">
              <a:solidFill>
                <a:srgbClr val="000000"/>
              </a:solidFill>
              <a:prstDash val="solid"/>
            </a:ln>
          </c:spPr>
          <c:explosion val="30"/>
          <c:dPt>
            <c:idx val="0"/>
            <c:spPr>
              <a:solidFill>
                <a:srgbClr val="FF0066"/>
              </a:solidFill>
              <a:ln w="12678">
                <a:solidFill>
                  <a:sysClr val="window" lastClr="FFFFFF">
                    <a:lumMod val="50000"/>
                  </a:sysClr>
                </a:solidFill>
                <a:prstDash val="solid"/>
              </a:ln>
            </c:spPr>
          </c:dPt>
          <c:dPt>
            <c:idx val="1"/>
            <c:spPr>
              <a:solidFill>
                <a:srgbClr val="21A0FF"/>
              </a:solidFill>
              <a:ln w="12678">
                <a:solidFill>
                  <a:sysClr val="window" lastClr="FFFFFF">
                    <a:lumMod val="50000"/>
                  </a:sysClr>
                </a:solidFill>
                <a:prstDash val="solid"/>
              </a:ln>
            </c:spPr>
          </c:dPt>
          <c:dPt>
            <c:idx val="2"/>
            <c:spPr>
              <a:solidFill>
                <a:srgbClr val="FFFF00"/>
              </a:solidFill>
              <a:ln w="12678">
                <a:solidFill>
                  <a:sysClr val="window" lastClr="FFFFFF">
                    <a:lumMod val="50000"/>
                  </a:sysClr>
                </a:solidFill>
                <a:prstDash val="solid"/>
              </a:ln>
            </c:spPr>
          </c:dPt>
          <c:dPt>
            <c:idx val="3"/>
            <c:spPr>
              <a:solidFill>
                <a:srgbClr val="00B050"/>
              </a:solidFill>
              <a:ln w="12678">
                <a:solidFill>
                  <a:sysClr val="window" lastClr="FFFFFF">
                    <a:lumMod val="50000"/>
                  </a:sysClr>
                </a:solidFill>
                <a:prstDash val="solid"/>
              </a:ln>
            </c:spPr>
          </c:dPt>
          <c:dLbls>
            <c:dLbl>
              <c:idx val="0"/>
              <c:layout>
                <c:manualLayout>
                  <c:x val="0.16825764863709081"/>
                  <c:y val="6.9826675607271904E-2"/>
                </c:manualLayout>
              </c:layout>
              <c:tx>
                <c:rich>
                  <a:bodyPr/>
                  <a:lstStyle/>
                  <a:p>
                    <a:r>
                      <a:rPr lang="ru-RU"/>
                      <a:t>Метопневмовирус
3%</a:t>
                    </a:r>
                  </a:p>
                </c:rich>
              </c:tx>
              <c:dLblPos val="bestFit"/>
              <c:showCatName val="1"/>
              <c:showPercent val="1"/>
            </c:dLbl>
            <c:dLbl>
              <c:idx val="1"/>
              <c:layout>
                <c:manualLayout>
                  <c:x val="-7.9634002082623334E-2"/>
                  <c:y val="1.9466242734285301E-2"/>
                </c:manualLayout>
              </c:layout>
              <c:dLblPos val="bestFit"/>
              <c:showCatName val="1"/>
              <c:showPercent val="1"/>
            </c:dLbl>
            <c:dLbl>
              <c:idx val="3"/>
              <c:layout>
                <c:manualLayout>
                  <c:x val="0.10146472804583707"/>
                  <c:y val="-1.0684730145748422E-4"/>
                </c:manualLayout>
              </c:layout>
              <c:dLblPos val="bestFit"/>
              <c:showCatName val="1"/>
              <c:showPercent val="1"/>
            </c:dLbl>
            <c:txPr>
              <a:bodyPr/>
              <a:lstStyle/>
              <a:p>
                <a:pPr>
                  <a:defRPr sz="800">
                    <a:latin typeface="Arial" pitchFamily="34" charset="0"/>
                    <a:cs typeface="Arial" pitchFamily="34" charset="0"/>
                  </a:defRPr>
                </a:pPr>
                <a:endParaRPr lang="ru-RU"/>
              </a:p>
            </c:txPr>
            <c:dLblPos val="bestFit"/>
            <c:showCatName val="1"/>
            <c:showPercent val="1"/>
            <c:showLeaderLines val="1"/>
          </c:dLbls>
          <c:cat>
            <c:strRef>
              <c:f>Sheet1!$E$1:$H$1</c:f>
              <c:strCache>
                <c:ptCount val="4"/>
                <c:pt idx="0">
                  <c:v>Метапневмовирус</c:v>
                </c:pt>
                <c:pt idx="1">
                  <c:v>Парагрипп</c:v>
                </c:pt>
                <c:pt idx="2">
                  <c:v>Риновирусная инфекция</c:v>
                </c:pt>
                <c:pt idx="3">
                  <c:v>COVID-19</c:v>
                </c:pt>
              </c:strCache>
            </c:strRef>
          </c:cat>
          <c:val>
            <c:numRef>
              <c:f>Sheet1!$E$2:$H$2</c:f>
              <c:numCache>
                <c:formatCode>General</c:formatCode>
                <c:ptCount val="4"/>
                <c:pt idx="0">
                  <c:v>2</c:v>
                </c:pt>
                <c:pt idx="1">
                  <c:v>3</c:v>
                </c:pt>
                <c:pt idx="2">
                  <c:v>48</c:v>
                </c:pt>
                <c:pt idx="3">
                  <c:v>8</c:v>
                </c:pt>
              </c:numCache>
            </c:numRef>
          </c:val>
        </c:ser>
        <c:dLbls>
          <c:showPercent val="1"/>
        </c:dLbls>
      </c:pie3DChart>
      <c:spPr>
        <a:noFill/>
        <a:ln w="25356">
          <a:noFill/>
        </a:ln>
      </c:spPr>
    </c:plotArea>
    <c:plotVisOnly val="1"/>
    <c:dispBlanksAs val="zero"/>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view3D>
      <c:rotX val="0"/>
      <c:rotY val="10"/>
      <c:perspective val="30"/>
    </c:view3D>
    <c:plotArea>
      <c:layout>
        <c:manualLayout>
          <c:layoutTarget val="inner"/>
          <c:xMode val="edge"/>
          <c:yMode val="edge"/>
          <c:x val="6.4520396912899694E-2"/>
          <c:y val="3.7286105334181731E-2"/>
          <c:w val="0.93547960308710065"/>
          <c:h val="0.84513382773435197"/>
        </c:manualLayout>
      </c:layout>
      <c:bar3DChart>
        <c:barDir val="col"/>
        <c:grouping val="clustered"/>
        <c:ser>
          <c:idx val="0"/>
          <c:order val="0"/>
          <c:tx>
            <c:strRef>
              <c:f>Лист1!$A$2</c:f>
              <c:strCache>
                <c:ptCount val="1"/>
                <c:pt idx="0">
                  <c:v>БРЯНСКАЯ ОБЛАСТЬ</c:v>
                </c:pt>
              </c:strCache>
            </c:strRef>
          </c:tx>
          <c:cat>
            <c:strRef>
              <c:f>Лист1!$B$1:$F$1</c:f>
              <c:strCache>
                <c:ptCount val="5"/>
                <c:pt idx="0">
                  <c:v>взрослые c 18 лет</c:v>
                </c:pt>
                <c:pt idx="1">
                  <c:v>до 17 лет</c:v>
                </c:pt>
                <c:pt idx="2">
                  <c:v>1-2 лет</c:v>
                </c:pt>
                <c:pt idx="3">
                  <c:v>3-6 лет</c:v>
                </c:pt>
                <c:pt idx="4">
                  <c:v>школьники 7-14 л</c:v>
                </c:pt>
              </c:strCache>
            </c:strRef>
          </c:cat>
          <c:val>
            <c:numRef>
              <c:f>Лист1!$B$2:$F$2</c:f>
              <c:numCache>
                <c:formatCode>General</c:formatCode>
                <c:ptCount val="5"/>
                <c:pt idx="0">
                  <c:v>4289.1000000000004</c:v>
                </c:pt>
                <c:pt idx="1">
                  <c:v>719</c:v>
                </c:pt>
                <c:pt idx="2">
                  <c:v>2005.2</c:v>
                </c:pt>
                <c:pt idx="3">
                  <c:v>1082.7</c:v>
                </c:pt>
                <c:pt idx="4">
                  <c:v>336.2</c:v>
                </c:pt>
              </c:numCache>
            </c:numRef>
          </c:val>
        </c:ser>
        <c:shape val="box"/>
        <c:axId val="202802688"/>
        <c:axId val="202804224"/>
        <c:axId val="0"/>
      </c:bar3DChart>
      <c:catAx>
        <c:axId val="202802688"/>
        <c:scaling>
          <c:orientation val="minMax"/>
        </c:scaling>
        <c:axPos val="b"/>
        <c:tickLblPos val="nextTo"/>
        <c:txPr>
          <a:bodyPr/>
          <a:lstStyle/>
          <a:p>
            <a:pPr>
              <a:defRPr sz="800" b="1" i="0" baseline="0">
                <a:latin typeface="Arial" pitchFamily="34" charset="0"/>
              </a:defRPr>
            </a:pPr>
            <a:endParaRPr lang="ru-RU"/>
          </a:p>
        </c:txPr>
        <c:crossAx val="202804224"/>
        <c:crosses val="autoZero"/>
        <c:auto val="1"/>
        <c:lblAlgn val="ctr"/>
        <c:lblOffset val="100"/>
      </c:catAx>
      <c:valAx>
        <c:axId val="202804224"/>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202802688"/>
        <c:crosses val="autoZero"/>
        <c:crossBetween val="between"/>
      </c:valAx>
      <c:spPr>
        <a:ln>
          <a:noFill/>
        </a:ln>
      </c:spPr>
    </c:plotArea>
    <c:plotVisOnly val="1"/>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manualLayout>
          <c:layoutTarget val="inner"/>
          <c:xMode val="edge"/>
          <c:yMode val="edge"/>
          <c:x val="6.4456721915294848E-2"/>
          <c:y val="3.7213965104166614E-2"/>
          <c:w val="0.92720616540195033"/>
          <c:h val="0.75836581383862811"/>
        </c:manualLayout>
      </c:layout>
      <c:lineChart>
        <c:grouping val="standard"/>
        <c:ser>
          <c:idx val="0"/>
          <c:order val="0"/>
          <c:tx>
            <c:strRef>
              <c:f>Sheet1!$A$2</c:f>
              <c:strCache>
                <c:ptCount val="1"/>
                <c:pt idx="0">
                  <c:v>Брянская область</c:v>
                </c:pt>
              </c:strCache>
            </c:strRef>
          </c:tx>
          <c:spPr>
            <a:ln>
              <a:solidFill>
                <a:srgbClr val="0F38E7"/>
              </a:solidFill>
            </a:ln>
          </c:spPr>
          <c:marker>
            <c:symbol val="diamond"/>
            <c:size val="6"/>
            <c:spPr>
              <a:solidFill>
                <a:srgbClr val="0F38E7"/>
              </a:solidFill>
            </c:spPr>
          </c:marker>
          <c:dLbls>
            <c:dLbl>
              <c:idx val="0"/>
              <c:layout>
                <c:manualLayout>
                  <c:x val="-5.7132061696342523E-2"/>
                  <c:y val="6.0090464516794834E-3"/>
                </c:manualLayout>
              </c:layout>
              <c:dLblPos val="r"/>
              <c:showVal val="1"/>
            </c:dLbl>
            <c:dLbl>
              <c:idx val="1"/>
              <c:layout>
                <c:manualLayout>
                  <c:x val="-3.0365422209182123E-2"/>
                  <c:y val="-4.6020311788253276E-2"/>
                </c:manualLayout>
              </c:layout>
              <c:dLblPos val="r"/>
              <c:showVal val="1"/>
            </c:dLbl>
            <c:dLbl>
              <c:idx val="2"/>
              <c:layout>
                <c:manualLayout>
                  <c:x val="-3.134418324291742E-2"/>
                  <c:y val="6.2827225130890132E-2"/>
                </c:manualLayout>
              </c:layout>
              <c:dLblPos val="r"/>
              <c:showVal val="1"/>
            </c:dLbl>
            <c:dLbl>
              <c:idx val="3"/>
              <c:layout>
                <c:manualLayout>
                  <c:x val="-2.8933039476242952E-2"/>
                  <c:y val="-4.6215002961237865E-2"/>
                </c:manualLayout>
              </c:layout>
              <c:dLblPos val="r"/>
              <c:showVal val="1"/>
            </c:dLbl>
            <c:dLbl>
              <c:idx val="4"/>
              <c:layout>
                <c:manualLayout>
                  <c:x val="-1.6877620576364747E-2"/>
                  <c:y val="-5.338996716258422E-2"/>
                </c:manualLayout>
              </c:layout>
              <c:dLblPos val="r"/>
              <c:showVal val="1"/>
            </c:dLbl>
            <c:dLbl>
              <c:idx val="5"/>
              <c:layout>
                <c:manualLayout>
                  <c:x val="-1.9813860183616461E-2"/>
                  <c:y val="-4.0983235009337024E-2"/>
                </c:manualLayout>
              </c:layout>
              <c:dLblPos val="r"/>
              <c:showVal val="1"/>
            </c:dLbl>
            <c:dLbl>
              <c:idx val="6"/>
              <c:layout>
                <c:manualLayout>
                  <c:x val="-2.456441713605334E-2"/>
                  <c:y val="-5.5457632005449134E-2"/>
                </c:manualLayout>
              </c:layout>
              <c:dLblPos val="r"/>
              <c:showVal val="1"/>
            </c:dLbl>
            <c:dLbl>
              <c:idx val="7"/>
              <c:layout>
                <c:manualLayout>
                  <c:x val="-1.8835227369649248E-2"/>
                  <c:y val="-3.6777311196005892E-2"/>
                </c:manualLayout>
              </c:layout>
              <c:dLblPos val="r"/>
              <c:showVal val="1"/>
            </c:dLbl>
            <c:dLbl>
              <c:idx val="8"/>
              <c:layout>
                <c:manualLayout>
                  <c:x val="-2.1916608958082187E-2"/>
                  <c:y val="4.3645333806958342E-2"/>
                </c:manualLayout>
              </c:layout>
              <c:dLblPos val="r"/>
              <c:showVal val="1"/>
            </c:dLbl>
            <c:dLbl>
              <c:idx val="9"/>
              <c:layout>
                <c:manualLayout>
                  <c:x val="-2.42557883131202E-2"/>
                  <c:y val="4.379961653392863E-2"/>
                </c:manualLayout>
              </c:layout>
              <c:dLblPos val="r"/>
              <c:showVal val="1"/>
            </c:dLbl>
            <c:dLbl>
              <c:idx val="10"/>
              <c:layout>
                <c:manualLayout>
                  <c:x val="-3.4662045060658585E-2"/>
                  <c:y val="5.6565656565656555E-2"/>
                </c:manualLayout>
              </c:layout>
              <c:showVal val="1"/>
            </c:dLbl>
            <c:dLbl>
              <c:idx val="11"/>
              <c:layout>
                <c:manualLayout>
                  <c:x val="-3.0040439052570801E-2"/>
                  <c:y val="-5.2525252525252357E-2"/>
                </c:manualLayout>
              </c:layout>
              <c:tx>
                <c:rich>
                  <a:bodyPr/>
                  <a:lstStyle/>
                  <a:p>
                    <a:r>
                      <a:rPr lang="en-US"/>
                      <a:t>1</a:t>
                    </a:r>
                    <a:r>
                      <a:rPr lang="ru-RU"/>
                      <a:t>,0</a:t>
                    </a:r>
                    <a:endParaRPr lang="en-US"/>
                  </a:p>
                </c:rich>
              </c:tx>
              <c:showVal val="1"/>
            </c:dLbl>
            <c:dLbl>
              <c:idx val="12"/>
              <c:layout>
                <c:manualLayout>
                  <c:x val="-1.041766140864145E-4"/>
                  <c:y val="-1.3839325792261485E-2"/>
                </c:manualLayout>
              </c:layout>
              <c:showVal val="1"/>
            </c:dLbl>
            <c:dLbl>
              <c:idx val="13"/>
              <c:layout>
                <c:manualLayout>
                  <c:x val="0"/>
                  <c:y val="-2.5449514575558208E-2"/>
                </c:manualLayout>
              </c:layout>
              <c:showVal val="1"/>
            </c:dLbl>
            <c:txPr>
              <a:bodyPr/>
              <a:lstStyle/>
              <a:p>
                <a:pPr>
                  <a:defRPr sz="800" b="1" i="0" baseline="0">
                    <a:latin typeface="Arial" pitchFamily="34" charset="0"/>
                  </a:defRPr>
                </a:pPr>
                <a:endParaRPr lang="ru-RU"/>
              </a:p>
            </c:txPr>
            <c:showVal val="1"/>
          </c:dLbls>
          <c:cat>
            <c:numRef>
              <c:f>Sheet1!$B$1:$O$1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Sheet1!$B$2:$O$2</c:f>
              <c:numCache>
                <c:formatCode>General</c:formatCode>
                <c:ptCount val="14"/>
                <c:pt idx="0">
                  <c:v>1.6</c:v>
                </c:pt>
                <c:pt idx="1">
                  <c:v>2.5</c:v>
                </c:pt>
                <c:pt idx="2">
                  <c:v>2.2000000000000002</c:v>
                </c:pt>
                <c:pt idx="3">
                  <c:v>2.2000000000000002</c:v>
                </c:pt>
                <c:pt idx="4">
                  <c:v>1.8900000000000001</c:v>
                </c:pt>
                <c:pt idx="5">
                  <c:v>0.97000000000000064</c:v>
                </c:pt>
                <c:pt idx="6">
                  <c:v>0.96000000000000063</c:v>
                </c:pt>
                <c:pt idx="7">
                  <c:v>0.74000000000000365</c:v>
                </c:pt>
                <c:pt idx="8">
                  <c:v>0.33000000000000285</c:v>
                </c:pt>
                <c:pt idx="9">
                  <c:v>0.41000000000000031</c:v>
                </c:pt>
                <c:pt idx="10">
                  <c:v>0.66000000000000592</c:v>
                </c:pt>
                <c:pt idx="11">
                  <c:v>1</c:v>
                </c:pt>
                <c:pt idx="12">
                  <c:v>0.34</c:v>
                </c:pt>
                <c:pt idx="13">
                  <c:v>0.84000000000000064</c:v>
                </c:pt>
              </c:numCache>
            </c:numRef>
          </c:val>
        </c:ser>
        <c:ser>
          <c:idx val="1"/>
          <c:order val="1"/>
          <c:tx>
            <c:strRef>
              <c:f>Sheet1!$A$3</c:f>
              <c:strCache>
                <c:ptCount val="1"/>
                <c:pt idx="0">
                  <c:v>Российская Федерация</c:v>
                </c:pt>
              </c:strCache>
            </c:strRef>
          </c:tx>
          <c:spPr>
            <a:ln>
              <a:solidFill>
                <a:srgbClr val="FF5050"/>
              </a:solidFill>
            </a:ln>
          </c:spPr>
          <c:marker>
            <c:symbol val="square"/>
            <c:size val="4"/>
            <c:spPr>
              <a:solidFill>
                <a:srgbClr val="FF5050"/>
              </a:solidFill>
            </c:spPr>
          </c:marker>
          <c:dLbls>
            <c:dLbl>
              <c:idx val="0"/>
              <c:layout>
                <c:manualLayout>
                  <c:x val="-3.9066844527537191E-2"/>
                  <c:y val="-6.7740267113317112E-2"/>
                </c:manualLayout>
              </c:layout>
              <c:dLblPos val="r"/>
              <c:showVal val="1"/>
            </c:dLbl>
            <c:dLbl>
              <c:idx val="1"/>
              <c:layout>
                <c:manualLayout>
                  <c:x val="-3.7598639432573792E-2"/>
                  <c:y val="5.3071178944223953E-2"/>
                </c:manualLayout>
              </c:layout>
              <c:dLblPos val="r"/>
              <c:showVal val="1"/>
            </c:dLbl>
            <c:dLbl>
              <c:idx val="2"/>
              <c:layout>
                <c:manualLayout>
                  <c:x val="-4.7768266845899111E-2"/>
                  <c:y val="5.6623921303152726E-2"/>
                </c:manualLayout>
              </c:layout>
              <c:dLblPos val="r"/>
              <c:showVal val="1"/>
            </c:dLbl>
            <c:dLbl>
              <c:idx val="3"/>
              <c:layout>
                <c:manualLayout>
                  <c:x val="-3.4942837745170006E-2"/>
                  <c:y val="4.6214631413197912E-2"/>
                </c:manualLayout>
              </c:layout>
              <c:dLblPos val="r"/>
              <c:showVal val="1"/>
            </c:dLbl>
            <c:dLbl>
              <c:idx val="4"/>
              <c:layout>
                <c:manualLayout>
                  <c:x val="-3.4978660107194151E-2"/>
                  <c:y val="4.5507575492988506E-2"/>
                </c:manualLayout>
              </c:layout>
              <c:dLblPos val="r"/>
              <c:showVal val="1"/>
            </c:dLbl>
            <c:dLbl>
              <c:idx val="5"/>
              <c:layout>
                <c:manualLayout>
                  <c:x val="-3.4662399825323292E-2"/>
                  <c:y val="5.3848828992042186E-2"/>
                </c:manualLayout>
              </c:layout>
              <c:dLblPos val="r"/>
              <c:showVal val="1"/>
            </c:dLbl>
            <c:dLbl>
              <c:idx val="6"/>
              <c:layout>
                <c:manualLayout>
                  <c:x val="-3.4392994370541267E-2"/>
                  <c:y val="4.3285113952332518E-2"/>
                </c:manualLayout>
              </c:layout>
              <c:dLblPos val="r"/>
              <c:showVal val="1"/>
            </c:dLbl>
            <c:dLbl>
              <c:idx val="7"/>
              <c:layout>
                <c:manualLayout>
                  <c:x val="-3.37552742616034E-2"/>
                  <c:y val="6.9808027923220092E-2"/>
                </c:manualLayout>
              </c:layout>
              <c:dLblPos val="r"/>
              <c:showVal val="1"/>
            </c:dLbl>
            <c:dLbl>
              <c:idx val="8"/>
              <c:layout>
                <c:manualLayout>
                  <c:x val="-2.6460859977949284E-2"/>
                  <c:y val="-5.4266781449989393E-2"/>
                </c:manualLayout>
              </c:layout>
              <c:dLblPos val="r"/>
              <c:showVal val="1"/>
            </c:dLbl>
            <c:dLbl>
              <c:idx val="9"/>
              <c:layout>
                <c:manualLayout>
                  <c:x val="-3.5281146637265892E-2"/>
                  <c:y val="-6.3011795749810834E-2"/>
                </c:manualLayout>
              </c:layout>
              <c:dLblPos val="r"/>
              <c:showVal val="1"/>
            </c:dLbl>
            <c:dLbl>
              <c:idx val="10"/>
              <c:layout>
                <c:manualLayout>
                  <c:x val="-3.6972848064702496E-2"/>
                  <c:y val="-4.8744770540046133E-2"/>
                </c:manualLayout>
              </c:layout>
              <c:showVal val="1"/>
            </c:dLbl>
            <c:dLbl>
              <c:idx val="11"/>
              <c:layout>
                <c:manualLayout>
                  <c:x val="-4.0062752742226523E-2"/>
                  <c:y val="4.5416691334637813E-2"/>
                </c:manualLayout>
              </c:layout>
              <c:showVal val="1"/>
            </c:dLbl>
            <c:dLbl>
              <c:idx val="12"/>
              <c:layout>
                <c:manualLayout>
                  <c:x val="-2.4464315168983262E-2"/>
                  <c:y val="2.9517429110076647E-2"/>
                </c:manualLayout>
              </c:layout>
              <c:showVal val="1"/>
            </c:dLbl>
            <c:dLbl>
              <c:idx val="13"/>
              <c:layout>
                <c:manualLayout>
                  <c:x val="0"/>
                  <c:y val="3.0539016710912852E-2"/>
                </c:manualLayout>
              </c:layout>
              <c:showVal val="1"/>
            </c:dLbl>
            <c:txPr>
              <a:bodyPr/>
              <a:lstStyle/>
              <a:p>
                <a:pPr>
                  <a:defRPr sz="800" b="1" i="0" baseline="0">
                    <a:latin typeface="Arial" pitchFamily="34" charset="0"/>
                  </a:defRPr>
                </a:pPr>
                <a:endParaRPr lang="ru-RU"/>
              </a:p>
            </c:txPr>
            <c:showVal val="1"/>
          </c:dLbls>
          <c:cat>
            <c:numRef>
              <c:f>Sheet1!$B$1:$O$1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Sheet1!$B$3:$O$3</c:f>
              <c:numCache>
                <c:formatCode>General</c:formatCode>
                <c:ptCount val="14"/>
                <c:pt idx="0">
                  <c:v>2.3499999999999988</c:v>
                </c:pt>
                <c:pt idx="1">
                  <c:v>1.45</c:v>
                </c:pt>
                <c:pt idx="2">
                  <c:v>1.1599999999999899</c:v>
                </c:pt>
                <c:pt idx="3">
                  <c:v>0.77000000000000512</c:v>
                </c:pt>
                <c:pt idx="4">
                  <c:v>0.99</c:v>
                </c:pt>
                <c:pt idx="5">
                  <c:v>0.9</c:v>
                </c:pt>
                <c:pt idx="6">
                  <c:v>0.69000000000000061</c:v>
                </c:pt>
                <c:pt idx="7">
                  <c:v>0.67000000000000592</c:v>
                </c:pt>
                <c:pt idx="8">
                  <c:v>0.51</c:v>
                </c:pt>
                <c:pt idx="9">
                  <c:v>0.47000000000000008</c:v>
                </c:pt>
                <c:pt idx="10">
                  <c:v>0.70000000000000062</c:v>
                </c:pt>
                <c:pt idx="11">
                  <c:v>0.74000000000000365</c:v>
                </c:pt>
                <c:pt idx="12">
                  <c:v>0.26</c:v>
                </c:pt>
                <c:pt idx="13">
                  <c:v>0.21000000000000021</c:v>
                </c:pt>
              </c:numCache>
            </c:numRef>
          </c:val>
        </c:ser>
        <c:marker val="1"/>
        <c:axId val="142175616"/>
        <c:axId val="202916992"/>
      </c:lineChart>
      <c:catAx>
        <c:axId val="142175616"/>
        <c:scaling>
          <c:orientation val="minMax"/>
        </c:scaling>
        <c:axPos val="b"/>
        <c:numFmt formatCode="General" sourceLinked="1"/>
        <c:tickLblPos val="nextTo"/>
        <c:txPr>
          <a:bodyPr rot="0" vert="horz"/>
          <a:lstStyle/>
          <a:p>
            <a:pPr>
              <a:defRPr sz="807" b="1" i="0" baseline="0">
                <a:latin typeface="Arial" pitchFamily="34" charset="0"/>
              </a:defRPr>
            </a:pPr>
            <a:endParaRPr lang="ru-RU"/>
          </a:p>
        </c:txPr>
        <c:crossAx val="202916992"/>
        <c:crosses val="autoZero"/>
        <c:auto val="1"/>
        <c:lblAlgn val="ctr"/>
        <c:lblOffset val="100"/>
        <c:tickLblSkip val="1"/>
        <c:tickMarkSkip val="1"/>
      </c:catAx>
      <c:valAx>
        <c:axId val="202916992"/>
        <c:scaling>
          <c:orientation val="minMax"/>
        </c:scaling>
        <c:axPos val="l"/>
        <c:majorGridlines>
          <c:spPr>
            <a:ln>
              <a:solidFill>
                <a:sysClr val="window" lastClr="FFFFFF">
                  <a:lumMod val="75000"/>
                </a:sysClr>
              </a:solidFill>
            </a:ln>
          </c:spPr>
        </c:majorGridlines>
        <c:numFmt formatCode="General" sourceLinked="1"/>
        <c:tickLblPos val="nextTo"/>
        <c:txPr>
          <a:bodyPr rot="0" vert="horz"/>
          <a:lstStyle/>
          <a:p>
            <a:pPr>
              <a:defRPr sz="807" b="1" i="0" baseline="0">
                <a:latin typeface="Arial" pitchFamily="34" charset="0"/>
              </a:defRPr>
            </a:pPr>
            <a:endParaRPr lang="ru-RU"/>
          </a:p>
        </c:txPr>
        <c:crossAx val="142175616"/>
        <c:crosses val="autoZero"/>
        <c:crossBetween val="between"/>
      </c:valAx>
    </c:plotArea>
    <c:legend>
      <c:legendPos val="b"/>
      <c:layout>
        <c:manualLayout>
          <c:xMode val="edge"/>
          <c:yMode val="edge"/>
          <c:x val="0.2122867974836479"/>
          <c:y val="0.9341768210532615"/>
          <c:w val="0.62460673897244345"/>
          <c:h val="6.5823178946738434E-2"/>
        </c:manualLayout>
      </c:layout>
      <c:txPr>
        <a:bodyPr/>
        <a:lstStyle/>
        <a:p>
          <a:pPr>
            <a:defRPr sz="807" baseline="0">
              <a:latin typeface="Arial" pitchFamily="34" charset="0"/>
            </a:defRPr>
          </a:pPr>
          <a:endParaRPr lang="ru-RU"/>
        </a:p>
      </c:txPr>
    </c:legend>
    <c:plotVisOnly val="1"/>
    <c:dispBlanksAs val="gap"/>
  </c:chart>
  <c:spPr>
    <a:ln>
      <a:noFill/>
    </a:ln>
  </c:sp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4129436446869704E-2"/>
          <c:y val="1.8350361417630481E-2"/>
          <c:w val="0.89033311511580659"/>
          <c:h val="0.77632794474564037"/>
        </c:manualLayout>
      </c:layout>
      <c:lineChart>
        <c:grouping val="standard"/>
        <c:ser>
          <c:idx val="0"/>
          <c:order val="0"/>
          <c:tx>
            <c:strRef>
              <c:f>Sheet1!$A$2</c:f>
              <c:strCache>
                <c:ptCount val="1"/>
                <c:pt idx="0">
                  <c:v>Брянская область</c:v>
                </c:pt>
              </c:strCache>
            </c:strRef>
          </c:tx>
          <c:spPr>
            <a:ln w="32672">
              <a:solidFill>
                <a:srgbClr val="00B050"/>
              </a:solidFill>
              <a:prstDash val="solid"/>
            </a:ln>
          </c:spPr>
          <c:marker>
            <c:symbol val="diamond"/>
            <c:size val="4"/>
            <c:spPr>
              <a:solidFill>
                <a:srgbClr val="00B050"/>
              </a:solidFill>
              <a:ln>
                <a:solidFill>
                  <a:srgbClr val="00B050"/>
                </a:solidFill>
                <a:prstDash val="solid"/>
              </a:ln>
            </c:spPr>
          </c:marker>
          <c:dLbls>
            <c:dLbl>
              <c:idx val="0"/>
              <c:layout>
                <c:manualLayout>
                  <c:x val="-3.6666373390343836E-2"/>
                  <c:y val="-5.1162654843857534E-2"/>
                </c:manualLayout>
              </c:layout>
              <c:dLblPos val="r"/>
              <c:showVal val="1"/>
            </c:dLbl>
            <c:dLbl>
              <c:idx val="1"/>
              <c:layout>
                <c:manualLayout>
                  <c:x val="-4.1284403669724766E-2"/>
                  <c:y val="-8.0033698399326225E-2"/>
                </c:manualLayout>
              </c:layout>
              <c:dLblPos val="r"/>
              <c:showVal val="1"/>
            </c:dLbl>
            <c:dLbl>
              <c:idx val="2"/>
              <c:layout>
                <c:manualLayout>
                  <c:x val="-3.6697247706428557E-2"/>
                  <c:y val="-4.6335299073294006E-2"/>
                </c:manualLayout>
              </c:layout>
              <c:dLblPos val="r"/>
              <c:showVal val="1"/>
            </c:dLbl>
            <c:dLbl>
              <c:idx val="3"/>
              <c:layout>
                <c:manualLayout>
                  <c:x val="-2.2935779816518117E-3"/>
                  <c:y val="-2.9486099410278011E-2"/>
                </c:manualLayout>
              </c:layout>
              <c:dLblPos val="r"/>
              <c:showVal val="1"/>
            </c:dLbl>
            <c:dLbl>
              <c:idx val="4"/>
              <c:layout>
                <c:manualLayout>
                  <c:x val="-3.254626847077445E-2"/>
                  <c:y val="-9.2508007965863726E-2"/>
                </c:manualLayout>
              </c:layout>
              <c:tx>
                <c:rich>
                  <a:bodyPr/>
                  <a:lstStyle/>
                  <a:p>
                    <a:r>
                      <a:rPr lang="en-US"/>
                      <a:t>14,1</a:t>
                    </a:r>
                    <a:r>
                      <a:rPr lang="ru-RU"/>
                      <a:t>0</a:t>
                    </a:r>
                    <a:endParaRPr lang="en-US"/>
                  </a:p>
                </c:rich>
              </c:tx>
              <c:dLblPos val="r"/>
            </c:dLbl>
            <c:dLbl>
              <c:idx val="5"/>
              <c:layout>
                <c:manualLayout>
                  <c:x val="-4.0025283536805623E-2"/>
                  <c:y val="-2.9765039900762194E-2"/>
                </c:manualLayout>
              </c:layout>
              <c:dLblPos val="r"/>
              <c:showVal val="1"/>
            </c:dLbl>
            <c:dLbl>
              <c:idx val="6"/>
              <c:layout>
                <c:manualLayout>
                  <c:x val="-1.1467889908256881E-2"/>
                  <c:y val="-1.6849199663018968E-2"/>
                </c:manualLayout>
              </c:layout>
              <c:dLblPos val="r"/>
              <c:showVal val="1"/>
            </c:dLbl>
            <c:dLbl>
              <c:idx val="7"/>
              <c:layout>
                <c:manualLayout>
                  <c:x val="-2.0387736472607401E-2"/>
                  <c:y val="-3.9304833447230091E-2"/>
                </c:manualLayout>
              </c:layout>
              <c:dLblPos val="r"/>
              <c:showVal val="1"/>
            </c:dLbl>
            <c:dLbl>
              <c:idx val="8"/>
              <c:layout>
                <c:manualLayout>
                  <c:x val="-3.9321651058677909E-2"/>
                  <c:y val="2.5137275174475008E-2"/>
                </c:manualLayout>
              </c:layout>
              <c:dLblPos val="r"/>
              <c:showVal val="1"/>
            </c:dLbl>
            <c:dLbl>
              <c:idx val="9"/>
              <c:layout>
                <c:manualLayout>
                  <c:x val="-3.1554289793972116E-2"/>
                  <c:y val="2.7363640758748382E-2"/>
                </c:manualLayout>
              </c:layout>
              <c:dLblPos val="r"/>
              <c:showVal val="1"/>
            </c:dLbl>
            <c:dLbl>
              <c:idx val="10"/>
              <c:layout>
                <c:manualLayout>
                  <c:x val="-1.5482944150053532E-2"/>
                  <c:y val="2.2405325835472892E-2"/>
                </c:manualLayout>
              </c:layout>
              <c:dLblPos val="r"/>
              <c:showVal val="1"/>
            </c:dLbl>
            <c:dLbl>
              <c:idx val="11"/>
              <c:layout>
                <c:manualLayout>
                  <c:x val="-2.4403200072266422E-2"/>
                  <c:y val="2.6600880946749891E-2"/>
                </c:manualLayout>
              </c:layout>
              <c:dLblPos val="r"/>
              <c:showVal val="1"/>
            </c:dLbl>
            <c:dLbl>
              <c:idx val="12"/>
              <c:layout>
                <c:manualLayout>
                  <c:x val="-3.5297724669062142E-2"/>
                  <c:y val="-1.6594517537269069E-2"/>
                </c:manualLayout>
              </c:layout>
              <c:dLblPos val="r"/>
              <c:showVal val="1"/>
            </c:dLbl>
            <c:dLbl>
              <c:idx val="13"/>
              <c:layout>
                <c:manualLayout>
                  <c:x val="-3.7503832460882056E-2"/>
                  <c:y val="2.0743146921586342E-2"/>
                </c:manualLayout>
              </c:layout>
              <c:dLblPos val="r"/>
              <c:showVal val="1"/>
            </c:dLbl>
            <c:dLbl>
              <c:idx val="14"/>
              <c:layout>
                <c:manualLayout>
                  <c:x val="-2.6473293501799167E-2"/>
                  <c:y val="1.2445888152951799E-2"/>
                </c:manualLayout>
              </c:layout>
              <c:dLblPos val="r"/>
              <c:showVal val="1"/>
            </c:dLbl>
            <c:dLbl>
              <c:idx val="15"/>
              <c:layout>
                <c:manualLayout>
                  <c:x val="-2.3038820412395002E-3"/>
                  <c:y val="2.733307301835371E-2"/>
                </c:manualLayout>
              </c:layout>
              <c:showVal val="1"/>
            </c:dLbl>
            <c:dLbl>
              <c:idx val="16"/>
              <c:layout>
                <c:manualLayout>
                  <c:x val="4.6077640824789814E-3"/>
                  <c:y val="3.123779773526102E-2"/>
                </c:manualLayout>
              </c:layout>
              <c:showVal val="1"/>
            </c:dLbl>
            <c:dLbl>
              <c:idx val="17"/>
              <c:layout>
                <c:manualLayout>
                  <c:x val="-6.9116461237188551E-3"/>
                  <c:y val="1.1714174150722421E-2"/>
                </c:manualLayout>
              </c:layout>
              <c:showVal val="1"/>
            </c:dLbl>
            <c:dLbl>
              <c:idx val="18"/>
              <c:layout>
                <c:manualLayout>
                  <c:x val="-1.6127174288676514E-2"/>
                  <c:y val="-2.7333073018352336E-2"/>
                </c:manualLayout>
              </c:layout>
              <c:showVal val="1"/>
            </c:dLbl>
            <c:spPr>
              <a:noFill/>
              <a:ln w="23000">
                <a:noFill/>
              </a:ln>
            </c:spPr>
            <c:txPr>
              <a:bodyPr/>
              <a:lstStyle/>
              <a:p>
                <a:pPr>
                  <a:defRPr sz="702" b="1" i="0" u="none" strike="noStrike" baseline="0">
                    <a:solidFill>
                      <a:srgbClr val="000000"/>
                    </a:solidFill>
                    <a:latin typeface="Arial" pitchFamily="34" charset="0"/>
                    <a:ea typeface="Calibri"/>
                    <a:cs typeface="Calibri"/>
                  </a:defRPr>
                </a:pPr>
                <a:endParaRPr lang="ru-RU"/>
              </a:p>
            </c:txPr>
            <c:showVal val="1"/>
          </c:dLbls>
          <c:cat>
            <c:numRef>
              <c:f>Sheet1!$B$1:$U$1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Sheet1!$B$2:$U$2</c:f>
              <c:numCache>
                <c:formatCode>General</c:formatCode>
                <c:ptCount val="20"/>
                <c:pt idx="0">
                  <c:v>76.260000000000005</c:v>
                </c:pt>
                <c:pt idx="1">
                  <c:v>59.379999999999995</c:v>
                </c:pt>
                <c:pt idx="2">
                  <c:v>78.040000000000006</c:v>
                </c:pt>
                <c:pt idx="3">
                  <c:v>39.47</c:v>
                </c:pt>
                <c:pt idx="4">
                  <c:v>14.1</c:v>
                </c:pt>
                <c:pt idx="5">
                  <c:v>34.07</c:v>
                </c:pt>
                <c:pt idx="6">
                  <c:v>14.129999999999999</c:v>
                </c:pt>
                <c:pt idx="7">
                  <c:v>5.85</c:v>
                </c:pt>
                <c:pt idx="8">
                  <c:v>4.1499999999999995</c:v>
                </c:pt>
                <c:pt idx="9">
                  <c:v>1.49</c:v>
                </c:pt>
                <c:pt idx="10">
                  <c:v>3.77</c:v>
                </c:pt>
                <c:pt idx="11">
                  <c:v>3.36</c:v>
                </c:pt>
                <c:pt idx="12">
                  <c:v>1.9200000000000021</c:v>
                </c:pt>
                <c:pt idx="13">
                  <c:v>0.82000000000000062</c:v>
                </c:pt>
                <c:pt idx="14">
                  <c:v>0.49000000000000032</c:v>
                </c:pt>
                <c:pt idx="15">
                  <c:v>1.9700000000000091</c:v>
                </c:pt>
                <c:pt idx="16">
                  <c:v>2.4</c:v>
                </c:pt>
                <c:pt idx="17">
                  <c:v>2.58</c:v>
                </c:pt>
                <c:pt idx="18">
                  <c:v>34.93</c:v>
                </c:pt>
                <c:pt idx="19">
                  <c:v>29.4</c:v>
                </c:pt>
              </c:numCache>
            </c:numRef>
          </c:val>
        </c:ser>
        <c:ser>
          <c:idx val="1"/>
          <c:order val="1"/>
          <c:tx>
            <c:strRef>
              <c:f>Sheet1!$A$3</c:f>
              <c:strCache>
                <c:ptCount val="1"/>
                <c:pt idx="0">
                  <c:v>РФ</c:v>
                </c:pt>
              </c:strCache>
            </c:strRef>
          </c:tx>
          <c:spPr>
            <a:ln w="20792">
              <a:solidFill>
                <a:srgbClr val="FF0000"/>
              </a:solidFill>
              <a:prstDash val="solid"/>
            </a:ln>
          </c:spPr>
          <c:marker>
            <c:symbol val="circle"/>
            <c:size val="2"/>
            <c:spPr>
              <a:solidFill>
                <a:srgbClr val="FF0000"/>
              </a:solidFill>
              <a:ln>
                <a:solidFill>
                  <a:srgbClr val="FF0000"/>
                </a:solidFill>
                <a:prstDash val="solid"/>
              </a:ln>
            </c:spPr>
          </c:marker>
          <c:dLbls>
            <c:dLbl>
              <c:idx val="1"/>
              <c:layout>
                <c:manualLayout>
                  <c:x val="-4.3336642495021123E-2"/>
                  <c:y val="3.1298632062959859E-2"/>
                </c:manualLayout>
              </c:layout>
              <c:dLblPos val="r"/>
              <c:showVal val="1"/>
            </c:dLbl>
            <c:dLbl>
              <c:idx val="2"/>
              <c:layout>
                <c:manualLayout>
                  <c:x val="-3.9780449130605661E-2"/>
                  <c:y val="-3.2843597712821103E-2"/>
                </c:manualLayout>
              </c:layout>
              <c:dLblPos val="r"/>
              <c:showVal val="1"/>
            </c:dLbl>
            <c:dLbl>
              <c:idx val="3"/>
              <c:layout>
                <c:manualLayout>
                  <c:x val="-5.0461824802022534E-2"/>
                  <c:y val="4.8962949887469027E-2"/>
                </c:manualLayout>
              </c:layout>
              <c:dLblPos val="r"/>
              <c:showVal val="1"/>
            </c:dLbl>
            <c:dLbl>
              <c:idx val="4"/>
              <c:layout>
                <c:manualLayout>
                  <c:x val="-5.3497071695897812E-2"/>
                  <c:y val="2.8733995110497276E-2"/>
                </c:manualLayout>
              </c:layout>
              <c:dLblPos val="r"/>
              <c:showVal val="1"/>
            </c:dLbl>
            <c:dLbl>
              <c:idx val="5"/>
              <c:layout>
                <c:manualLayout>
                  <c:x val="-2.6344839425192352E-2"/>
                  <c:y val="-3.4695157700965616E-2"/>
                </c:manualLayout>
              </c:layout>
              <c:dLblPos val="r"/>
              <c:showVal val="1"/>
            </c:dLbl>
            <c:dLbl>
              <c:idx val="6"/>
              <c:layout>
                <c:manualLayout>
                  <c:x val="-3.9408929305523602E-2"/>
                  <c:y val="3.0521425014026982E-2"/>
                </c:manualLayout>
              </c:layout>
              <c:dLblPos val="r"/>
              <c:showVal val="1"/>
            </c:dLbl>
            <c:dLbl>
              <c:idx val="7"/>
              <c:layout>
                <c:manualLayout>
                  <c:x val="-3.3366130438514462E-2"/>
                  <c:y val="4.6957566052842313E-2"/>
                </c:manualLayout>
              </c:layout>
              <c:dLblPos val="r"/>
              <c:showVal val="1"/>
            </c:dLbl>
            <c:dLbl>
              <c:idx val="8"/>
              <c:layout>
                <c:manualLayout>
                  <c:x val="-1.7144236890812431E-2"/>
                  <c:y val="-2.2352292460731792E-2"/>
                </c:manualLayout>
              </c:layout>
              <c:tx>
                <c:rich>
                  <a:bodyPr/>
                  <a:lstStyle/>
                  <a:p>
                    <a:r>
                      <a:rPr lang="en-US"/>
                      <a:t>6,3</a:t>
                    </a:r>
                    <a:r>
                      <a:rPr lang="ru-RU"/>
                      <a:t>0</a:t>
                    </a:r>
                    <a:endParaRPr lang="en-US"/>
                  </a:p>
                </c:rich>
              </c:tx>
              <c:dLblPos val="r"/>
            </c:dLbl>
            <c:dLbl>
              <c:idx val="9"/>
              <c:layout>
                <c:manualLayout>
                  <c:x val="-2.0912685901494598E-2"/>
                  <c:y val="-2.6634200647319219E-2"/>
                </c:manualLayout>
              </c:layout>
              <c:dLblPos val="r"/>
              <c:showVal val="1"/>
            </c:dLbl>
            <c:dLbl>
              <c:idx val="10"/>
              <c:layout>
                <c:manualLayout>
                  <c:x val="-2.8233620895303086E-2"/>
                  <c:y val="-4.0484001389713094E-2"/>
                </c:manualLayout>
              </c:layout>
              <c:dLblPos val="r"/>
              <c:showVal val="1"/>
            </c:dLbl>
            <c:dLbl>
              <c:idx val="11"/>
              <c:layout>
                <c:manualLayout>
                  <c:x val="-3.4912263787956602E-2"/>
                  <c:y val="-4.057980198951279E-2"/>
                </c:manualLayout>
              </c:layout>
              <c:dLblPos val="r"/>
              <c:showVal val="1"/>
            </c:dLbl>
            <c:dLbl>
              <c:idx val="12"/>
              <c:layout>
                <c:manualLayout>
                  <c:x val="-2.9867744472271012E-2"/>
                  <c:y val="-3.2378469286419242E-2"/>
                </c:manualLayout>
              </c:layout>
              <c:dLblPos val="r"/>
              <c:showVal val="1"/>
            </c:dLbl>
            <c:dLbl>
              <c:idx val="13"/>
              <c:layout>
                <c:manualLayout>
                  <c:x val="-3.0885509085430012E-2"/>
                  <c:y val="-2.4891776305903612E-2"/>
                </c:manualLayout>
              </c:layout>
              <c:dLblPos val="r"/>
              <c:showVal val="1"/>
            </c:dLbl>
            <c:dLbl>
              <c:idx val="14"/>
              <c:layout>
                <c:manualLayout>
                  <c:x val="-2.6668795187607654E-2"/>
                  <c:y val="-2.6111232386464862E-2"/>
                </c:manualLayout>
              </c:layout>
              <c:dLblPos val="r"/>
              <c:showVal val="1"/>
            </c:dLbl>
            <c:dLbl>
              <c:idx val="15"/>
              <c:layout>
                <c:manualLayout>
                  <c:x val="-4.6077640824789814E-3"/>
                  <c:y val="-1.9523623584538033E-2"/>
                </c:manualLayout>
              </c:layout>
              <c:showVal val="1"/>
            </c:dLbl>
            <c:dLbl>
              <c:idx val="16"/>
              <c:layout>
                <c:manualLayout>
                  <c:x val="-6.9116461237189349E-3"/>
                  <c:y val="-2.733307301835371E-2"/>
                </c:manualLayout>
              </c:layout>
              <c:showVal val="1"/>
            </c:dLbl>
            <c:dLbl>
              <c:idx val="17"/>
              <c:layout>
                <c:manualLayout>
                  <c:x val="-6.9116461237188551E-3"/>
                  <c:y val="-3.123779773526102E-2"/>
                </c:manualLayout>
              </c:layout>
              <c:showVal val="1"/>
            </c:dLbl>
            <c:dLbl>
              <c:idx val="18"/>
              <c:layout>
                <c:manualLayout>
                  <c:x val="-2.3038820412394998E-3"/>
                  <c:y val="-3.9047247169074872E-2"/>
                </c:manualLayout>
              </c:layout>
              <c:showVal val="1"/>
            </c:dLbl>
            <c:spPr>
              <a:noFill/>
              <a:ln w="23000">
                <a:noFill/>
              </a:ln>
            </c:spPr>
            <c:txPr>
              <a:bodyPr/>
              <a:lstStyle/>
              <a:p>
                <a:pPr>
                  <a:defRPr sz="702" b="1" i="0" u="none" strike="noStrike" baseline="0">
                    <a:solidFill>
                      <a:srgbClr val="000000"/>
                    </a:solidFill>
                    <a:latin typeface="Arial" pitchFamily="34" charset="0"/>
                    <a:ea typeface="Calibri"/>
                    <a:cs typeface="Calibri"/>
                  </a:defRPr>
                </a:pPr>
                <a:endParaRPr lang="ru-RU"/>
              </a:p>
            </c:txPr>
            <c:showVal val="1"/>
          </c:dLbls>
          <c:cat>
            <c:numRef>
              <c:f>Sheet1!$B$1:$U$1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Sheet1!$B$3:$U$3</c:f>
              <c:numCache>
                <c:formatCode>General</c:formatCode>
                <c:ptCount val="20"/>
                <c:pt idx="0">
                  <c:v>46.68</c:v>
                </c:pt>
                <c:pt idx="1">
                  <c:v>28.32</c:v>
                </c:pt>
                <c:pt idx="2">
                  <c:v>30.24</c:v>
                </c:pt>
                <c:pt idx="3">
                  <c:v>30.05</c:v>
                </c:pt>
                <c:pt idx="4">
                  <c:v>15.62</c:v>
                </c:pt>
                <c:pt idx="5">
                  <c:v>10.229999999999999</c:v>
                </c:pt>
                <c:pt idx="6">
                  <c:v>8.120000000000001</c:v>
                </c:pt>
                <c:pt idx="7">
                  <c:v>7.26</c:v>
                </c:pt>
                <c:pt idx="8">
                  <c:v>6.3</c:v>
                </c:pt>
                <c:pt idx="9">
                  <c:v>4.29</c:v>
                </c:pt>
                <c:pt idx="10">
                  <c:v>4.29</c:v>
                </c:pt>
                <c:pt idx="11">
                  <c:v>5.78</c:v>
                </c:pt>
                <c:pt idx="12">
                  <c:v>7.2700000000000014</c:v>
                </c:pt>
                <c:pt idx="13">
                  <c:v>4.41</c:v>
                </c:pt>
                <c:pt idx="14">
                  <c:v>4.3899999999999997</c:v>
                </c:pt>
                <c:pt idx="15">
                  <c:v>5.52</c:v>
                </c:pt>
                <c:pt idx="16">
                  <c:v>2.84</c:v>
                </c:pt>
                <c:pt idx="17">
                  <c:v>2.88</c:v>
                </c:pt>
                <c:pt idx="18">
                  <c:v>1.8900000000000001</c:v>
                </c:pt>
                <c:pt idx="19">
                  <c:v>1.43</c:v>
                </c:pt>
              </c:numCache>
            </c:numRef>
          </c:val>
        </c:ser>
        <c:marker val="1"/>
        <c:axId val="203048832"/>
        <c:axId val="203050368"/>
      </c:lineChart>
      <c:catAx>
        <c:axId val="203048832"/>
        <c:scaling>
          <c:orientation val="minMax"/>
        </c:scaling>
        <c:axPos val="b"/>
        <c:numFmt formatCode="General" sourceLinked="1"/>
        <c:tickLblPos val="nextTo"/>
        <c:spPr>
          <a:ln w="2875">
            <a:solidFill>
              <a:srgbClr val="000000"/>
            </a:solidFill>
            <a:prstDash val="solid"/>
          </a:ln>
        </c:spPr>
        <c:txPr>
          <a:bodyPr rot="0" vert="horz"/>
          <a:lstStyle/>
          <a:p>
            <a:pPr algn="just">
              <a:defRPr sz="748" b="1" i="0" u="none" strike="noStrike" baseline="0">
                <a:solidFill>
                  <a:srgbClr val="000000"/>
                </a:solidFill>
                <a:latin typeface="Arial" pitchFamily="34" charset="0"/>
                <a:ea typeface="Calibri"/>
                <a:cs typeface="Calibri"/>
              </a:defRPr>
            </a:pPr>
            <a:endParaRPr lang="ru-RU"/>
          </a:p>
        </c:txPr>
        <c:crossAx val="203050368"/>
        <c:crosses val="autoZero"/>
        <c:auto val="1"/>
        <c:lblAlgn val="ctr"/>
        <c:lblOffset val="100"/>
        <c:tickLblSkip val="1"/>
        <c:tickMarkSkip val="1"/>
      </c:catAx>
      <c:valAx>
        <c:axId val="203050368"/>
        <c:scaling>
          <c:orientation val="minMax"/>
        </c:scaling>
        <c:axPos val="l"/>
        <c:majorGridlines>
          <c:spPr>
            <a:ln w="2875">
              <a:solidFill>
                <a:sysClr val="window" lastClr="FFFFFF">
                  <a:lumMod val="75000"/>
                </a:sysClr>
              </a:solidFill>
              <a:prstDash val="solid"/>
            </a:ln>
          </c:spPr>
        </c:majorGridlines>
        <c:numFmt formatCode="General" sourceLinked="1"/>
        <c:tickLblPos val="nextTo"/>
        <c:spPr>
          <a:ln w="2875">
            <a:solidFill>
              <a:srgbClr val="000000"/>
            </a:solidFill>
            <a:prstDash val="solid"/>
          </a:ln>
        </c:spPr>
        <c:txPr>
          <a:bodyPr rot="0" vert="horz"/>
          <a:lstStyle/>
          <a:p>
            <a:pPr>
              <a:defRPr sz="748" b="1" i="0" u="none" strike="noStrike" baseline="0">
                <a:solidFill>
                  <a:srgbClr val="000000"/>
                </a:solidFill>
                <a:latin typeface="Arial" pitchFamily="34" charset="0"/>
                <a:ea typeface="Calibri"/>
                <a:cs typeface="Calibri"/>
              </a:defRPr>
            </a:pPr>
            <a:endParaRPr lang="ru-RU"/>
          </a:p>
        </c:txPr>
        <c:crossAx val="203048832"/>
        <c:crosses val="autoZero"/>
        <c:crossBetween val="between"/>
        <c:majorUnit val="10"/>
      </c:valAx>
      <c:spPr>
        <a:noFill/>
        <a:ln w="23777">
          <a:noFill/>
        </a:ln>
      </c:spPr>
    </c:plotArea>
    <c:legend>
      <c:legendPos val="b"/>
      <c:layout>
        <c:manualLayout>
          <c:xMode val="edge"/>
          <c:yMode val="edge"/>
          <c:x val="0.22899007994371068"/>
          <c:y val="0.93368667285169415"/>
          <c:w val="0.513505626611512"/>
          <c:h val="5.8355575643678985E-2"/>
        </c:manualLayout>
      </c:layout>
      <c:spPr>
        <a:noFill/>
        <a:ln w="2875">
          <a:noFill/>
          <a:prstDash val="solid"/>
        </a:ln>
      </c:spPr>
      <c:txPr>
        <a:bodyPr/>
        <a:lstStyle/>
        <a:p>
          <a:pPr>
            <a:defRPr sz="842"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493" b="1" i="0" u="none" strike="noStrike" baseline="0">
          <a:solidFill>
            <a:srgbClr val="000000"/>
          </a:solidFill>
          <a:latin typeface="Calibri"/>
          <a:ea typeface="Calibri"/>
          <a:cs typeface="Calibri"/>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4682080924855488E-2"/>
          <c:y val="7.0559610705596104E-2"/>
          <c:w val="0.92919075144510765"/>
          <c:h val="0.78345498783454959"/>
        </c:manualLayout>
      </c:layout>
      <c:barChart>
        <c:barDir val="col"/>
        <c:grouping val="clustered"/>
        <c:ser>
          <c:idx val="0"/>
          <c:order val="0"/>
          <c:tx>
            <c:strRef>
              <c:f>Sheet1!$A$2</c:f>
              <c:strCache>
                <c:ptCount val="1"/>
                <c:pt idx="0">
                  <c:v>ОВГВ</c:v>
                </c:pt>
              </c:strCache>
            </c:strRef>
          </c:tx>
          <c:spPr>
            <a:solidFill>
              <a:srgbClr val="1F497D">
                <a:lumMod val="60000"/>
                <a:lumOff val="40000"/>
              </a:srgbClr>
            </a:solidFill>
            <a:ln w="10658">
              <a:solidFill>
                <a:sysClr val="window" lastClr="FFFFFF">
                  <a:lumMod val="50000"/>
                </a:sysClr>
              </a:solidFill>
              <a:prstDash val="solid"/>
            </a:ln>
            <a:scene3d>
              <a:camera prst="orthographicFront"/>
              <a:lightRig rig="glow" dir="t"/>
            </a:scene3d>
            <a:sp3d prstMaterial="matte">
              <a:bevelT w="38100" h="44450"/>
              <a:bevelB w="114300" prst="artDeco"/>
            </a:sp3d>
          </c:spPr>
          <c:dLbls>
            <c:dLbl>
              <c:idx val="0"/>
              <c:layout>
                <c:manualLayout>
                  <c:x val="1.7331263123015279E-3"/>
                  <c:y val="3.8529910501590692E-3"/>
                </c:manualLayout>
              </c:layout>
              <c:dLblPos val="outEnd"/>
              <c:showVal val="1"/>
            </c:dLbl>
            <c:dLbl>
              <c:idx val="1"/>
              <c:layout>
                <c:manualLayout>
                  <c:x val="5.9214377521124104E-3"/>
                  <c:y val="9.7034870425353227E-3"/>
                </c:manualLayout>
              </c:layout>
              <c:dLblPos val="outEnd"/>
              <c:showVal val="1"/>
            </c:dLbl>
            <c:dLbl>
              <c:idx val="2"/>
              <c:layout>
                <c:manualLayout>
                  <c:x val="-2.8883964494440852E-4"/>
                  <c:y val="4.3559384830834536E-3"/>
                </c:manualLayout>
              </c:layout>
              <c:dLblPos val="outEnd"/>
              <c:showVal val="1"/>
            </c:dLbl>
            <c:dLbl>
              <c:idx val="3"/>
              <c:layout>
                <c:manualLayout>
                  <c:x val="1.0285704364132286E-3"/>
                  <c:y val="9.0652452447261625E-3"/>
                </c:manualLayout>
              </c:layout>
              <c:dLblPos val="outEnd"/>
              <c:showVal val="1"/>
            </c:dLbl>
            <c:dLbl>
              <c:idx val="4"/>
              <c:layout>
                <c:manualLayout>
                  <c:x val="1.7508095883019361E-3"/>
                  <c:y val="-4.2999707990307124E-3"/>
                </c:manualLayout>
              </c:layout>
              <c:dLblPos val="outEnd"/>
              <c:showVal val="1"/>
            </c:dLbl>
            <c:dLbl>
              <c:idx val="5"/>
              <c:layout>
                <c:manualLayout>
                  <c:x val="-8.3871612805666747E-3"/>
                  <c:y val="-3.8084211496985892E-3"/>
                </c:manualLayout>
              </c:layout>
              <c:dLblPos val="outEnd"/>
              <c:showVal val="1"/>
            </c:dLbl>
            <c:dLbl>
              <c:idx val="6"/>
              <c:layout>
                <c:manualLayout>
                  <c:x val="-5.3748895828151814E-3"/>
                  <c:y val="7.6273444023791104E-3"/>
                </c:manualLayout>
              </c:layout>
              <c:dLblPos val="outEnd"/>
              <c:showVal val="1"/>
            </c:dLbl>
            <c:dLbl>
              <c:idx val="7"/>
              <c:layout>
                <c:manualLayout>
                  <c:x val="-9.9477517036679706E-3"/>
                  <c:y val="3.8652861951137037E-3"/>
                </c:manualLayout>
              </c:layout>
              <c:dLblPos val="outEnd"/>
              <c:showVal val="1"/>
            </c:dLbl>
            <c:dLbl>
              <c:idx val="8"/>
              <c:layout>
                <c:manualLayout>
                  <c:x val="-1.0592943381290174E-2"/>
                  <c:y val="4.7799937499684534E-3"/>
                </c:manualLayout>
              </c:layout>
              <c:dLblPos val="outEnd"/>
              <c:showVal val="1"/>
            </c:dLbl>
            <c:dLbl>
              <c:idx val="9"/>
              <c:layout>
                <c:manualLayout>
                  <c:x val="-1.0236520461605421E-2"/>
                  <c:y val="5.5706060161442934E-4"/>
                </c:manualLayout>
              </c:layout>
              <c:dLblPos val="outEnd"/>
              <c:showVal val="1"/>
            </c:dLbl>
            <c:dLbl>
              <c:idx val="10"/>
              <c:layout>
                <c:manualLayout>
                  <c:x val="-7.7812865934982342E-3"/>
                  <c:y val="-8.6357729997750565E-4"/>
                </c:manualLayout>
              </c:layout>
              <c:dLblPos val="outEnd"/>
              <c:showVal val="1"/>
            </c:dLbl>
            <c:dLbl>
              <c:idx val="11"/>
              <c:layout>
                <c:manualLayout>
                  <c:x val="-1.0159620487149456E-2"/>
                  <c:y val="-3.3178960957791792E-3"/>
                </c:manualLayout>
              </c:layout>
              <c:dLblPos val="outEnd"/>
              <c:showVal val="1"/>
            </c:dLbl>
            <c:dLbl>
              <c:idx val="12"/>
              <c:layout>
                <c:manualLayout>
                  <c:x val="-8.3673255935571705E-3"/>
                  <c:y val="0"/>
                </c:manualLayout>
              </c:layout>
              <c:showVal val="1"/>
            </c:dLbl>
            <c:dLbl>
              <c:idx val="13"/>
              <c:layout>
                <c:manualLayout>
                  <c:x val="-6.4143681847349462E-3"/>
                  <c:y val="3.2949818205219019E-3"/>
                </c:manualLayout>
              </c:layout>
              <c:showVal val="1"/>
            </c:dLbl>
            <c:dLbl>
              <c:idx val="14"/>
              <c:layout>
                <c:manualLayout>
                  <c:x val="-6.414368184734359E-3"/>
                  <c:y val="3.5256281239633047E-3"/>
                </c:manualLayout>
              </c:layout>
              <c:showVal val="1"/>
            </c:dLbl>
            <c:dLbl>
              <c:idx val="15"/>
              <c:layout>
                <c:manualLayout>
                  <c:x val="-8.5524909129791795E-3"/>
                  <c:y val="3.5256281239633047E-3"/>
                </c:manualLayout>
              </c:layout>
              <c:showVal val="1"/>
            </c:dLbl>
            <c:dLbl>
              <c:idx val="16"/>
              <c:layout>
                <c:manualLayout>
                  <c:x val="-6.414368184734359E-3"/>
                  <c:y val="1.057688437188992E-2"/>
                </c:manualLayout>
              </c:layout>
              <c:showVal val="1"/>
            </c:dLbl>
            <c:dLbl>
              <c:idx val="17"/>
              <c:layout>
                <c:manualLayout>
                  <c:x val="-8.8202866593165268E-3"/>
                  <c:y val="2.8157066769717099E-3"/>
                </c:manualLayout>
              </c:layout>
              <c:showVal val="1"/>
            </c:dLbl>
            <c:dLbl>
              <c:idx val="18"/>
              <c:layout>
                <c:manualLayout>
                  <c:x val="-4.4101433296582174E-3"/>
                  <c:y val="2.8157066769717099E-3"/>
                </c:manualLayout>
              </c:layout>
              <c:showVal val="1"/>
            </c:dLbl>
            <c:dLbl>
              <c:idx val="19"/>
              <c:layout>
                <c:manualLayout>
                  <c:x val="-8.8202866593164956E-3"/>
                  <c:y val="5.631413353943444E-3"/>
                </c:manualLayout>
              </c:layout>
              <c:showVal val="1"/>
            </c:dLbl>
            <c:spPr>
              <a:noFill/>
              <a:ln w="21315">
                <a:noFill/>
              </a:ln>
            </c:spPr>
            <c:txPr>
              <a:bodyPr/>
              <a:lstStyle/>
              <a:p>
                <a:pPr>
                  <a:defRPr sz="688" b="1" i="0" u="none" strike="noStrike" baseline="0">
                    <a:solidFill>
                      <a:srgbClr val="000000"/>
                    </a:solidFill>
                    <a:latin typeface="Arial" pitchFamily="34" charset="0"/>
                    <a:ea typeface="Calibri"/>
                    <a:cs typeface="Calibri"/>
                  </a:defRPr>
                </a:pPr>
                <a:endParaRPr lang="ru-RU"/>
              </a:p>
            </c:txPr>
            <c:showVal val="1"/>
          </c:dLbls>
          <c:trendline>
            <c:trendlineType val="log"/>
          </c:trendline>
          <c:cat>
            <c:numRef>
              <c:f>Sheet1!$B$1:$U$1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Sheet1!$B$2:$U$2</c:f>
              <c:numCache>
                <c:formatCode>General</c:formatCode>
                <c:ptCount val="20"/>
                <c:pt idx="0">
                  <c:v>13.05</c:v>
                </c:pt>
                <c:pt idx="1">
                  <c:v>10.32</c:v>
                </c:pt>
                <c:pt idx="2">
                  <c:v>7.95</c:v>
                </c:pt>
                <c:pt idx="3">
                  <c:v>8.84</c:v>
                </c:pt>
                <c:pt idx="4">
                  <c:v>5.72</c:v>
                </c:pt>
                <c:pt idx="5">
                  <c:v>3.79</c:v>
                </c:pt>
                <c:pt idx="6">
                  <c:v>2.63</c:v>
                </c:pt>
                <c:pt idx="7">
                  <c:v>2.8099999999999987</c:v>
                </c:pt>
                <c:pt idx="8">
                  <c:v>3.05</c:v>
                </c:pt>
                <c:pt idx="9">
                  <c:v>1.8800000000000001</c:v>
                </c:pt>
                <c:pt idx="10">
                  <c:v>1.73</c:v>
                </c:pt>
                <c:pt idx="11">
                  <c:v>1.6800000000000082</c:v>
                </c:pt>
                <c:pt idx="12">
                  <c:v>1.04</c:v>
                </c:pt>
                <c:pt idx="13">
                  <c:v>1.9600000000000082</c:v>
                </c:pt>
                <c:pt idx="14">
                  <c:v>1.1499999999999908</c:v>
                </c:pt>
                <c:pt idx="15">
                  <c:v>0.82000000000000062</c:v>
                </c:pt>
                <c:pt idx="16">
                  <c:v>0.58000000000000007</c:v>
                </c:pt>
                <c:pt idx="17">
                  <c:v>0.33000000000000257</c:v>
                </c:pt>
                <c:pt idx="18">
                  <c:v>0.25</c:v>
                </c:pt>
                <c:pt idx="19">
                  <c:v>0.67000000000000526</c:v>
                </c:pt>
              </c:numCache>
            </c:numRef>
          </c:val>
        </c:ser>
        <c:ser>
          <c:idx val="1"/>
          <c:order val="1"/>
          <c:tx>
            <c:strRef>
              <c:f>Sheet1!$A$3</c:f>
              <c:strCache>
                <c:ptCount val="1"/>
                <c:pt idx="0">
                  <c:v>ХВГВ</c:v>
                </c:pt>
              </c:strCache>
            </c:strRef>
          </c:tx>
          <c:spPr>
            <a:solidFill>
              <a:srgbClr val="FF0066"/>
            </a:solidFill>
            <a:ln w="10658">
              <a:solidFill>
                <a:sysClr val="window" lastClr="FFFFFF">
                  <a:lumMod val="50000"/>
                </a:sysClr>
              </a:solidFill>
              <a:prstDash val="solid"/>
            </a:ln>
            <a:scene3d>
              <a:camera prst="orthographicFront"/>
              <a:lightRig rig="glow" dir="t"/>
            </a:scene3d>
            <a:sp3d prstMaterial="plastic">
              <a:bevelT w="38100" h="38100"/>
              <a:bevelB w="38100" h="0"/>
            </a:sp3d>
          </c:spPr>
          <c:dLbls>
            <c:dLbl>
              <c:idx val="0"/>
              <c:layout>
                <c:manualLayout>
                  <c:x val="9.7147290946906373E-3"/>
                  <c:y val="2.7369504966726272E-3"/>
                </c:manualLayout>
              </c:layout>
              <c:dLblPos val="outEnd"/>
              <c:showVal val="1"/>
            </c:dLbl>
            <c:dLbl>
              <c:idx val="1"/>
              <c:layout>
                <c:manualLayout>
                  <c:x val="1.3585672243009553E-2"/>
                  <c:y val="7.0572251365894874E-3"/>
                </c:manualLayout>
              </c:layout>
              <c:dLblPos val="outEnd"/>
              <c:showVal val="1"/>
            </c:dLbl>
            <c:dLbl>
              <c:idx val="2"/>
              <c:layout>
                <c:manualLayout>
                  <c:x val="1.1158973477564959E-2"/>
                  <c:y val="9.9567620735765746E-3"/>
                </c:manualLayout>
              </c:layout>
              <c:dLblPos val="outEnd"/>
              <c:showVal val="1"/>
            </c:dLbl>
            <c:dLbl>
              <c:idx val="3"/>
              <c:layout>
                <c:manualLayout>
                  <c:x val="1.1881013036871321E-2"/>
                  <c:y val="-1.2269530069315874E-4"/>
                </c:manualLayout>
              </c:layout>
              <c:dLblPos val="outEnd"/>
              <c:showVal val="1"/>
            </c:dLbl>
            <c:dLbl>
              <c:idx val="4"/>
              <c:layout>
                <c:manualLayout>
                  <c:x val="8.7712354247250213E-3"/>
                  <c:y val="8.2554213904784367E-3"/>
                </c:manualLayout>
              </c:layout>
              <c:dLblPos val="outEnd"/>
              <c:showVal val="1"/>
            </c:dLbl>
            <c:dLbl>
              <c:idx val="5"/>
              <c:layout>
                <c:manualLayout>
                  <c:x val="4.2940613113884429E-3"/>
                  <c:y val="-2.1168141230231527E-3"/>
                </c:manualLayout>
              </c:layout>
              <c:dLblPos val="outEnd"/>
              <c:showVal val="1"/>
            </c:dLbl>
            <c:dLbl>
              <c:idx val="6"/>
              <c:layout>
                <c:manualLayout>
                  <c:x val="3.283139822655642E-3"/>
                  <c:y val="8.6701263838441806E-3"/>
                </c:manualLayout>
              </c:layout>
              <c:dLblPos val="outEnd"/>
              <c:showVal val="1"/>
            </c:dLbl>
            <c:dLbl>
              <c:idx val="7"/>
              <c:layout>
                <c:manualLayout>
                  <c:x val="-2.5614307918724664E-3"/>
                  <c:y val="-1.9672231927418161E-3"/>
                </c:manualLayout>
              </c:layout>
              <c:dLblPos val="outEnd"/>
              <c:showVal val="1"/>
            </c:dLbl>
            <c:dLbl>
              <c:idx val="8"/>
              <c:layout>
                <c:manualLayout>
                  <c:x val="-4.719947313754294E-4"/>
                  <c:y val="4.395514321282384E-3"/>
                </c:manualLayout>
              </c:layout>
              <c:dLblPos val="outEnd"/>
              <c:showVal val="1"/>
            </c:dLbl>
            <c:dLbl>
              <c:idx val="9"/>
              <c:layout>
                <c:manualLayout>
                  <c:x val="6.1593990330394534E-4"/>
                  <c:y val="1.1697549680070083E-2"/>
                </c:manualLayout>
              </c:layout>
              <c:dLblPos val="outEnd"/>
              <c:showVal val="1"/>
            </c:dLbl>
            <c:dLbl>
              <c:idx val="10"/>
              <c:layout>
                <c:manualLayout>
                  <c:x val="-7.6087666080254003E-4"/>
                  <c:y val="6.6088965619700915E-3"/>
                </c:manualLayout>
              </c:layout>
              <c:dLblPos val="outEnd"/>
              <c:showVal val="1"/>
            </c:dLbl>
            <c:dLbl>
              <c:idx val="11"/>
              <c:layout>
                <c:manualLayout>
                  <c:x val="-1.4060157780458723E-3"/>
                  <c:y val="3.1182288270517442E-3"/>
                </c:manualLayout>
              </c:layout>
              <c:dLblPos val="outEnd"/>
              <c:showVal val="1"/>
            </c:dLbl>
            <c:dLbl>
              <c:idx val="15"/>
              <c:layout>
                <c:manualLayout>
                  <c:x val="0"/>
                  <c:y val="5.6314133539434987E-3"/>
                </c:manualLayout>
              </c:layout>
              <c:showVal val="1"/>
            </c:dLbl>
            <c:dLbl>
              <c:idx val="16"/>
              <c:layout>
                <c:manualLayout>
                  <c:x val="2.2050716648291092E-3"/>
                  <c:y val="2.8157066769717099E-3"/>
                </c:manualLayout>
              </c:layout>
              <c:showVal val="1"/>
            </c:dLbl>
            <c:dLbl>
              <c:idx val="18"/>
              <c:layout>
                <c:manualLayout>
                  <c:x val="0"/>
                  <c:y val="5.6314133539435039E-3"/>
                </c:manualLayout>
              </c:layout>
              <c:showVal val="1"/>
            </c:dLbl>
            <c:spPr>
              <a:noFill/>
              <a:ln w="21315">
                <a:noFill/>
              </a:ln>
            </c:spPr>
            <c:txPr>
              <a:bodyPr/>
              <a:lstStyle/>
              <a:p>
                <a:pPr>
                  <a:defRPr sz="688" b="1" i="0" u="none" strike="noStrike" baseline="0">
                    <a:solidFill>
                      <a:srgbClr val="000000"/>
                    </a:solidFill>
                    <a:latin typeface="Arial" pitchFamily="34" charset="0"/>
                    <a:ea typeface="Calibri"/>
                    <a:cs typeface="Calibri"/>
                  </a:defRPr>
                </a:pPr>
                <a:endParaRPr lang="ru-RU"/>
              </a:p>
            </c:txPr>
            <c:showVal val="1"/>
          </c:dLbls>
          <c:trendline>
            <c:trendlineType val="log"/>
          </c:trendline>
          <c:cat>
            <c:numRef>
              <c:f>Sheet1!$B$1:$U$1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Sheet1!$B$3:$U$3</c:f>
              <c:numCache>
                <c:formatCode>General</c:formatCode>
                <c:ptCount val="20"/>
                <c:pt idx="0">
                  <c:v>2.73</c:v>
                </c:pt>
                <c:pt idx="1">
                  <c:v>3.14</c:v>
                </c:pt>
                <c:pt idx="2">
                  <c:v>4.51</c:v>
                </c:pt>
                <c:pt idx="3">
                  <c:v>6.26</c:v>
                </c:pt>
                <c:pt idx="4">
                  <c:v>5.4300000000000024</c:v>
                </c:pt>
                <c:pt idx="5">
                  <c:v>5.75</c:v>
                </c:pt>
                <c:pt idx="6">
                  <c:v>5.0199999999999996</c:v>
                </c:pt>
                <c:pt idx="7">
                  <c:v>5.75</c:v>
                </c:pt>
                <c:pt idx="8">
                  <c:v>4.6199999999999966</c:v>
                </c:pt>
                <c:pt idx="9">
                  <c:v>3.13</c:v>
                </c:pt>
                <c:pt idx="10">
                  <c:v>3.8499999999999988</c:v>
                </c:pt>
                <c:pt idx="11">
                  <c:v>4.08</c:v>
                </c:pt>
                <c:pt idx="12">
                  <c:v>3.68</c:v>
                </c:pt>
                <c:pt idx="13">
                  <c:v>4.09</c:v>
                </c:pt>
                <c:pt idx="14">
                  <c:v>3.9499999999999997</c:v>
                </c:pt>
                <c:pt idx="15">
                  <c:v>6.49</c:v>
                </c:pt>
                <c:pt idx="16">
                  <c:v>4.05</c:v>
                </c:pt>
                <c:pt idx="17">
                  <c:v>3.74</c:v>
                </c:pt>
                <c:pt idx="18">
                  <c:v>1.0900000000000001</c:v>
                </c:pt>
                <c:pt idx="19">
                  <c:v>1.25</c:v>
                </c:pt>
              </c:numCache>
            </c:numRef>
          </c:val>
        </c:ser>
        <c:axId val="203179904"/>
        <c:axId val="203181440"/>
      </c:barChart>
      <c:catAx>
        <c:axId val="203179904"/>
        <c:scaling>
          <c:orientation val="minMax"/>
        </c:scaling>
        <c:axPos val="b"/>
        <c:numFmt formatCode="General" sourceLinked="1"/>
        <c:tickLblPos val="nextTo"/>
        <c:spPr>
          <a:ln w="2665">
            <a:solidFill>
              <a:srgbClr val="000000"/>
            </a:solidFill>
            <a:prstDash val="solid"/>
          </a:ln>
        </c:spPr>
        <c:txPr>
          <a:bodyPr rot="0" vert="horz"/>
          <a:lstStyle/>
          <a:p>
            <a:pPr>
              <a:defRPr sz="734" b="1" i="0" u="none" strike="noStrike" baseline="0">
                <a:solidFill>
                  <a:srgbClr val="000000"/>
                </a:solidFill>
                <a:latin typeface="Arial" pitchFamily="34" charset="0"/>
                <a:ea typeface="Calibri"/>
                <a:cs typeface="Calibri"/>
              </a:defRPr>
            </a:pPr>
            <a:endParaRPr lang="ru-RU"/>
          </a:p>
        </c:txPr>
        <c:crossAx val="203181440"/>
        <c:crosses val="autoZero"/>
        <c:auto val="1"/>
        <c:lblAlgn val="ctr"/>
        <c:lblOffset val="100"/>
        <c:tickLblSkip val="1"/>
        <c:tickMarkSkip val="1"/>
      </c:catAx>
      <c:valAx>
        <c:axId val="203181440"/>
        <c:scaling>
          <c:orientation val="minMax"/>
        </c:scaling>
        <c:axPos val="l"/>
        <c:majorGridlines>
          <c:spPr>
            <a:ln w="10658">
              <a:solidFill>
                <a:sysClr val="window" lastClr="FFFFFF">
                  <a:lumMod val="65000"/>
                </a:sysClr>
              </a:solidFill>
              <a:prstDash val="solid"/>
            </a:ln>
          </c:spPr>
        </c:majorGridlines>
        <c:numFmt formatCode="General" sourceLinked="1"/>
        <c:tickLblPos val="nextTo"/>
        <c:spPr>
          <a:ln w="2665">
            <a:solidFill>
              <a:srgbClr val="000000"/>
            </a:solidFill>
            <a:prstDash val="solid"/>
          </a:ln>
        </c:spPr>
        <c:txPr>
          <a:bodyPr rot="0" vert="horz"/>
          <a:lstStyle/>
          <a:p>
            <a:pPr>
              <a:defRPr sz="734" b="1" i="0" u="none" strike="noStrike" baseline="0">
                <a:solidFill>
                  <a:srgbClr val="000000"/>
                </a:solidFill>
                <a:latin typeface="Arial" pitchFamily="34" charset="0"/>
                <a:ea typeface="Calibri"/>
                <a:cs typeface="Calibri"/>
              </a:defRPr>
            </a:pPr>
            <a:endParaRPr lang="ru-RU"/>
          </a:p>
        </c:txPr>
        <c:crossAx val="203179904"/>
        <c:crosses val="autoZero"/>
        <c:crossBetween val="between"/>
      </c:valAx>
      <c:spPr>
        <a:ln>
          <a:noFill/>
        </a:ln>
      </c:spPr>
    </c:plotArea>
    <c:legend>
      <c:legendPos val="b"/>
      <c:layout>
        <c:manualLayout>
          <c:xMode val="edge"/>
          <c:yMode val="edge"/>
          <c:x val="0.31829931677503925"/>
          <c:y val="0.87290631700467636"/>
          <c:w val="0.48865672937520288"/>
          <c:h val="6.1633158648664518E-2"/>
        </c:manualLayout>
      </c:layout>
      <c:spPr>
        <a:noFill/>
        <a:ln w="2665">
          <a:noFill/>
          <a:prstDash val="solid"/>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chart>
  <c:spPr>
    <a:noFill/>
    <a:ln>
      <a:noFill/>
    </a:ln>
  </c:spPr>
  <c:txPr>
    <a:bodyPr/>
    <a:lstStyle/>
    <a:p>
      <a:pPr>
        <a:defRPr sz="1216" b="1" i="0" u="none" strike="noStrike" baseline="0">
          <a:solidFill>
            <a:srgbClr val="000000"/>
          </a:solidFill>
          <a:latin typeface="Calibri"/>
          <a:ea typeface="Calibri"/>
          <a:cs typeface="Calibri"/>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4.7101449275362285E-2"/>
          <c:y val="6.8840579710144928E-2"/>
          <c:w val="0.93297101449275865"/>
          <c:h val="0.75362318840582065"/>
        </c:manualLayout>
      </c:layout>
      <c:barChart>
        <c:barDir val="col"/>
        <c:grouping val="clustered"/>
        <c:ser>
          <c:idx val="0"/>
          <c:order val="0"/>
          <c:tx>
            <c:strRef>
              <c:f>Sheet1!$A$2</c:f>
              <c:strCache>
                <c:ptCount val="1"/>
                <c:pt idx="0">
                  <c:v>ОВГС</c:v>
                </c:pt>
              </c:strCache>
            </c:strRef>
          </c:tx>
          <c:spPr>
            <a:solidFill>
              <a:srgbClr val="FFC000"/>
            </a:solidFill>
          </c:spPr>
          <c:dLbls>
            <c:dLbl>
              <c:idx val="0"/>
              <c:layout>
                <c:manualLayout>
                  <c:x val="1.2102497466725981E-3"/>
                  <c:y val="6.1729883533071404E-3"/>
                </c:manualLayout>
              </c:layout>
              <c:dLblPos val="outEnd"/>
              <c:showVal val="1"/>
            </c:dLbl>
            <c:dLbl>
              <c:idx val="1"/>
              <c:layout>
                <c:manualLayout>
                  <c:x val="-1.3077931086180704E-2"/>
                  <c:y val="-3.2561119832727092E-3"/>
                </c:manualLayout>
              </c:layout>
              <c:dLblPos val="outEnd"/>
              <c:showVal val="1"/>
            </c:dLbl>
            <c:dLbl>
              <c:idx val="2"/>
              <c:layout>
                <c:manualLayout>
                  <c:x val="-9.3537974248870306E-3"/>
                  <c:y val="8.1489333710374739E-3"/>
                </c:manualLayout>
              </c:layout>
              <c:dLblPos val="outEnd"/>
              <c:showVal val="1"/>
            </c:dLbl>
            <c:dLbl>
              <c:idx val="3"/>
              <c:layout>
                <c:manualLayout>
                  <c:x val="-1.0804343437003485E-2"/>
                  <c:y val="3.8090768455267612E-3"/>
                </c:manualLayout>
              </c:layout>
              <c:dLblPos val="outEnd"/>
              <c:showVal val="1"/>
            </c:dLbl>
            <c:dLbl>
              <c:idx val="4"/>
              <c:layout>
                <c:manualLayout>
                  <c:x val="-1.2609485687198801E-2"/>
                  <c:y val="4.8311345187811794E-3"/>
                </c:manualLayout>
              </c:layout>
              <c:dLblPos val="outEnd"/>
              <c:showVal val="1"/>
            </c:dLbl>
            <c:dLbl>
              <c:idx val="5"/>
              <c:layout>
                <c:manualLayout>
                  <c:x val="-1.1653273135983955E-2"/>
                  <c:y val="4.6494232555284384E-3"/>
                </c:manualLayout>
              </c:layout>
              <c:dLblPos val="outEnd"/>
              <c:showVal val="1"/>
            </c:dLbl>
            <c:dLbl>
              <c:idx val="6"/>
              <c:layout>
                <c:manualLayout>
                  <c:x val="-9.7353840664903667E-3"/>
                  <c:y val="7.9392596617641909E-3"/>
                </c:manualLayout>
              </c:layout>
              <c:tx>
                <c:rich>
                  <a:bodyPr/>
                  <a:lstStyle/>
                  <a:p>
                    <a:r>
                      <a:rPr lang="en-US"/>
                      <a:t>1,7</a:t>
                    </a:r>
                    <a:r>
                      <a:rPr lang="ru-RU"/>
                      <a:t>0</a:t>
                    </a:r>
                    <a:endParaRPr lang="en-US"/>
                  </a:p>
                </c:rich>
              </c:tx>
              <c:dLblPos val="outEnd"/>
            </c:dLbl>
            <c:dLbl>
              <c:idx val="7"/>
              <c:layout>
                <c:manualLayout>
                  <c:x val="-1.3160673974989255E-2"/>
                  <c:y val="9.4970248617204048E-3"/>
                </c:manualLayout>
              </c:layout>
              <c:tx>
                <c:rich>
                  <a:bodyPr/>
                  <a:lstStyle/>
                  <a:p>
                    <a:r>
                      <a:rPr lang="ru-RU" baseline="0"/>
                      <a:t>2,45</a:t>
                    </a:r>
                    <a:endParaRPr lang="en-US" baseline="0"/>
                  </a:p>
                </c:rich>
              </c:tx>
              <c:dLblPos val="outEnd"/>
            </c:dLbl>
            <c:dLbl>
              <c:idx val="8"/>
              <c:layout>
                <c:manualLayout>
                  <c:x val="-1.0942336671743635E-2"/>
                  <c:y val="1.1862892018468804E-2"/>
                </c:manualLayout>
              </c:layout>
              <c:dLblPos val="outEnd"/>
              <c:showVal val="1"/>
            </c:dLbl>
            <c:dLbl>
              <c:idx val="9"/>
              <c:layout>
                <c:manualLayout>
                  <c:x val="-1.0691631773453067E-2"/>
                  <c:y val="1.0771236376909818E-2"/>
                </c:manualLayout>
              </c:layout>
              <c:dLblPos val="outEnd"/>
              <c:showVal val="1"/>
            </c:dLbl>
            <c:dLbl>
              <c:idx val="10"/>
              <c:layout>
                <c:manualLayout>
                  <c:x val="-1.0799085653123213E-2"/>
                  <c:y val="9.7925872202635766E-3"/>
                </c:manualLayout>
              </c:layout>
              <c:dLblPos val="outEnd"/>
              <c:showVal val="1"/>
            </c:dLbl>
            <c:dLbl>
              <c:idx val="11"/>
              <c:layout>
                <c:manualLayout>
                  <c:x val="-1.1264407752006891E-2"/>
                  <c:y val="6.8605405503493937E-3"/>
                </c:manualLayout>
              </c:layout>
              <c:dLblPos val="outEnd"/>
              <c:showVal val="1"/>
            </c:dLbl>
            <c:dLbl>
              <c:idx val="12"/>
              <c:layout>
                <c:manualLayout>
                  <c:x val="-1.0415434416497523E-2"/>
                  <c:y val="7.6820316155707434E-3"/>
                </c:manualLayout>
              </c:layout>
              <c:tx>
                <c:rich>
                  <a:bodyPr/>
                  <a:lstStyle/>
                  <a:p>
                    <a:r>
                      <a:rPr lang="en-US"/>
                      <a:t>1,6</a:t>
                    </a:r>
                    <a:r>
                      <a:rPr lang="ru-RU"/>
                      <a:t>0</a:t>
                    </a:r>
                    <a:endParaRPr lang="en-US"/>
                  </a:p>
                </c:rich>
              </c:tx>
              <c:showVal val="1"/>
            </c:dLbl>
            <c:dLbl>
              <c:idx val="13"/>
              <c:layout>
                <c:manualLayout>
                  <c:x val="-1.0622843290783467E-2"/>
                  <c:y val="5.042431113098959E-4"/>
                </c:manualLayout>
              </c:layout>
              <c:showVal val="1"/>
            </c:dLbl>
            <c:dLbl>
              <c:idx val="14"/>
              <c:layout>
                <c:manualLayout>
                  <c:x val="-1.1030538959081921E-2"/>
                  <c:y val="1.1248045984137601E-2"/>
                </c:manualLayout>
              </c:layout>
              <c:showVal val="1"/>
            </c:dLbl>
            <c:dLbl>
              <c:idx val="15"/>
              <c:layout>
                <c:manualLayout>
                  <c:x val="-1.1030538959081921E-2"/>
                  <c:y val="1.1248045984137601E-2"/>
                </c:manualLayout>
              </c:layout>
              <c:showVal val="1"/>
            </c:dLbl>
            <c:dLbl>
              <c:idx val="16"/>
              <c:layout>
                <c:manualLayout>
                  <c:x val="-1.1030538959081921E-2"/>
                  <c:y val="1.1248045984137601E-2"/>
                </c:manualLayout>
              </c:layout>
              <c:showVal val="1"/>
            </c:dLbl>
            <c:dLbl>
              <c:idx val="17"/>
              <c:layout>
                <c:manualLayout>
                  <c:x val="-8.8244311672655527E-3"/>
                  <c:y val="0"/>
                </c:manualLayout>
              </c:layout>
              <c:showVal val="1"/>
            </c:dLbl>
            <c:dLbl>
              <c:idx val="18"/>
              <c:layout>
                <c:manualLayout>
                  <c:x val="-8.8244311672655527E-3"/>
                  <c:y val="3.7493486613792092E-3"/>
                </c:manualLayout>
              </c:layout>
              <c:showVal val="1"/>
            </c:dLbl>
            <c:dLbl>
              <c:idx val="19"/>
              <c:layout>
                <c:manualLayout>
                  <c:x val="-6.6183233754491793E-3"/>
                  <c:y val="7.498697322758434E-3"/>
                </c:manualLayout>
              </c:layout>
              <c:showVal val="1"/>
            </c:dLbl>
            <c:spPr>
              <a:noFill/>
              <a:ln w="21379">
                <a:noFill/>
              </a:ln>
            </c:spPr>
            <c:txPr>
              <a:bodyPr/>
              <a:lstStyle/>
              <a:p>
                <a:pPr>
                  <a:defRPr sz="673" b="1" i="0" baseline="0">
                    <a:latin typeface="Arial" pitchFamily="34" charset="0"/>
                  </a:defRPr>
                </a:pPr>
                <a:endParaRPr lang="ru-RU"/>
              </a:p>
            </c:txPr>
            <c:showVal val="1"/>
          </c:dLbls>
          <c:cat>
            <c:numRef>
              <c:f>Sheet1!$B$1:$U$1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Sheet1!$B$2:$U$2</c:f>
              <c:numCache>
                <c:formatCode>General</c:formatCode>
                <c:ptCount val="20"/>
                <c:pt idx="0">
                  <c:v>8.68</c:v>
                </c:pt>
                <c:pt idx="1">
                  <c:v>3.42</c:v>
                </c:pt>
                <c:pt idx="2">
                  <c:v>2.54</c:v>
                </c:pt>
                <c:pt idx="3">
                  <c:v>3.46</c:v>
                </c:pt>
                <c:pt idx="4">
                  <c:v>3.15</c:v>
                </c:pt>
                <c:pt idx="5">
                  <c:v>2.27</c:v>
                </c:pt>
                <c:pt idx="6">
                  <c:v>1.7</c:v>
                </c:pt>
                <c:pt idx="7">
                  <c:v>2.42</c:v>
                </c:pt>
                <c:pt idx="8">
                  <c:v>2.3499999999999988</c:v>
                </c:pt>
                <c:pt idx="9">
                  <c:v>1.1700000000000021</c:v>
                </c:pt>
                <c:pt idx="10">
                  <c:v>1.42</c:v>
                </c:pt>
                <c:pt idx="11">
                  <c:v>1.1200000000000001</c:v>
                </c:pt>
                <c:pt idx="12">
                  <c:v>1.6</c:v>
                </c:pt>
                <c:pt idx="13">
                  <c:v>2.54</c:v>
                </c:pt>
                <c:pt idx="14">
                  <c:v>1.1499999999999913</c:v>
                </c:pt>
                <c:pt idx="15">
                  <c:v>1.8900000000000001</c:v>
                </c:pt>
                <c:pt idx="16">
                  <c:v>1.1599999999999913</c:v>
                </c:pt>
                <c:pt idx="17">
                  <c:v>0.58000000000000007</c:v>
                </c:pt>
                <c:pt idx="18">
                  <c:v>0.34</c:v>
                </c:pt>
                <c:pt idx="19">
                  <c:v>0.33000000000000246</c:v>
                </c:pt>
              </c:numCache>
            </c:numRef>
          </c:val>
        </c:ser>
        <c:ser>
          <c:idx val="1"/>
          <c:order val="1"/>
          <c:tx>
            <c:strRef>
              <c:f>Sheet1!$A$3</c:f>
              <c:strCache>
                <c:ptCount val="1"/>
                <c:pt idx="0">
                  <c:v>ХВГС</c:v>
                </c:pt>
              </c:strCache>
            </c:strRef>
          </c:tx>
          <c:spPr>
            <a:solidFill>
              <a:srgbClr val="00B050"/>
            </a:solidFill>
          </c:spPr>
          <c:dLbls>
            <c:dLbl>
              <c:idx val="0"/>
              <c:layout>
                <c:manualLayout>
                  <c:x val="2.0340487549821991E-2"/>
                  <c:y val="4.4823906083244934E-3"/>
                </c:manualLayout>
              </c:layout>
              <c:dLblPos val="outEnd"/>
              <c:showVal val="1"/>
            </c:dLbl>
            <c:dLbl>
              <c:idx val="1"/>
              <c:layout>
                <c:manualLayout>
                  <c:x val="2.1560824650638387E-3"/>
                  <c:y val="4.6348873185551248E-3"/>
                </c:manualLayout>
              </c:layout>
              <c:dLblPos val="outEnd"/>
              <c:showVal val="1"/>
            </c:dLbl>
            <c:dLbl>
              <c:idx val="2"/>
              <c:layout>
                <c:manualLayout>
                  <c:x val="4.9161246148579293E-3"/>
                  <c:y val="6.9632024473762124E-3"/>
                </c:manualLayout>
              </c:layout>
              <c:dLblPos val="outEnd"/>
              <c:showVal val="1"/>
            </c:dLbl>
            <c:dLbl>
              <c:idx val="3"/>
              <c:layout>
                <c:manualLayout>
                  <c:x val="4.30034681056743E-3"/>
                  <c:y val="8.7150214554263027E-4"/>
                </c:manualLayout>
              </c:layout>
              <c:dLblPos val="outEnd"/>
              <c:showVal val="1"/>
            </c:dLbl>
            <c:dLbl>
              <c:idx val="4"/>
              <c:layout>
                <c:manualLayout>
                  <c:x val="3.5353189546958805E-3"/>
                  <c:y val="3.4572665171821292E-3"/>
                </c:manualLayout>
              </c:layout>
              <c:dLblPos val="outEnd"/>
              <c:showVal val="1"/>
            </c:dLbl>
            <c:dLbl>
              <c:idx val="5"/>
              <c:layout>
                <c:manualLayout>
                  <c:x val="2.1598406677677201E-3"/>
                  <c:y val="1.2128439904467323E-2"/>
                </c:manualLayout>
              </c:layout>
              <c:dLblPos val="outEnd"/>
              <c:showVal val="1"/>
            </c:dLbl>
            <c:dLbl>
              <c:idx val="6"/>
              <c:layout>
                <c:manualLayout>
                  <c:x val="2.5843868343918292E-3"/>
                  <c:y val="1.1125649242509153E-2"/>
                </c:manualLayout>
              </c:layout>
              <c:dLblPos val="outEnd"/>
              <c:showVal val="1"/>
            </c:dLbl>
            <c:dLbl>
              <c:idx val="7"/>
              <c:layout>
                <c:manualLayout>
                  <c:x val="1.8427128047123582E-3"/>
                  <c:y val="8.941961724983051E-3"/>
                </c:manualLayout>
              </c:layout>
              <c:dLblPos val="outEnd"/>
              <c:showVal val="1"/>
            </c:dLbl>
            <c:dLbl>
              <c:idx val="8"/>
              <c:layout>
                <c:manualLayout>
                  <c:x val="3.9650456725233612E-3"/>
                  <c:y val="1.247079567329866E-2"/>
                </c:manualLayout>
              </c:layout>
              <c:tx>
                <c:rich>
                  <a:bodyPr/>
                  <a:lstStyle/>
                  <a:p>
                    <a:r>
                      <a:rPr lang="en-US"/>
                      <a:t>15,1</a:t>
                    </a:r>
                    <a:r>
                      <a:rPr lang="ru-RU"/>
                      <a:t>0</a:t>
                    </a:r>
                    <a:endParaRPr lang="en-US"/>
                  </a:p>
                </c:rich>
              </c:tx>
              <c:dLblPos val="outEnd"/>
            </c:dLbl>
            <c:dLbl>
              <c:idx val="9"/>
              <c:layout>
                <c:manualLayout>
                  <c:x val="8.9430073164918048E-4"/>
                  <c:y val="1.2605683747952881E-2"/>
                </c:manualLayout>
              </c:layout>
              <c:tx>
                <c:rich>
                  <a:bodyPr/>
                  <a:lstStyle/>
                  <a:p>
                    <a:r>
                      <a:rPr lang="ru-RU" baseline="0"/>
                      <a:t>13,06</a:t>
                    </a:r>
                    <a:endParaRPr lang="en-US" baseline="0"/>
                  </a:p>
                </c:rich>
              </c:tx>
              <c:dLblPos val="outEnd"/>
            </c:dLbl>
            <c:dLbl>
              <c:idx val="10"/>
              <c:layout>
                <c:manualLayout>
                  <c:x val="3.6544482734937765E-3"/>
                  <c:y val="6.58138877253432E-3"/>
                </c:manualLayout>
              </c:layout>
              <c:dLblPos val="outEnd"/>
              <c:showVal val="1"/>
            </c:dLbl>
            <c:dLbl>
              <c:idx val="11"/>
              <c:layout>
                <c:manualLayout>
                  <c:x val="-1.0991971096621321E-3"/>
                  <c:y val="-2.7676776588173506E-3"/>
                </c:manualLayout>
              </c:layout>
              <c:dLblPos val="outEnd"/>
              <c:showVal val="1"/>
            </c:dLbl>
            <c:dLbl>
              <c:idx val="15"/>
              <c:layout>
                <c:manualLayout>
                  <c:x val="0"/>
                  <c:y val="1.1248045984137601E-2"/>
                </c:manualLayout>
              </c:layout>
              <c:showVal val="1"/>
            </c:dLbl>
            <c:dLbl>
              <c:idx val="16"/>
              <c:layout>
                <c:manualLayout>
                  <c:x val="0"/>
                  <c:y val="3.7493486613792092E-3"/>
                </c:manualLayout>
              </c:layout>
              <c:showVal val="1"/>
            </c:dLbl>
            <c:dLbl>
              <c:idx val="17"/>
              <c:layout>
                <c:manualLayout>
                  <c:x val="0"/>
                  <c:y val="1.1248045984137601E-2"/>
                </c:manualLayout>
              </c:layout>
              <c:showVal val="1"/>
            </c:dLbl>
            <c:dLbl>
              <c:idx val="18"/>
              <c:layout>
                <c:manualLayout>
                  <c:x val="-2.2061077918164476E-3"/>
                  <c:y val="7.4986973227585667E-3"/>
                </c:manualLayout>
              </c:layout>
              <c:showVal val="1"/>
            </c:dLbl>
            <c:dLbl>
              <c:idx val="19"/>
              <c:layout>
                <c:manualLayout>
                  <c:x val="0"/>
                  <c:y val="7.498697322758434E-3"/>
                </c:manualLayout>
              </c:layout>
              <c:showVal val="1"/>
            </c:dLbl>
            <c:spPr>
              <a:noFill/>
              <a:ln w="21379">
                <a:noFill/>
              </a:ln>
            </c:spPr>
            <c:txPr>
              <a:bodyPr/>
              <a:lstStyle/>
              <a:p>
                <a:pPr>
                  <a:defRPr sz="673" b="1" i="0" baseline="0">
                    <a:latin typeface="Arial" pitchFamily="34" charset="0"/>
                  </a:defRPr>
                </a:pPr>
                <a:endParaRPr lang="ru-RU"/>
              </a:p>
            </c:txPr>
            <c:showVal val="1"/>
          </c:dLbls>
          <c:cat>
            <c:numRef>
              <c:f>Sheet1!$B$1:$U$1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Sheet1!$B$3:$U$3</c:f>
              <c:numCache>
                <c:formatCode>General</c:formatCode>
                <c:ptCount val="20"/>
                <c:pt idx="0">
                  <c:v>8.82</c:v>
                </c:pt>
                <c:pt idx="1">
                  <c:v>10.729999999999999</c:v>
                </c:pt>
                <c:pt idx="2">
                  <c:v>15.19</c:v>
                </c:pt>
                <c:pt idx="3">
                  <c:v>17.670000000000005</c:v>
                </c:pt>
                <c:pt idx="4">
                  <c:v>15.99</c:v>
                </c:pt>
                <c:pt idx="5">
                  <c:v>16.88</c:v>
                </c:pt>
                <c:pt idx="6">
                  <c:v>14.75</c:v>
                </c:pt>
                <c:pt idx="7">
                  <c:v>18.57</c:v>
                </c:pt>
                <c:pt idx="8">
                  <c:v>15.1</c:v>
                </c:pt>
                <c:pt idx="9">
                  <c:v>13.06</c:v>
                </c:pt>
                <c:pt idx="10">
                  <c:v>12.58</c:v>
                </c:pt>
                <c:pt idx="11">
                  <c:v>13.53</c:v>
                </c:pt>
                <c:pt idx="12">
                  <c:v>17.779999999999987</c:v>
                </c:pt>
                <c:pt idx="13">
                  <c:v>17.989999999999853</c:v>
                </c:pt>
                <c:pt idx="14">
                  <c:v>20.329999999999988</c:v>
                </c:pt>
                <c:pt idx="15">
                  <c:v>26.06</c:v>
                </c:pt>
                <c:pt idx="16">
                  <c:v>22.09</c:v>
                </c:pt>
                <c:pt idx="17">
                  <c:v>15.950000000000006</c:v>
                </c:pt>
                <c:pt idx="18">
                  <c:v>6.8199999999999985</c:v>
                </c:pt>
                <c:pt idx="19">
                  <c:v>6.35</c:v>
                </c:pt>
              </c:numCache>
            </c:numRef>
          </c:val>
        </c:ser>
        <c:axId val="203309440"/>
        <c:axId val="203310976"/>
      </c:barChart>
      <c:catAx>
        <c:axId val="203309440"/>
        <c:scaling>
          <c:orientation val="minMax"/>
        </c:scaling>
        <c:axPos val="b"/>
        <c:numFmt formatCode="General" sourceLinked="1"/>
        <c:tickLblPos val="nextTo"/>
        <c:txPr>
          <a:bodyPr rot="0" vert="horz"/>
          <a:lstStyle/>
          <a:p>
            <a:pPr>
              <a:defRPr sz="673" b="1" i="0" baseline="0">
                <a:latin typeface="Arial" pitchFamily="34" charset="0"/>
              </a:defRPr>
            </a:pPr>
            <a:endParaRPr lang="ru-RU"/>
          </a:p>
        </c:txPr>
        <c:crossAx val="203310976"/>
        <c:crosses val="autoZero"/>
        <c:auto val="1"/>
        <c:lblAlgn val="ctr"/>
        <c:lblOffset val="100"/>
        <c:tickLblSkip val="1"/>
        <c:tickMarkSkip val="1"/>
      </c:catAx>
      <c:valAx>
        <c:axId val="203310976"/>
        <c:scaling>
          <c:orientation val="minMax"/>
        </c:scaling>
        <c:axPos val="l"/>
        <c:majorGridlines>
          <c:spPr>
            <a:ln>
              <a:solidFill>
                <a:schemeClr val="bg1">
                  <a:lumMod val="75000"/>
                </a:schemeClr>
              </a:solidFill>
            </a:ln>
          </c:spPr>
        </c:majorGridlines>
        <c:numFmt formatCode="General" sourceLinked="1"/>
        <c:tickLblPos val="nextTo"/>
        <c:txPr>
          <a:bodyPr rot="0" vert="horz"/>
          <a:lstStyle/>
          <a:p>
            <a:pPr>
              <a:defRPr sz="673" b="1" i="0" baseline="0">
                <a:latin typeface="Arial" pitchFamily="34" charset="0"/>
              </a:defRPr>
            </a:pPr>
            <a:endParaRPr lang="ru-RU"/>
          </a:p>
        </c:txPr>
        <c:crossAx val="203309440"/>
        <c:crosses val="autoZero"/>
        <c:crossBetween val="between"/>
      </c:valAx>
    </c:plotArea>
    <c:legend>
      <c:legendPos val="b"/>
      <c:layout>
        <c:manualLayout>
          <c:xMode val="edge"/>
          <c:yMode val="edge"/>
          <c:x val="0.25157811380376188"/>
          <c:y val="0.95083304990538453"/>
          <c:w val="0.53356120437498689"/>
          <c:h val="3.8892782060266251E-2"/>
        </c:manualLayout>
      </c:layout>
      <c:spPr>
        <a:ln>
          <a:noFill/>
        </a:ln>
      </c:spPr>
      <c:txPr>
        <a:bodyPr/>
        <a:lstStyle/>
        <a:p>
          <a:pPr>
            <a:defRPr sz="757" baseline="0">
              <a:latin typeface="Arial" pitchFamily="34" charset="0"/>
            </a:defRPr>
          </a:pPr>
          <a:endParaRPr lang="ru-RU"/>
        </a:p>
      </c:txPr>
    </c:legend>
    <c:plotVisOnly val="1"/>
    <c:dispBlanksAs val="gap"/>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style val="31"/>
  <c:chart>
    <c:autoTitleDeleted val="1"/>
    <c:plotArea>
      <c:layout>
        <c:manualLayout>
          <c:layoutTarget val="inner"/>
          <c:xMode val="edge"/>
          <c:yMode val="edge"/>
          <c:x val="6.8904593639575976E-2"/>
          <c:y val="2.6200873362445452E-2"/>
          <c:w val="0.90812720848056561"/>
          <c:h val="0.82532751091703049"/>
        </c:manualLayout>
      </c:layout>
      <c:barChart>
        <c:barDir val="col"/>
        <c:grouping val="clustered"/>
        <c:ser>
          <c:idx val="0"/>
          <c:order val="0"/>
          <c:tx>
            <c:strRef>
              <c:f>Sheet1!$A$2:$C$2</c:f>
              <c:strCache>
                <c:ptCount val="1"/>
                <c:pt idx="0">
                  <c:v>ВГ В</c:v>
                </c:pt>
              </c:strCache>
            </c:strRef>
          </c:tx>
          <c:dLbls>
            <c:dLbl>
              <c:idx val="0"/>
              <c:layout>
                <c:manualLayout>
                  <c:x val="1.3281747699318445E-3"/>
                  <c:y val="8.0687433450663745E-3"/>
                </c:manualLayout>
              </c:layout>
              <c:spPr/>
              <c:txPr>
                <a:bodyPr/>
                <a:lstStyle/>
                <a:p>
                  <a:pPr>
                    <a:defRPr/>
                  </a:pPr>
                  <a:endParaRPr lang="ru-RU"/>
                </a:p>
              </c:txPr>
              <c:dLblPos val="outEnd"/>
              <c:showVal val="1"/>
            </c:dLbl>
            <c:dLbl>
              <c:idx val="1"/>
              <c:layout>
                <c:manualLayout>
                  <c:x val="-1.3727491026871183E-4"/>
                  <c:y val="4.0230971128609114E-3"/>
                </c:manualLayout>
              </c:layout>
              <c:tx>
                <c:rich>
                  <a:bodyPr/>
                  <a:lstStyle/>
                  <a:p>
                    <a:pPr>
                      <a:defRPr/>
                    </a:pPr>
                    <a:r>
                      <a:rPr lang="en-US"/>
                      <a:t>19,3</a:t>
                    </a:r>
                    <a:r>
                      <a:rPr lang="ru-RU"/>
                      <a:t>0</a:t>
                    </a:r>
                    <a:endParaRPr lang="en-US"/>
                  </a:p>
                </c:rich>
              </c:tx>
              <c:spPr/>
              <c:dLblPos val="outEnd"/>
              <c:showVal val="1"/>
            </c:dLbl>
            <c:dLbl>
              <c:idx val="2"/>
              <c:layout>
                <c:manualLayout>
                  <c:x val="1.7227998835535601E-3"/>
                  <c:y val="2.2315489633564591E-3"/>
                </c:manualLayout>
              </c:layout>
              <c:tx>
                <c:rich>
                  <a:bodyPr/>
                  <a:lstStyle/>
                  <a:p>
                    <a:pPr>
                      <a:defRPr/>
                    </a:pPr>
                    <a:r>
                      <a:rPr lang="en-US"/>
                      <a:t>16</a:t>
                    </a:r>
                    <a:r>
                      <a:rPr lang="ru-RU"/>
                      <a:t>,0</a:t>
                    </a:r>
                    <a:endParaRPr lang="en-US"/>
                  </a:p>
                </c:rich>
              </c:tx>
              <c:spPr/>
              <c:dLblPos val="outEnd"/>
            </c:dLbl>
            <c:dLbl>
              <c:idx val="3"/>
              <c:layout>
                <c:manualLayout>
                  <c:x val="3.0906621032529497E-3"/>
                  <c:y val="1.1278292539013956E-2"/>
                </c:manualLayout>
              </c:layout>
              <c:tx>
                <c:rich>
                  <a:bodyPr/>
                  <a:lstStyle/>
                  <a:p>
                    <a:pPr>
                      <a:defRPr/>
                    </a:pPr>
                    <a:r>
                      <a:rPr lang="ru-RU" sz="830" b="1" i="0" baseline="0">
                        <a:latin typeface="Arial" pitchFamily="34" charset="0"/>
                      </a:rPr>
                      <a:t>15,10</a:t>
                    </a:r>
                    <a:endParaRPr lang="en-US" sz="900" b="1" i="0" baseline="0">
                      <a:latin typeface="Arial" pitchFamily="34" charset="0"/>
                    </a:endParaRPr>
                  </a:p>
                </c:rich>
              </c:tx>
              <c:spPr/>
              <c:dLblPos val="outEnd"/>
            </c:dLbl>
            <c:dLbl>
              <c:idx val="4"/>
              <c:layout>
                <c:manualLayout>
                  <c:x val="1.4486747508972515E-4"/>
                  <c:y val="4.6132671143718273E-2"/>
                </c:manualLayout>
              </c:layout>
              <c:tx>
                <c:rich>
                  <a:bodyPr/>
                  <a:lstStyle/>
                  <a:p>
                    <a:pPr>
                      <a:defRPr/>
                    </a:pPr>
                    <a:r>
                      <a:rPr lang="ru-RU" sz="830" b="1" i="0" baseline="0">
                        <a:latin typeface="Arial" pitchFamily="34" charset="0"/>
                      </a:rPr>
                      <a:t>15,70
</a:t>
                    </a:r>
                  </a:p>
                </c:rich>
              </c:tx>
              <c:spPr/>
              <c:dLblPos val="outEnd"/>
            </c:dLbl>
            <c:dLbl>
              <c:idx val="5"/>
              <c:layout>
                <c:manualLayout>
                  <c:x val="3.9487197967531052E-3"/>
                  <c:y val="2.8563618185746252E-3"/>
                </c:manualLayout>
              </c:layout>
              <c:spPr/>
              <c:txPr>
                <a:bodyPr/>
                <a:lstStyle/>
                <a:p>
                  <a:pPr>
                    <a:defRPr/>
                  </a:pPr>
                  <a:endParaRPr lang="ru-RU"/>
                </a:p>
              </c:txPr>
              <c:dLblPos val="outEnd"/>
              <c:showVal val="1"/>
            </c:dLbl>
            <c:dLbl>
              <c:idx val="6"/>
              <c:layout>
                <c:manualLayout>
                  <c:x val="0"/>
                  <c:y val="4.8555474629764506E-3"/>
                </c:manualLayout>
              </c:layout>
              <c:showVal val="1"/>
            </c:dLbl>
            <c:dLbl>
              <c:idx val="7"/>
              <c:layout>
                <c:manualLayout>
                  <c:x val="0"/>
                  <c:y val="-2.4278119641454252E-2"/>
                </c:manualLayout>
              </c:layout>
              <c:tx>
                <c:rich>
                  <a:bodyPr/>
                  <a:lstStyle/>
                  <a:p>
                    <a:r>
                      <a:rPr lang="en-US"/>
                      <a:t>13,5</a:t>
                    </a:r>
                    <a:r>
                      <a:rPr lang="ru-RU"/>
                      <a:t>0</a:t>
                    </a:r>
                    <a:endParaRPr lang="en-US"/>
                  </a:p>
                </c:rich>
              </c:tx>
              <c:showVal val="1"/>
            </c:dLbl>
            <c:dLbl>
              <c:idx val="12"/>
              <c:layout>
                <c:manualLayout>
                  <c:x val="0"/>
                  <c:y val="9.7110949259528127E-3"/>
                </c:manualLayout>
              </c:layout>
              <c:showVal val="1"/>
            </c:dLbl>
            <c:showVal val="1"/>
          </c:dLbls>
          <c:cat>
            <c:numRef>
              <c:f>Sheet1!$D$1:$P$1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Sheet1!$D$2:$P$2</c:f>
              <c:numCache>
                <c:formatCode>General</c:formatCode>
                <c:ptCount val="13"/>
                <c:pt idx="0">
                  <c:v>25.52</c:v>
                </c:pt>
                <c:pt idx="1">
                  <c:v>19.3</c:v>
                </c:pt>
                <c:pt idx="2">
                  <c:v>16</c:v>
                </c:pt>
                <c:pt idx="3">
                  <c:v>15.1</c:v>
                </c:pt>
                <c:pt idx="4">
                  <c:v>15.7</c:v>
                </c:pt>
                <c:pt idx="5">
                  <c:v>15.98</c:v>
                </c:pt>
                <c:pt idx="6">
                  <c:v>11.29</c:v>
                </c:pt>
                <c:pt idx="7">
                  <c:v>13.5</c:v>
                </c:pt>
                <c:pt idx="8">
                  <c:v>12.16</c:v>
                </c:pt>
                <c:pt idx="9">
                  <c:v>11.42</c:v>
                </c:pt>
                <c:pt idx="10">
                  <c:v>10.719999999999999</c:v>
                </c:pt>
                <c:pt idx="11">
                  <c:v>1.51</c:v>
                </c:pt>
                <c:pt idx="12">
                  <c:v>0</c:v>
                </c:pt>
              </c:numCache>
            </c:numRef>
          </c:val>
        </c:ser>
        <c:gapWidth val="190"/>
        <c:axId val="203546624"/>
        <c:axId val="203548160"/>
      </c:barChart>
      <c:catAx>
        <c:axId val="203546624"/>
        <c:scaling>
          <c:orientation val="minMax"/>
        </c:scaling>
        <c:axPos val="b"/>
        <c:numFmt formatCode="General" sourceLinked="1"/>
        <c:tickLblPos val="nextTo"/>
        <c:spPr>
          <a:ln>
            <a:solidFill>
              <a:schemeClr val="tx1"/>
            </a:solidFill>
          </a:ln>
        </c:spPr>
        <c:txPr>
          <a:bodyPr rot="0" vert="horz"/>
          <a:lstStyle/>
          <a:p>
            <a:pPr>
              <a:defRPr sz="900" baseline="0"/>
            </a:pPr>
            <a:endParaRPr lang="ru-RU"/>
          </a:p>
        </c:txPr>
        <c:crossAx val="203548160"/>
        <c:crosses val="autoZero"/>
        <c:auto val="1"/>
        <c:lblAlgn val="ctr"/>
        <c:lblOffset val="100"/>
        <c:tickLblSkip val="1"/>
        <c:tickMarkSkip val="1"/>
      </c:catAx>
      <c:valAx>
        <c:axId val="203548160"/>
        <c:scaling>
          <c:orientation val="minMax"/>
        </c:scaling>
        <c:axPos val="l"/>
        <c:majorGridlines>
          <c:spPr>
            <a:ln>
              <a:solidFill>
                <a:schemeClr val="bg1">
                  <a:lumMod val="75000"/>
                </a:schemeClr>
              </a:solidFill>
            </a:ln>
          </c:spPr>
        </c:majorGridlines>
        <c:numFmt formatCode="General" sourceLinked="1"/>
        <c:tickLblPos val="nextTo"/>
        <c:txPr>
          <a:bodyPr rot="0" vert="horz"/>
          <a:lstStyle/>
          <a:p>
            <a:pPr>
              <a:defRPr sz="900" baseline="0"/>
            </a:pPr>
            <a:endParaRPr lang="ru-RU"/>
          </a:p>
        </c:txPr>
        <c:crossAx val="203546624"/>
        <c:crosses val="autoZero"/>
        <c:crossBetween val="between"/>
      </c:valAx>
    </c:plotArea>
    <c:plotVisOnly val="1"/>
    <c:dispBlanksAs val="gap"/>
  </c:chart>
  <c:spPr>
    <a:ln>
      <a:noFill/>
    </a:ln>
  </c:spPr>
  <c:txPr>
    <a:bodyPr/>
    <a:lstStyle/>
    <a:p>
      <a:pPr>
        <a:defRPr sz="830" b="1" i="0" baseline="0">
          <a:latin typeface="Arial" pitchFamily="34" charset="0"/>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210"/>
      <c:perspective val="0"/>
    </c:view3D>
    <c:plotArea>
      <c:layout>
        <c:manualLayout>
          <c:layoutTarget val="inner"/>
          <c:xMode val="edge"/>
          <c:yMode val="edge"/>
          <c:x val="4.9009397534847239E-2"/>
          <c:y val="1.5908898484463683E-3"/>
          <c:w val="0.92723961892398765"/>
          <c:h val="0.79477631435207385"/>
        </c:manualLayout>
      </c:layout>
      <c:pie3DChart>
        <c:varyColors val="1"/>
        <c:ser>
          <c:idx val="0"/>
          <c:order val="0"/>
          <c:tx>
            <c:strRef>
              <c:f>Sheet1!$A$2</c:f>
              <c:strCache>
                <c:ptCount val="1"/>
              </c:strCache>
            </c:strRef>
          </c:tx>
          <c:spPr>
            <a:solidFill>
              <a:schemeClr val="accent1"/>
            </a:solidFill>
            <a:ln w="12700">
              <a:solidFill>
                <a:srgbClr val="FFC000"/>
              </a:solidFill>
              <a:prstDash val="solid"/>
            </a:ln>
          </c:spPr>
          <c:explosion val="25"/>
          <c:dPt>
            <c:idx val="0"/>
            <c:spPr>
              <a:solidFill>
                <a:srgbClr val="00B050"/>
              </a:solidFill>
              <a:ln w="12700">
                <a:solidFill>
                  <a:schemeClr val="bg1">
                    <a:lumMod val="65000"/>
                  </a:schemeClr>
                </a:solidFill>
                <a:prstDash val="solid"/>
              </a:ln>
            </c:spPr>
          </c:dPt>
          <c:dPt>
            <c:idx val="1"/>
            <c:spPr>
              <a:solidFill>
                <a:srgbClr val="FFFF00"/>
              </a:solidFill>
              <a:ln w="6350">
                <a:solidFill>
                  <a:schemeClr val="bg1">
                    <a:lumMod val="75000"/>
                  </a:schemeClr>
                </a:solidFill>
              </a:ln>
            </c:spPr>
          </c:dPt>
          <c:dPt>
            <c:idx val="2"/>
            <c:spPr>
              <a:solidFill>
                <a:srgbClr val="00B0F0"/>
              </a:solidFill>
              <a:ln w="6350">
                <a:solidFill>
                  <a:schemeClr val="bg1">
                    <a:lumMod val="75000"/>
                  </a:schemeClr>
                </a:solidFill>
                <a:prstDash val="solid"/>
              </a:ln>
            </c:spPr>
          </c:dPt>
          <c:dPt>
            <c:idx val="3"/>
            <c:spPr>
              <a:solidFill>
                <a:srgbClr val="FF2F83"/>
              </a:solidFill>
              <a:ln w="12700">
                <a:solidFill>
                  <a:schemeClr val="bg1">
                    <a:lumMod val="75000"/>
                  </a:schemeClr>
                </a:solidFill>
                <a:prstDash val="solid"/>
              </a:ln>
            </c:spPr>
          </c:dPt>
          <c:dPt>
            <c:idx val="4"/>
            <c:spPr>
              <a:solidFill>
                <a:srgbClr val="07E2E7"/>
              </a:solidFill>
              <a:ln w="6350">
                <a:solidFill>
                  <a:schemeClr val="bg1">
                    <a:lumMod val="75000"/>
                  </a:schemeClr>
                </a:solidFill>
                <a:prstDash val="solid"/>
              </a:ln>
            </c:spPr>
          </c:dPt>
          <c:dPt>
            <c:idx val="5"/>
            <c:explosion val="15"/>
            <c:spPr>
              <a:solidFill>
                <a:srgbClr val="F65083"/>
              </a:solidFill>
              <a:ln w="6350">
                <a:solidFill>
                  <a:schemeClr val="bg1">
                    <a:lumMod val="75000"/>
                  </a:schemeClr>
                </a:solidFill>
                <a:prstDash val="solid"/>
              </a:ln>
            </c:spPr>
          </c:dPt>
          <c:dPt>
            <c:idx val="6"/>
            <c:spPr>
              <a:solidFill>
                <a:srgbClr val="7030A0"/>
              </a:solidFill>
              <a:ln w="6350">
                <a:solidFill>
                  <a:schemeClr val="bg1">
                    <a:lumMod val="75000"/>
                  </a:schemeClr>
                </a:solidFill>
              </a:ln>
            </c:spPr>
          </c:dPt>
          <c:dLbls>
            <c:dLbl>
              <c:idx val="0"/>
              <c:layout>
                <c:manualLayout>
                  <c:x val="0.15983570308110978"/>
                  <c:y val="8.0645161290322745E-2"/>
                </c:manualLayout>
              </c:layout>
              <c:dLblPos val="bestFit"/>
              <c:showVal val="1"/>
            </c:dLbl>
            <c:dLbl>
              <c:idx val="1"/>
              <c:layout>
                <c:manualLayout>
                  <c:x val="-3.9959362767359369E-2"/>
                  <c:y val="6.9892473118279952E-2"/>
                </c:manualLayout>
              </c:layout>
              <c:dLblPos val="bestFit"/>
              <c:showVal val="1"/>
            </c:dLbl>
            <c:dLbl>
              <c:idx val="2"/>
              <c:layout>
                <c:manualLayout>
                  <c:x val="-3.9959013169693691E-2"/>
                  <c:y val="-1.0752688172043012E-2"/>
                </c:manualLayout>
              </c:layout>
              <c:dLblPos val="bestFit"/>
              <c:showVal val="1"/>
            </c:dLbl>
            <c:dLbl>
              <c:idx val="3"/>
              <c:layout>
                <c:manualLayout>
                  <c:x val="3.9959013169693691E-2"/>
                  <c:y val="-0.11290322580645162"/>
                </c:manualLayout>
              </c:layout>
              <c:dLblPos val="bestFit"/>
              <c:showVal val="1"/>
            </c:dLbl>
            <c:txPr>
              <a:bodyPr/>
              <a:lstStyle/>
              <a:p>
                <a:pPr>
                  <a:defRPr sz="900" baseline="0">
                    <a:latin typeface="Arial" pitchFamily="34" charset="0"/>
                  </a:defRPr>
                </a:pPr>
                <a:endParaRPr lang="ru-RU"/>
              </a:p>
            </c:txPr>
            <c:dLblPos val="outEnd"/>
            <c:showVal val="1"/>
            <c:showLeaderLines val="1"/>
          </c:dLbls>
          <c:cat>
            <c:strRef>
              <c:f>Sheet1!$B$1:$E$1</c:f>
              <c:strCache>
                <c:ptCount val="4"/>
                <c:pt idx="0">
                  <c:v>постинъекционные инфекции</c:v>
                </c:pt>
                <c:pt idx="1">
                  <c:v>послеоперационные инфекции</c:v>
                </c:pt>
                <c:pt idx="2">
                  <c:v>гнойно-септические инфекции</c:v>
                </c:pt>
                <c:pt idx="3">
                  <c:v>внутриутробные инфекции</c:v>
                </c:pt>
              </c:strCache>
            </c:strRef>
          </c:cat>
          <c:val>
            <c:numRef>
              <c:f>Sheet1!$B$2:$E$2</c:f>
              <c:numCache>
                <c:formatCode>0.00</c:formatCode>
                <c:ptCount val="4"/>
                <c:pt idx="0">
                  <c:v>1.1000000000000001</c:v>
                </c:pt>
                <c:pt idx="1">
                  <c:v>0.4</c:v>
                </c:pt>
                <c:pt idx="2">
                  <c:v>0.4</c:v>
                </c:pt>
                <c:pt idx="3">
                  <c:v>93.3</c:v>
                </c:pt>
              </c:numCache>
            </c:numRef>
          </c:val>
        </c:ser>
        <c:dLbls>
          <c:showVal val="1"/>
        </c:dLbls>
      </c:pie3DChart>
      <c:spPr>
        <a:solidFill>
          <a:srgbClr val="FFFFFF"/>
        </a:solidFill>
        <a:ln w="25400">
          <a:noFill/>
        </a:ln>
      </c:spPr>
    </c:plotArea>
    <c:legend>
      <c:legendPos val="b"/>
      <c:layout>
        <c:manualLayout>
          <c:xMode val="edge"/>
          <c:yMode val="edge"/>
          <c:x val="6.2171050446593525E-2"/>
          <c:y val="0.69732198797730938"/>
          <c:w val="0.88897722056571193"/>
          <c:h val="0.27041994750656168"/>
        </c:manualLayout>
      </c:layout>
      <c:txPr>
        <a:bodyPr/>
        <a:lstStyle/>
        <a:p>
          <a:pPr>
            <a:defRPr sz="900" b="0" i="0" baseline="0">
              <a:latin typeface="Arial" pitchFamily="34" charset="0"/>
            </a:defRPr>
          </a:pPr>
          <a:endParaRPr lang="ru-RU"/>
        </a:p>
      </c:txPr>
    </c:legend>
    <c:plotVisOnly val="1"/>
    <c:dispBlanksAs val="zero"/>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5518769816965734E-2"/>
          <c:y val="5.0198564104325334E-2"/>
          <c:w val="0.92657299588889996"/>
          <c:h val="0.71184786541797085"/>
        </c:manualLayout>
      </c:layout>
      <c:barChart>
        <c:barDir val="col"/>
        <c:grouping val="clustered"/>
        <c:ser>
          <c:idx val="0"/>
          <c:order val="0"/>
          <c:tx>
            <c:strRef>
              <c:f>Лист1!$B$1</c:f>
              <c:strCache>
                <c:ptCount val="1"/>
                <c:pt idx="0">
                  <c:v>Брянская область</c:v>
                </c:pt>
              </c:strCache>
            </c:strRef>
          </c:tx>
          <c:spPr>
            <a:solidFill>
              <a:srgbClr val="00D05E"/>
            </a:solidFill>
          </c:spPr>
          <c:dLbls>
            <c:dLbl>
              <c:idx val="0"/>
              <c:layout>
                <c:manualLayout>
                  <c:x val="-4.4101433296582174E-3"/>
                  <c:y val="1.4534567665279207E-2"/>
                </c:manualLayout>
              </c:layout>
              <c:tx>
                <c:rich>
                  <a:bodyPr/>
                  <a:lstStyle/>
                  <a:p>
                    <a:r>
                      <a:rPr lang="en-US"/>
                      <a:t>9</a:t>
                    </a:r>
                    <a:r>
                      <a:rPr lang="ru-RU"/>
                      <a:t>,0</a:t>
                    </a:r>
                    <a:endParaRPr lang="en-US"/>
                  </a:p>
                </c:rich>
              </c:tx>
              <c:showVal val="1"/>
            </c:dLbl>
            <c:dLbl>
              <c:idx val="1"/>
              <c:layout>
                <c:manualLayout>
                  <c:x val="-6.6152149944873314E-3"/>
                  <c:y val="1.4534567665279207E-2"/>
                </c:manualLayout>
              </c:layout>
              <c:showVal val="1"/>
            </c:dLbl>
            <c:dLbl>
              <c:idx val="2"/>
              <c:layout>
                <c:manualLayout>
                  <c:x val="0"/>
                  <c:y val="6.2517715196482113E-3"/>
                </c:manualLayout>
              </c:layout>
              <c:showVal val="1"/>
            </c:dLbl>
            <c:dLbl>
              <c:idx val="3"/>
              <c:layout>
                <c:manualLayout>
                  <c:x val="-2.9881325473787851E-4"/>
                  <c:y val="1.7067244692307783E-2"/>
                </c:manualLayout>
              </c:layout>
              <c:showVal val="1"/>
            </c:dLbl>
            <c:dLbl>
              <c:idx val="4"/>
              <c:layout>
                <c:manualLayout>
                  <c:x val="-2.9881325473787851E-4"/>
                  <c:y val="2.7881954895536111E-2"/>
                </c:manualLayout>
              </c:layout>
              <c:showVal val="1"/>
            </c:dLbl>
            <c:dLbl>
              <c:idx val="5"/>
              <c:layout>
                <c:manualLayout>
                  <c:x val="-6.7647084357014726E-3"/>
                  <c:y val="1.4816103385409812E-2"/>
                </c:manualLayout>
              </c:layout>
              <c:showVal val="1"/>
            </c:dLbl>
            <c:dLbl>
              <c:idx val="6"/>
              <c:layout>
                <c:manualLayout>
                  <c:x val="-1.1025358324145541E-2"/>
                  <c:y val="1.7348398927722782E-2"/>
                </c:manualLayout>
              </c:layout>
              <c:showVal val="1"/>
            </c:dLbl>
            <c:dLbl>
              <c:idx val="7"/>
              <c:layout>
                <c:manualLayout>
                  <c:x val="-6.6152149944873314E-3"/>
                  <c:y val="7.9398413862851926E-3"/>
                </c:manualLayout>
              </c:layout>
              <c:showVal val="1"/>
            </c:dLbl>
            <c:dLbl>
              <c:idx val="8"/>
              <c:layout>
                <c:manualLayout>
                  <c:x val="-1.1025358324145541E-2"/>
                  <c:y val="2.8138312624436368E-3"/>
                </c:manualLayout>
              </c:layout>
              <c:showVal val="1"/>
            </c:dLbl>
            <c:dLbl>
              <c:idx val="9"/>
              <c:layout>
                <c:manualLayout>
                  <c:x val="-1.1025358324145541E-2"/>
                  <c:y val="0"/>
                </c:manualLayout>
              </c:layout>
              <c:tx>
                <c:rich>
                  <a:bodyPr/>
                  <a:lstStyle/>
                  <a:p>
                    <a:r>
                      <a:rPr lang="ru-RU"/>
                      <a:t>11,0</a:t>
                    </a:r>
                    <a:endParaRPr lang="en-US"/>
                  </a:p>
                </c:rich>
              </c:tx>
              <c:dLblPos val="outEnd"/>
              <c:showVal val="1"/>
            </c:dLbl>
            <c:dLbl>
              <c:idx val="10"/>
              <c:layout>
                <c:manualLayout>
                  <c:x val="-1.1025358324145541E-2"/>
                  <c:y val="0"/>
                </c:manualLayout>
              </c:layout>
              <c:showVal val="1"/>
            </c:dLbl>
            <c:dLbl>
              <c:idx val="11"/>
              <c:layout>
                <c:manualLayout>
                  <c:x val="-8.8202866593165268E-3"/>
                  <c:y val="9.689711776852801E-3"/>
                </c:manualLayout>
              </c:layout>
              <c:showVal val="1"/>
            </c:dLbl>
            <c:dLbl>
              <c:idx val="12"/>
              <c:layout>
                <c:manualLayout>
                  <c:x val="-8.8216341904908003E-3"/>
                  <c:y val="-1.5393140298248243E-2"/>
                </c:manualLayout>
              </c:layout>
              <c:showVal val="1"/>
            </c:dLbl>
            <c:dLbl>
              <c:idx val="13"/>
              <c:layout>
                <c:manualLayout>
                  <c:x val="-6.6152266788372339E-3"/>
                  <c:y val="-1.5962745402340835E-2"/>
                </c:manualLayout>
              </c:layout>
              <c:showVal val="1"/>
            </c:dLbl>
            <c:dLbl>
              <c:idx val="15"/>
              <c:tx>
                <c:rich>
                  <a:bodyPr/>
                  <a:lstStyle/>
                  <a:p>
                    <a:r>
                      <a:rPr lang="en-US"/>
                      <a:t>8</a:t>
                    </a:r>
                    <a:r>
                      <a:rPr lang="ru-RU"/>
                      <a:t>,0</a:t>
                    </a:r>
                    <a:endParaRPr lang="en-US"/>
                  </a:p>
                </c:rich>
              </c:tx>
              <c:showVal val="1"/>
            </c:dLbl>
            <c:spPr>
              <a:solidFill>
                <a:sysClr val="window" lastClr="FFFFFF">
                  <a:lumMod val="85000"/>
                </a:sysClr>
              </a:solidFill>
            </c:spPr>
            <c:txPr>
              <a:bodyPr/>
              <a:lstStyle/>
              <a:p>
                <a:pPr>
                  <a:defRPr sz="800" b="1" i="0" baseline="0">
                    <a:latin typeface="Arial" pitchFamily="34" charset="0"/>
                  </a:defRPr>
                </a:pPr>
                <a:endParaRPr lang="ru-RU"/>
              </a:p>
            </c:txPr>
            <c:showVal val="1"/>
          </c:dLbls>
          <c:trendline>
            <c:trendlineType val="linear"/>
          </c:trendline>
          <c:trendline>
            <c:spPr>
              <a:ln w="19050" cmpd="thinThick">
                <a:solidFill>
                  <a:sysClr val="window" lastClr="FFFFFF">
                    <a:lumMod val="50000"/>
                  </a:sysClr>
                </a:solidFill>
              </a:ln>
            </c:spPr>
            <c:trendlineType val="linear"/>
          </c:trendline>
          <c:cat>
            <c:numRef>
              <c:f>Лист1!$A$2:$A$17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Лист1!$B$2:$B$17</c:f>
              <c:numCache>
                <c:formatCode>General</c:formatCode>
                <c:ptCount val="16"/>
                <c:pt idx="0">
                  <c:v>9</c:v>
                </c:pt>
                <c:pt idx="1">
                  <c:v>9.1</c:v>
                </c:pt>
                <c:pt idx="2">
                  <c:v>10.200000000000001</c:v>
                </c:pt>
                <c:pt idx="3">
                  <c:v>10.9</c:v>
                </c:pt>
                <c:pt idx="4">
                  <c:v>11.1</c:v>
                </c:pt>
                <c:pt idx="5">
                  <c:v>10.7</c:v>
                </c:pt>
                <c:pt idx="6">
                  <c:v>10.9</c:v>
                </c:pt>
                <c:pt idx="7">
                  <c:v>11.4</c:v>
                </c:pt>
                <c:pt idx="8">
                  <c:v>11.1</c:v>
                </c:pt>
                <c:pt idx="9">
                  <c:v>11</c:v>
                </c:pt>
                <c:pt idx="10">
                  <c:v>11.4</c:v>
                </c:pt>
                <c:pt idx="11">
                  <c:v>10.9</c:v>
                </c:pt>
                <c:pt idx="12">
                  <c:v>9.5</c:v>
                </c:pt>
                <c:pt idx="13">
                  <c:v>9.2000000000000011</c:v>
                </c:pt>
                <c:pt idx="14">
                  <c:v>8.3000000000000007</c:v>
                </c:pt>
                <c:pt idx="15">
                  <c:v>8</c:v>
                </c:pt>
              </c:numCache>
            </c:numRef>
          </c:val>
        </c:ser>
        <c:ser>
          <c:idx val="1"/>
          <c:order val="1"/>
          <c:tx>
            <c:strRef>
              <c:f>Лист1!$C$1</c:f>
              <c:strCache>
                <c:ptCount val="1"/>
                <c:pt idx="0">
                  <c:v>Российская Федерация</c:v>
                </c:pt>
              </c:strCache>
            </c:strRef>
          </c:tx>
          <c:spPr>
            <a:solidFill>
              <a:srgbClr val="FF0000"/>
            </a:solidFill>
          </c:spPr>
          <c:dLbls>
            <c:dLbl>
              <c:idx val="0"/>
              <c:layout>
                <c:manualLayout>
                  <c:x val="1.3084582729253821E-3"/>
                  <c:y val="-5.1263916085569853E-3"/>
                </c:manualLayout>
              </c:layout>
              <c:showVal val="1"/>
            </c:dLbl>
            <c:dLbl>
              <c:idx val="1"/>
              <c:layout>
                <c:manualLayout>
                  <c:x val="-7.472935783799017E-4"/>
                  <c:y val="-1.4534567665279207E-2"/>
                </c:manualLayout>
              </c:layout>
              <c:showVal val="1"/>
            </c:dLbl>
            <c:dLbl>
              <c:idx val="2"/>
              <c:layout>
                <c:manualLayout>
                  <c:x val="-7.472935783799017E-4"/>
                  <c:y val="-2.4224279442131999E-2"/>
                </c:manualLayout>
              </c:layout>
              <c:showVal val="1"/>
            </c:dLbl>
            <c:dLbl>
              <c:idx val="3"/>
              <c:layout>
                <c:manualLayout>
                  <c:x val="1.2391808245579385E-3"/>
                  <c:y val="-1.48161033854098E-2"/>
                </c:manualLayout>
              </c:layout>
              <c:showVal val="1"/>
            </c:dLbl>
            <c:dLbl>
              <c:idx val="4"/>
              <c:layout>
                <c:manualLayout>
                  <c:x val="8.0729930809365497E-3"/>
                  <c:y val="-1.4534567665279215E-2"/>
                </c:manualLayout>
              </c:layout>
              <c:showVal val="1"/>
            </c:dLbl>
            <c:dLbl>
              <c:idx val="5"/>
              <c:layout>
                <c:manualLayout>
                  <c:x val="3.6628497512784111E-3"/>
                  <c:y val="-1.4534567665279207E-2"/>
                </c:manualLayout>
              </c:layout>
              <c:showVal val="1"/>
            </c:dLbl>
            <c:dLbl>
              <c:idx val="6"/>
              <c:layout>
                <c:manualLayout>
                  <c:x val="-7.2038128640755812E-4"/>
                  <c:y val="-1.9660577789121284E-2"/>
                </c:manualLayout>
              </c:layout>
              <c:showVal val="1"/>
            </c:dLbl>
            <c:dLbl>
              <c:idx val="7"/>
              <c:layout>
                <c:manualLayout>
                  <c:x val="2.2050716648291876E-3"/>
                  <c:y val="0"/>
                </c:manualLayout>
              </c:layout>
              <c:showVal val="1"/>
            </c:dLbl>
            <c:dLbl>
              <c:idx val="11"/>
              <c:layout>
                <c:manualLayout>
                  <c:x val="6.6152149944873314E-3"/>
                  <c:y val="4.8452373731420334E-3"/>
                </c:manualLayout>
              </c:layout>
              <c:showVal val="1"/>
            </c:dLbl>
            <c:dLbl>
              <c:idx val="12"/>
              <c:layout>
                <c:manualLayout>
                  <c:x val="2.2050716648291092E-3"/>
                  <c:y val="3.8148471562413904E-7"/>
                </c:manualLayout>
              </c:layout>
              <c:showVal val="1"/>
            </c:dLbl>
            <c:spPr>
              <a:solidFill>
                <a:schemeClr val="bg1">
                  <a:lumMod val="85000"/>
                </a:schemeClr>
              </a:solidFill>
            </c:spPr>
            <c:txPr>
              <a:bodyPr/>
              <a:lstStyle/>
              <a:p>
                <a:pPr>
                  <a:defRPr sz="800" b="1" i="0" baseline="0">
                    <a:latin typeface="Arial" pitchFamily="34" charset="0"/>
                  </a:defRPr>
                </a:pPr>
                <a:endParaRPr lang="ru-RU"/>
              </a:p>
            </c:txPr>
            <c:showVal val="1"/>
          </c:dLbls>
          <c:cat>
            <c:numRef>
              <c:f>Лист1!$A$2:$A$17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Лист1!$C$2:$C$17</c:f>
              <c:numCache>
                <c:formatCode>General</c:formatCode>
                <c:ptCount val="16"/>
                <c:pt idx="0">
                  <c:v>10.200000000000001</c:v>
                </c:pt>
                <c:pt idx="1">
                  <c:v>10.4</c:v>
                </c:pt>
                <c:pt idx="2">
                  <c:v>11.3</c:v>
                </c:pt>
                <c:pt idx="3">
                  <c:v>12.1</c:v>
                </c:pt>
                <c:pt idx="4">
                  <c:v>12.4</c:v>
                </c:pt>
                <c:pt idx="5">
                  <c:v>12.5</c:v>
                </c:pt>
                <c:pt idx="6">
                  <c:v>12.6</c:v>
                </c:pt>
                <c:pt idx="7">
                  <c:v>13.3</c:v>
                </c:pt>
                <c:pt idx="8">
                  <c:v>13.2</c:v>
                </c:pt>
                <c:pt idx="9">
                  <c:v>13.3</c:v>
                </c:pt>
                <c:pt idx="10">
                  <c:v>13.3</c:v>
                </c:pt>
                <c:pt idx="11">
                  <c:v>12.9</c:v>
                </c:pt>
                <c:pt idx="12">
                  <c:v>11.5</c:v>
                </c:pt>
                <c:pt idx="13">
                  <c:v>10.9</c:v>
                </c:pt>
                <c:pt idx="14">
                  <c:v>10.1</c:v>
                </c:pt>
                <c:pt idx="15">
                  <c:v>9.8000000000000007</c:v>
                </c:pt>
              </c:numCache>
            </c:numRef>
          </c:val>
        </c:ser>
        <c:dLbls>
          <c:showVal val="1"/>
        </c:dLbls>
        <c:axId val="141639040"/>
        <c:axId val="141739136"/>
      </c:barChart>
      <c:catAx>
        <c:axId val="141639040"/>
        <c:scaling>
          <c:orientation val="minMax"/>
        </c:scaling>
        <c:axPos val="b"/>
        <c:numFmt formatCode="General" sourceLinked="1"/>
        <c:tickLblPos val="low"/>
        <c:txPr>
          <a:bodyPr rot="0" vert="horz" anchor="ctr" anchorCtr="0"/>
          <a:lstStyle/>
          <a:p>
            <a:pPr>
              <a:defRPr sz="900" b="1" i="0" baseline="0">
                <a:latin typeface="Arial" pitchFamily="34" charset="0"/>
              </a:defRPr>
            </a:pPr>
            <a:endParaRPr lang="ru-RU"/>
          </a:p>
        </c:txPr>
        <c:crossAx val="141739136"/>
        <c:crosses val="autoZero"/>
        <c:auto val="1"/>
        <c:lblAlgn val="ctr"/>
        <c:lblOffset val="100"/>
      </c:catAx>
      <c:valAx>
        <c:axId val="141739136"/>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141639040"/>
        <c:crosses val="autoZero"/>
        <c:crossBetween val="between"/>
      </c:valAx>
    </c:plotArea>
    <c:legend>
      <c:legendPos val="b"/>
      <c:legendEntry>
        <c:idx val="2"/>
        <c:delete val="1"/>
      </c:legendEntry>
      <c:txPr>
        <a:bodyPr/>
        <a:lstStyle/>
        <a:p>
          <a:pPr>
            <a:defRPr sz="900" baseline="0">
              <a:latin typeface="Arial" pitchFamily="34" charset="0"/>
            </a:defRPr>
          </a:pPr>
          <a:endParaRPr lang="ru-RU"/>
        </a:p>
      </c:txPr>
    </c:legend>
    <c:plotVisOnly val="1"/>
  </c:chart>
  <c:spPr>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210"/>
      <c:perspective val="0"/>
    </c:view3D>
    <c:plotArea>
      <c:layout>
        <c:manualLayout>
          <c:layoutTarget val="inner"/>
          <c:xMode val="edge"/>
          <c:yMode val="edge"/>
          <c:x val="3.2164877053911051E-2"/>
          <c:y val="2.3281172440169822E-3"/>
          <c:w val="0.90621591328990003"/>
          <c:h val="0.77772827511006792"/>
        </c:manualLayout>
      </c:layout>
      <c:pie3DChart>
        <c:varyColors val="1"/>
        <c:ser>
          <c:idx val="0"/>
          <c:order val="0"/>
          <c:tx>
            <c:strRef>
              <c:f>Sheet1!$A$2</c:f>
              <c:strCache>
                <c:ptCount val="1"/>
              </c:strCache>
            </c:strRef>
          </c:tx>
          <c:spPr>
            <a:solidFill>
              <a:schemeClr val="accent1"/>
            </a:solidFill>
            <a:ln w="12700">
              <a:solidFill>
                <a:srgbClr val="FFC000"/>
              </a:solidFill>
              <a:prstDash val="solid"/>
            </a:ln>
          </c:spPr>
          <c:explosion val="25"/>
          <c:dPt>
            <c:idx val="0"/>
            <c:spPr>
              <a:solidFill>
                <a:srgbClr val="00B050"/>
              </a:solidFill>
              <a:ln w="12700">
                <a:solidFill>
                  <a:schemeClr val="bg1">
                    <a:lumMod val="65000"/>
                  </a:schemeClr>
                </a:solidFill>
                <a:prstDash val="solid"/>
              </a:ln>
            </c:spPr>
          </c:dPt>
          <c:dPt>
            <c:idx val="1"/>
            <c:spPr>
              <a:solidFill>
                <a:srgbClr val="FFFF00"/>
              </a:solidFill>
              <a:ln w="6350">
                <a:solidFill>
                  <a:schemeClr val="bg1">
                    <a:lumMod val="75000"/>
                  </a:schemeClr>
                </a:solidFill>
              </a:ln>
            </c:spPr>
          </c:dPt>
          <c:dPt>
            <c:idx val="2"/>
            <c:spPr>
              <a:solidFill>
                <a:srgbClr val="00B0F0"/>
              </a:solidFill>
              <a:ln w="6350">
                <a:solidFill>
                  <a:schemeClr val="bg1">
                    <a:lumMod val="75000"/>
                  </a:schemeClr>
                </a:solidFill>
                <a:prstDash val="solid"/>
              </a:ln>
            </c:spPr>
          </c:dPt>
          <c:dPt>
            <c:idx val="3"/>
            <c:spPr>
              <a:solidFill>
                <a:srgbClr val="FF2F83"/>
              </a:solidFill>
              <a:ln w="12700">
                <a:solidFill>
                  <a:schemeClr val="bg1">
                    <a:lumMod val="75000"/>
                  </a:schemeClr>
                </a:solidFill>
                <a:prstDash val="solid"/>
              </a:ln>
            </c:spPr>
          </c:dPt>
          <c:dLbls>
            <c:dLbl>
              <c:idx val="0"/>
              <c:layout>
                <c:manualLayout>
                  <c:x val="0.16047434015642537"/>
                  <c:y val="6.7174441976092264E-2"/>
                </c:manualLayout>
              </c:layout>
              <c:dLblPos val="bestFit"/>
              <c:showVal val="1"/>
            </c:dLbl>
            <c:dLbl>
              <c:idx val="1"/>
              <c:layout>
                <c:manualLayout>
                  <c:x val="-3.9034298956968014E-2"/>
                  <c:y val="7.2341706743483961E-2"/>
                </c:manualLayout>
              </c:layout>
              <c:dLblPos val="bestFit"/>
              <c:showVal val="1"/>
            </c:dLbl>
            <c:dLbl>
              <c:idx val="2"/>
              <c:layout>
                <c:manualLayout>
                  <c:x val="-2.1685721642760006E-2"/>
                  <c:y val="-5.1672647673917105E-3"/>
                </c:manualLayout>
              </c:layout>
              <c:dLblPos val="bestFit"/>
              <c:showVal val="1"/>
            </c:dLbl>
            <c:dLbl>
              <c:idx val="3"/>
              <c:layout>
                <c:manualLayout>
                  <c:x val="2.1685721642760052E-2"/>
                  <c:y val="-0.11367982488261764"/>
                </c:manualLayout>
              </c:layout>
              <c:dLblPos val="bestFit"/>
              <c:showVal val="1"/>
            </c:dLbl>
            <c:txPr>
              <a:bodyPr/>
              <a:lstStyle/>
              <a:p>
                <a:pPr>
                  <a:defRPr sz="900" baseline="0">
                    <a:latin typeface="Arial" pitchFamily="34" charset="0"/>
                  </a:defRPr>
                </a:pPr>
                <a:endParaRPr lang="ru-RU"/>
              </a:p>
            </c:txPr>
            <c:dLblPos val="outEnd"/>
            <c:showVal val="1"/>
            <c:showLeaderLines val="1"/>
          </c:dLbls>
          <c:cat>
            <c:strRef>
              <c:f>Sheet1!$B$1:$E$1</c:f>
              <c:strCache>
                <c:ptCount val="4"/>
                <c:pt idx="0">
                  <c:v>постинъекционные инфекции</c:v>
                </c:pt>
                <c:pt idx="1">
                  <c:v>послеоперационные инфекции</c:v>
                </c:pt>
                <c:pt idx="2">
                  <c:v>гнойно-септические инфекции</c:v>
                </c:pt>
                <c:pt idx="3">
                  <c:v>внутриутробные инфекции</c:v>
                </c:pt>
              </c:strCache>
            </c:strRef>
          </c:cat>
          <c:val>
            <c:numRef>
              <c:f>Sheet1!$B$2:$E$2</c:f>
              <c:numCache>
                <c:formatCode>0.00</c:formatCode>
                <c:ptCount val="4"/>
                <c:pt idx="0">
                  <c:v>1.2</c:v>
                </c:pt>
                <c:pt idx="1">
                  <c:v>4.3</c:v>
                </c:pt>
                <c:pt idx="2">
                  <c:v>1.2</c:v>
                </c:pt>
                <c:pt idx="3">
                  <c:v>98.2</c:v>
                </c:pt>
              </c:numCache>
            </c:numRef>
          </c:val>
        </c:ser>
        <c:dLbls>
          <c:showVal val="1"/>
        </c:dLbls>
      </c:pie3DChart>
      <c:spPr>
        <a:solidFill>
          <a:srgbClr val="FFFFFF"/>
        </a:solidFill>
        <a:ln w="25400">
          <a:noFill/>
        </a:ln>
      </c:spPr>
    </c:plotArea>
    <c:legend>
      <c:legendPos val="b"/>
      <c:layout>
        <c:manualLayout>
          <c:xMode val="edge"/>
          <c:yMode val="edge"/>
          <c:x val="0.10266327982367351"/>
          <c:y val="0.69359096420346822"/>
          <c:w val="0.82069630632396662"/>
          <c:h val="0.27540544719218157"/>
        </c:manualLayout>
      </c:layout>
      <c:txPr>
        <a:bodyPr/>
        <a:lstStyle/>
        <a:p>
          <a:pPr>
            <a:defRPr sz="900" b="0" i="0" baseline="0">
              <a:latin typeface="Arial" pitchFamily="34" charset="0"/>
            </a:defRPr>
          </a:pPr>
          <a:endParaRPr lang="ru-RU"/>
        </a:p>
      </c:txPr>
    </c:legend>
    <c:plotVisOnly val="1"/>
    <c:dispBlanksAs val="zero"/>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8.9751671657248344E-2"/>
          <c:y val="8.5545244166977244E-2"/>
          <c:w val="0.69257266361978564"/>
          <c:h val="0.7378191061552366"/>
        </c:manualLayout>
      </c:layout>
      <c:pie3DChart>
        <c:varyColors val="1"/>
        <c:ser>
          <c:idx val="0"/>
          <c:order val="0"/>
          <c:explosion val="10"/>
          <c:dPt>
            <c:idx val="0"/>
            <c:spPr>
              <a:solidFill>
                <a:srgbClr val="29A3C9"/>
              </a:solidFill>
            </c:spPr>
          </c:dPt>
          <c:dPt>
            <c:idx val="1"/>
            <c:spPr>
              <a:solidFill>
                <a:srgbClr val="F44A4A"/>
              </a:solidFill>
            </c:spPr>
          </c:dPt>
          <c:dPt>
            <c:idx val="2"/>
            <c:spPr>
              <a:solidFill>
                <a:srgbClr val="FFFF00"/>
              </a:solidFill>
            </c:spPr>
          </c:dPt>
          <c:dLbls>
            <c:dLbl>
              <c:idx val="0"/>
              <c:layout>
                <c:manualLayout>
                  <c:x val="0.16195531745701641"/>
                  <c:y val="-6.9667717899502294E-3"/>
                </c:manualLayout>
              </c:layout>
              <c:dLblPos val="bestFit"/>
              <c:showPercent val="1"/>
            </c:dLbl>
            <c:dLbl>
              <c:idx val="1"/>
              <c:layout>
                <c:manualLayout>
                  <c:x val="-4.2416868857789933E-2"/>
                  <c:y val="-1.3933543579900386E-2"/>
                </c:manualLayout>
              </c:layout>
              <c:dLblPos val="bestFit"/>
              <c:showPercent val="1"/>
            </c:dLbl>
            <c:dLbl>
              <c:idx val="2"/>
              <c:layout>
                <c:manualLayout>
                  <c:x val="0.10797021163801079"/>
                  <c:y val="-3.4833858949751002E-2"/>
                </c:manualLayout>
              </c:layout>
              <c:dLblPos val="bestFit"/>
              <c:showPercent val="1"/>
            </c:dLbl>
            <c:txPr>
              <a:bodyPr/>
              <a:lstStyle/>
              <a:p>
                <a:pPr>
                  <a:defRPr sz="900" b="1" i="0" baseline="0">
                    <a:latin typeface="Arial" pitchFamily="34" charset="0"/>
                  </a:defRPr>
                </a:pPr>
                <a:endParaRPr lang="ru-RU"/>
              </a:p>
            </c:txPr>
            <c:dLblPos val="outEnd"/>
            <c:showPercent val="1"/>
            <c:showLeaderLines val="1"/>
          </c:dLbls>
          <c:cat>
            <c:strRef>
              <c:f>Sheet1!$B$1:$D$1</c:f>
              <c:strCache>
                <c:ptCount val="3"/>
                <c:pt idx="0">
                  <c:v>родильные дома</c:v>
                </c:pt>
                <c:pt idx="1">
                  <c:v>амбулаторно-поликлинические учреждения</c:v>
                </c:pt>
                <c:pt idx="2">
                  <c:v>хирургические стационары</c:v>
                </c:pt>
              </c:strCache>
            </c:strRef>
          </c:cat>
          <c:val>
            <c:numRef>
              <c:f>Sheet1!$B$2:$D$2</c:f>
              <c:numCache>
                <c:formatCode>General</c:formatCode>
                <c:ptCount val="3"/>
                <c:pt idx="0">
                  <c:v>94.5</c:v>
                </c:pt>
                <c:pt idx="1">
                  <c:v>3.9</c:v>
                </c:pt>
                <c:pt idx="2">
                  <c:v>1.6</c:v>
                </c:pt>
              </c:numCache>
            </c:numRef>
          </c:val>
        </c:ser>
        <c:dLbls>
          <c:showPercent val="1"/>
        </c:dLbls>
      </c:pie3DChart>
    </c:plotArea>
    <c:legend>
      <c:legendPos val="b"/>
      <c:layout>
        <c:manualLayout>
          <c:xMode val="edge"/>
          <c:yMode val="edge"/>
          <c:x val="5.7555774235380523E-3"/>
          <c:y val="0.74196887553560564"/>
          <c:w val="0.85723651486942976"/>
          <c:h val="0.25803121042984439"/>
        </c:manualLayout>
      </c:layout>
      <c:txPr>
        <a:bodyPr/>
        <a:lstStyle/>
        <a:p>
          <a:pPr>
            <a:defRPr sz="900" b="0" i="0" baseline="0">
              <a:latin typeface="Arial" pitchFamily="34" charset="0"/>
            </a:defRPr>
          </a:pPr>
          <a:endParaRPr lang="ru-RU"/>
        </a:p>
      </c:txPr>
    </c:legend>
    <c:plotVisOnly val="1"/>
    <c:dispBlanksAs val="zero"/>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7.0432309518695418E-2"/>
          <c:y val="8.5545244166977244E-2"/>
          <c:w val="0.71189202575833821"/>
          <c:h val="0.75583387826837312"/>
        </c:manualLayout>
      </c:layout>
      <c:pie3DChart>
        <c:varyColors val="1"/>
        <c:ser>
          <c:idx val="0"/>
          <c:order val="0"/>
          <c:explosion val="10"/>
          <c:dPt>
            <c:idx val="0"/>
            <c:spPr>
              <a:solidFill>
                <a:srgbClr val="29A3C9"/>
              </a:solidFill>
            </c:spPr>
          </c:dPt>
          <c:dPt>
            <c:idx val="1"/>
            <c:spPr>
              <a:solidFill>
                <a:srgbClr val="F44A4A"/>
              </a:solidFill>
            </c:spPr>
          </c:dPt>
          <c:dPt>
            <c:idx val="2"/>
            <c:spPr>
              <a:solidFill>
                <a:srgbClr val="FFFF00"/>
              </a:solidFill>
            </c:spPr>
          </c:dPt>
          <c:dLbls>
            <c:dLbl>
              <c:idx val="0"/>
              <c:layout>
                <c:manualLayout>
                  <c:x val="0.14653100150872891"/>
                  <c:y val="0"/>
                </c:manualLayout>
              </c:layout>
              <c:tx>
                <c:rich>
                  <a:bodyPr/>
                  <a:lstStyle/>
                  <a:p>
                    <a:r>
                      <a:rPr lang="en-US"/>
                      <a:t>95</a:t>
                    </a:r>
                    <a:r>
                      <a:rPr lang="ru-RU"/>
                      <a:t>,0</a:t>
                    </a:r>
                    <a:r>
                      <a:rPr lang="en-US"/>
                      <a:t>%</a:t>
                    </a:r>
                  </a:p>
                </c:rich>
              </c:tx>
              <c:dLblPos val="bestFit"/>
              <c:showPercent val="1"/>
            </c:dLbl>
            <c:dLbl>
              <c:idx val="1"/>
              <c:layout>
                <c:manualLayout>
                  <c:x val="-4.6272947844861793E-2"/>
                  <c:y val="-2.7600835414262663E-2"/>
                </c:manualLayout>
              </c:layout>
              <c:tx>
                <c:rich>
                  <a:bodyPr/>
                  <a:lstStyle/>
                  <a:p>
                    <a:r>
                      <a:rPr lang="en-US"/>
                      <a:t>1</a:t>
                    </a:r>
                    <a:r>
                      <a:rPr lang="ru-RU"/>
                      <a:t>,0</a:t>
                    </a:r>
                    <a:r>
                      <a:rPr lang="en-US"/>
                      <a:t>%</a:t>
                    </a:r>
                  </a:p>
                </c:rich>
              </c:tx>
              <c:dLblPos val="bestFit"/>
              <c:showPercent val="1"/>
            </c:dLbl>
            <c:dLbl>
              <c:idx val="2"/>
              <c:layout>
                <c:manualLayout>
                  <c:x val="0.14653100150872891"/>
                  <c:y val="-4.1402339768457253E-2"/>
                </c:manualLayout>
              </c:layout>
              <c:tx>
                <c:rich>
                  <a:bodyPr/>
                  <a:lstStyle/>
                  <a:p>
                    <a:r>
                      <a:rPr lang="en-US"/>
                      <a:t>4</a:t>
                    </a:r>
                    <a:r>
                      <a:rPr lang="ru-RU"/>
                      <a:t>,0</a:t>
                    </a:r>
                    <a:r>
                      <a:rPr lang="en-US"/>
                      <a:t>%</a:t>
                    </a:r>
                  </a:p>
                </c:rich>
              </c:tx>
              <c:dLblPos val="bestFit"/>
              <c:showPercent val="1"/>
            </c:dLbl>
            <c:txPr>
              <a:bodyPr/>
              <a:lstStyle/>
              <a:p>
                <a:pPr>
                  <a:defRPr sz="900" b="1" i="0" baseline="0">
                    <a:latin typeface="Arial" pitchFamily="34" charset="0"/>
                  </a:defRPr>
                </a:pPr>
                <a:endParaRPr lang="ru-RU"/>
              </a:p>
            </c:txPr>
            <c:dLblPos val="outEnd"/>
            <c:showPercent val="1"/>
            <c:showLeaderLines val="1"/>
          </c:dLbls>
          <c:cat>
            <c:strRef>
              <c:f>Sheet1!$B$1:$D$1</c:f>
              <c:strCache>
                <c:ptCount val="3"/>
                <c:pt idx="0">
                  <c:v>родильные дома</c:v>
                </c:pt>
                <c:pt idx="1">
                  <c:v>амбулаторно-поликлинические учреждения</c:v>
                </c:pt>
                <c:pt idx="2">
                  <c:v>хирургические стационары</c:v>
                </c:pt>
              </c:strCache>
            </c:strRef>
          </c:cat>
          <c:val>
            <c:numRef>
              <c:f>Sheet1!$B$2:$D$2</c:f>
              <c:numCache>
                <c:formatCode>General</c:formatCode>
                <c:ptCount val="3"/>
                <c:pt idx="0">
                  <c:v>95</c:v>
                </c:pt>
                <c:pt idx="1">
                  <c:v>1</c:v>
                </c:pt>
                <c:pt idx="2">
                  <c:v>4</c:v>
                </c:pt>
              </c:numCache>
            </c:numRef>
          </c:val>
        </c:ser>
        <c:dLbls>
          <c:showPercent val="1"/>
        </c:dLbls>
      </c:pie3DChart>
    </c:plotArea>
    <c:legend>
      <c:legendPos val="b"/>
      <c:layout>
        <c:manualLayout>
          <c:xMode val="edge"/>
          <c:yMode val="edge"/>
          <c:x val="2.5035972358897256E-2"/>
          <c:y val="0.75576900926040891"/>
          <c:w val="0.85723651486942976"/>
          <c:h val="0.24255429432053049"/>
        </c:manualLayout>
      </c:layout>
      <c:txPr>
        <a:bodyPr/>
        <a:lstStyle/>
        <a:p>
          <a:pPr>
            <a:defRPr sz="900" b="0" i="0" baseline="0">
              <a:latin typeface="Arial" pitchFamily="34" charset="0"/>
            </a:defRPr>
          </a:pPr>
          <a:endParaRPr lang="ru-RU"/>
        </a:p>
      </c:txPr>
    </c:legend>
    <c:plotVisOnly val="1"/>
    <c:dispBlanksAs val="zero"/>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22319859402460457"/>
          <c:y val="9.4043887147335428E-3"/>
          <c:w val="0.71724741110376877"/>
          <c:h val="0.93650992870043737"/>
        </c:manualLayout>
      </c:layout>
      <c:barChart>
        <c:barDir val="bar"/>
        <c:grouping val="clustered"/>
        <c:ser>
          <c:idx val="0"/>
          <c:order val="0"/>
          <c:spPr>
            <a:solidFill>
              <a:srgbClr val="4F81BD"/>
            </a:solidFill>
          </c:spPr>
          <c:dPt>
            <c:idx val="7"/>
            <c:spPr>
              <a:solidFill>
                <a:srgbClr val="FFFF00"/>
              </a:solidFill>
            </c:spPr>
          </c:dPt>
          <c:dPt>
            <c:idx val="19"/>
            <c:spPr>
              <a:solidFill>
                <a:srgbClr val="1F497D">
                  <a:lumMod val="60000"/>
                  <a:lumOff val="40000"/>
                </a:srgbClr>
              </a:solidFill>
            </c:spPr>
          </c:dPt>
          <c:dLbls>
            <c:dLbl>
              <c:idx val="16"/>
              <c:tx>
                <c:rich>
                  <a:bodyPr/>
                  <a:lstStyle/>
                  <a:p>
                    <a:r>
                      <a:rPr lang="en-US" sz="870" baseline="0"/>
                      <a:t>293</a:t>
                    </a:r>
                    <a:r>
                      <a:rPr lang="ru-RU" sz="870" baseline="0"/>
                      <a:t>,0</a:t>
                    </a:r>
                    <a:endParaRPr lang="en-US" sz="870" baseline="0"/>
                  </a:p>
                </c:rich>
              </c:tx>
              <c:dLblPos val="outEnd"/>
              <c:showVal val="1"/>
            </c:dLbl>
            <c:dLbl>
              <c:idx val="20"/>
              <c:tx>
                <c:rich>
                  <a:bodyPr/>
                  <a:lstStyle/>
                  <a:p>
                    <a:r>
                      <a:rPr lang="en-US" sz="870" baseline="0"/>
                      <a:t>331</a:t>
                    </a:r>
                    <a:r>
                      <a:rPr lang="ru-RU" sz="870" baseline="0"/>
                      <a:t>,0</a:t>
                    </a:r>
                    <a:endParaRPr lang="en-US" sz="870" baseline="0"/>
                  </a:p>
                </c:rich>
              </c:tx>
              <c:dLblPos val="outEnd"/>
              <c:showVal val="1"/>
            </c:dLbl>
            <c:dLblPos val="outEnd"/>
            <c:showVal val="1"/>
          </c:dLbls>
          <c:cat>
            <c:strRef>
              <c:f>Sheet1!$B$1:$B$32</c:f>
              <c:strCache>
                <c:ptCount val="32"/>
                <c:pt idx="0">
                  <c:v>Навлинский</c:v>
                </c:pt>
                <c:pt idx="1">
                  <c:v>Жуковский</c:v>
                </c:pt>
                <c:pt idx="2">
                  <c:v>Брянский</c:v>
                </c:pt>
                <c:pt idx="3">
                  <c:v>Климовский</c:v>
                </c:pt>
                <c:pt idx="4">
                  <c:v>Гордеевский</c:v>
                </c:pt>
                <c:pt idx="5">
                  <c:v>г. Брянск</c:v>
                </c:pt>
                <c:pt idx="6">
                  <c:v>Карачевский</c:v>
                </c:pt>
                <c:pt idx="7">
                  <c:v>Стародубский</c:v>
                </c:pt>
                <c:pt idx="8">
                  <c:v>г. Сельцо</c:v>
                </c:pt>
                <c:pt idx="9">
                  <c:v>Брянская область</c:v>
                </c:pt>
                <c:pt idx="10">
                  <c:v>Жирятинский</c:v>
                </c:pt>
                <c:pt idx="11">
                  <c:v>г. Фокино</c:v>
                </c:pt>
                <c:pt idx="12">
                  <c:v>Брасовский</c:v>
                </c:pt>
                <c:pt idx="13">
                  <c:v>Почепский</c:v>
                </c:pt>
                <c:pt idx="14">
                  <c:v>г.Новозыбков+район</c:v>
                </c:pt>
                <c:pt idx="15">
                  <c:v>Выгоничский</c:v>
                </c:pt>
                <c:pt idx="16">
                  <c:v>Трубчевский</c:v>
                </c:pt>
                <c:pt idx="17">
                  <c:v>Рогнединский</c:v>
                </c:pt>
                <c:pt idx="18">
                  <c:v>г. Клинцы</c:v>
                </c:pt>
                <c:pt idx="19">
                  <c:v>Унечский</c:v>
                </c:pt>
                <c:pt idx="20">
                  <c:v>Клинцовский</c:v>
                </c:pt>
                <c:pt idx="21">
                  <c:v>Погарский</c:v>
                </c:pt>
                <c:pt idx="22">
                  <c:v>Дятьковский</c:v>
                </c:pt>
                <c:pt idx="23">
                  <c:v>Злынковский</c:v>
                </c:pt>
                <c:pt idx="24">
                  <c:v>Мглинский</c:v>
                </c:pt>
                <c:pt idx="25">
                  <c:v>Красногорский</c:v>
                </c:pt>
                <c:pt idx="26">
                  <c:v>Дубровский</c:v>
                </c:pt>
                <c:pt idx="27">
                  <c:v>Суражский</c:v>
                </c:pt>
                <c:pt idx="28">
                  <c:v>Клетнянский</c:v>
                </c:pt>
                <c:pt idx="29">
                  <c:v>Суземский</c:v>
                </c:pt>
                <c:pt idx="30">
                  <c:v>Комаричский</c:v>
                </c:pt>
                <c:pt idx="31">
                  <c:v>Севский</c:v>
                </c:pt>
              </c:strCache>
            </c:strRef>
          </c:cat>
          <c:val>
            <c:numRef>
              <c:f>Sheet1!$C$1:$C$32</c:f>
              <c:numCache>
                <c:formatCode>General</c:formatCode>
                <c:ptCount val="32"/>
                <c:pt idx="0">
                  <c:v>672.5</c:v>
                </c:pt>
                <c:pt idx="1">
                  <c:v>598.79999999999995</c:v>
                </c:pt>
                <c:pt idx="2">
                  <c:v>436.2</c:v>
                </c:pt>
                <c:pt idx="3">
                  <c:v>396.3</c:v>
                </c:pt>
                <c:pt idx="4">
                  <c:v>390.7</c:v>
                </c:pt>
                <c:pt idx="5">
                  <c:v>358.7</c:v>
                </c:pt>
                <c:pt idx="6">
                  <c:v>316.89999999999969</c:v>
                </c:pt>
                <c:pt idx="7">
                  <c:v>299.7</c:v>
                </c:pt>
                <c:pt idx="8">
                  <c:v>267.5</c:v>
                </c:pt>
                <c:pt idx="9">
                  <c:v>250.8</c:v>
                </c:pt>
                <c:pt idx="10">
                  <c:v>233.8</c:v>
                </c:pt>
                <c:pt idx="11">
                  <c:v>231.7</c:v>
                </c:pt>
                <c:pt idx="12">
                  <c:v>207.4</c:v>
                </c:pt>
                <c:pt idx="13">
                  <c:v>165.5</c:v>
                </c:pt>
                <c:pt idx="14">
                  <c:v>154</c:v>
                </c:pt>
                <c:pt idx="15">
                  <c:v>95.72</c:v>
                </c:pt>
                <c:pt idx="16">
                  <c:v>94.43</c:v>
                </c:pt>
                <c:pt idx="17">
                  <c:v>79.13</c:v>
                </c:pt>
                <c:pt idx="18">
                  <c:v>77.239999999999995</c:v>
                </c:pt>
                <c:pt idx="19">
                  <c:v>70.89</c:v>
                </c:pt>
                <c:pt idx="20">
                  <c:v>64.61999999999999</c:v>
                </c:pt>
                <c:pt idx="21">
                  <c:v>62.56</c:v>
                </c:pt>
                <c:pt idx="22">
                  <c:v>62.349999999999994</c:v>
                </c:pt>
                <c:pt idx="23">
                  <c:v>54.52</c:v>
                </c:pt>
                <c:pt idx="24">
                  <c:v>42.949999999999996</c:v>
                </c:pt>
                <c:pt idx="25">
                  <c:v>36.43</c:v>
                </c:pt>
                <c:pt idx="26">
                  <c:v>33.120000000000012</c:v>
                </c:pt>
                <c:pt idx="27">
                  <c:v>27.2</c:v>
                </c:pt>
                <c:pt idx="28">
                  <c:v>11.19</c:v>
                </c:pt>
                <c:pt idx="29">
                  <c:v>6.73</c:v>
                </c:pt>
                <c:pt idx="30">
                  <c:v>6.37</c:v>
                </c:pt>
                <c:pt idx="31">
                  <c:v>0</c:v>
                </c:pt>
              </c:numCache>
            </c:numRef>
          </c:val>
        </c:ser>
        <c:axId val="206410496"/>
        <c:axId val="206412032"/>
      </c:barChart>
      <c:catAx>
        <c:axId val="206410496"/>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06412032"/>
        <c:crosses val="autoZero"/>
        <c:auto val="1"/>
        <c:lblAlgn val="l"/>
        <c:lblOffset val="100"/>
        <c:tickLblSkip val="1"/>
        <c:tickMarkSkip val="1"/>
      </c:catAx>
      <c:valAx>
        <c:axId val="206412032"/>
        <c:scaling>
          <c:orientation val="minMax"/>
          <c:max val="700"/>
        </c:scaling>
        <c:axPos val="b"/>
        <c:numFmt formatCode="General" sourceLinked="1"/>
        <c:tickLblPos val="nextTo"/>
        <c:spPr>
          <a:ln>
            <a:solidFill>
              <a:schemeClr val="tx1"/>
            </a:solidFill>
          </a:ln>
        </c:spPr>
        <c:txPr>
          <a:bodyPr rot="0" vert="horz"/>
          <a:lstStyle/>
          <a:p>
            <a:pPr>
              <a:defRPr/>
            </a:pPr>
            <a:endParaRPr lang="ru-RU"/>
          </a:p>
        </c:txPr>
        <c:crossAx val="206410496"/>
        <c:crosses val="autoZero"/>
        <c:crossBetween val="between"/>
      </c:valAx>
    </c:plotArea>
    <c:plotVisOnly val="1"/>
    <c:dispBlanksAs val="gap"/>
  </c:chart>
  <c:spPr>
    <a:ln>
      <a:noFill/>
    </a:ln>
  </c:spPr>
  <c:txPr>
    <a:bodyPr/>
    <a:lstStyle/>
    <a:p>
      <a:pPr algn="just">
        <a:defRPr sz="870" b="1" i="0" baseline="0">
          <a:latin typeface="Arial" pitchFamily="34" charset="0"/>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6.2829221746567021E-2"/>
          <c:y val="6.9767441860465934E-2"/>
          <c:w val="0.87185902574704732"/>
          <c:h val="0.77209302325590268"/>
        </c:manualLayout>
      </c:layout>
      <c:barChart>
        <c:barDir val="col"/>
        <c:grouping val="clustered"/>
        <c:ser>
          <c:idx val="0"/>
          <c:order val="0"/>
          <c:dLbls>
            <c:dLbl>
              <c:idx val="0"/>
              <c:layout>
                <c:manualLayout>
                  <c:x val="2.2050716648291092E-3"/>
                  <c:y val="1.4104368723714702E-2"/>
                </c:manualLayout>
              </c:layout>
              <c:showVal val="1"/>
            </c:dLbl>
            <c:dLbl>
              <c:idx val="1"/>
              <c:layout>
                <c:manualLayout>
                  <c:x val="-2.2050716648291092E-3"/>
                  <c:y val="9.8407861986096364E-3"/>
                </c:manualLayout>
              </c:layout>
              <c:showVal val="1"/>
            </c:dLbl>
            <c:dLbl>
              <c:idx val="2"/>
              <c:layout>
                <c:manualLayout>
                  <c:x val="-2.2057661755896852E-3"/>
                  <c:y val="1.4139558836151402E-2"/>
                </c:manualLayout>
              </c:layout>
              <c:showVal val="1"/>
            </c:dLbl>
            <c:dLbl>
              <c:idx val="3"/>
              <c:layout>
                <c:manualLayout>
                  <c:x val="-4.4108378404187866E-3"/>
                  <c:y val="1.1565530855721581E-3"/>
                </c:manualLayout>
              </c:layout>
              <c:showVal val="1"/>
            </c:dLbl>
            <c:dLbl>
              <c:idx val="4"/>
              <c:layout>
                <c:manualLayout>
                  <c:x val="-1.7362769014403037E-7"/>
                  <c:y val="2.6072996177329995E-2"/>
                </c:manualLayout>
              </c:layout>
              <c:showVal val="1"/>
            </c:dLbl>
            <c:dLbl>
              <c:idx val="5"/>
              <c:layout>
                <c:manualLayout>
                  <c:x val="-4.408766224129613E-3"/>
                  <c:y val="1.8811321809854765E-2"/>
                </c:manualLayout>
              </c:layout>
              <c:showVal val="1"/>
            </c:dLbl>
            <c:txPr>
              <a:bodyPr/>
              <a:lstStyle/>
              <a:p>
                <a:pPr>
                  <a:defRPr sz="800" b="1">
                    <a:latin typeface="Arial" pitchFamily="34" charset="0"/>
                    <a:cs typeface="Arial" pitchFamily="34" charset="0"/>
                  </a:defRPr>
                </a:pPr>
                <a:endParaRPr lang="ru-RU"/>
              </a:p>
            </c:txPr>
            <c:showVal val="1"/>
          </c:dLbls>
          <c:cat>
            <c:strRef>
              <c:f>Sheet1!$B$1:$G$1</c:f>
              <c:strCache>
                <c:ptCount val="6"/>
                <c:pt idx="0">
                  <c:v> до 1 года</c:v>
                </c:pt>
                <c:pt idx="1">
                  <c:v> от 1 до 2 лет</c:v>
                </c:pt>
                <c:pt idx="2">
                  <c:v> 3-6 лет</c:v>
                </c:pt>
                <c:pt idx="3">
                  <c:v>7-14 лет</c:v>
                </c:pt>
                <c:pt idx="4">
                  <c:v>15-17 лет</c:v>
                </c:pt>
                <c:pt idx="5">
                  <c:v>взрослые</c:v>
                </c:pt>
              </c:strCache>
            </c:strRef>
          </c:cat>
          <c:val>
            <c:numRef>
              <c:f>Sheet1!$B$2:$G$2</c:f>
              <c:numCache>
                <c:formatCode>General</c:formatCode>
                <c:ptCount val="6"/>
                <c:pt idx="0">
                  <c:v>76.400000000000006</c:v>
                </c:pt>
                <c:pt idx="1">
                  <c:v>159.5</c:v>
                </c:pt>
                <c:pt idx="2">
                  <c:v>43.3</c:v>
                </c:pt>
                <c:pt idx="3">
                  <c:v>13.3</c:v>
                </c:pt>
                <c:pt idx="4">
                  <c:v>11.4</c:v>
                </c:pt>
                <c:pt idx="5">
                  <c:v>5.4300000000000024</c:v>
                </c:pt>
              </c:numCache>
            </c:numRef>
          </c:val>
        </c:ser>
        <c:dLbls>
          <c:showVal val="1"/>
        </c:dLbls>
        <c:gapWidth val="190"/>
        <c:axId val="206374016"/>
        <c:axId val="206375552"/>
      </c:barChart>
      <c:catAx>
        <c:axId val="206374016"/>
        <c:scaling>
          <c:orientation val="minMax"/>
        </c:scaling>
        <c:axPos val="b"/>
        <c:numFmt formatCode="General" sourceLinked="1"/>
        <c:tickLblPos val="nextTo"/>
        <c:spPr>
          <a:ln>
            <a:solidFill>
              <a:schemeClr val="tx1"/>
            </a:solidFill>
          </a:ln>
        </c:spPr>
        <c:txPr>
          <a:bodyPr rot="0" vert="horz"/>
          <a:lstStyle/>
          <a:p>
            <a:pPr>
              <a:defRPr sz="763" b="1" i="0" baseline="0">
                <a:latin typeface="Arial" pitchFamily="34" charset="0"/>
              </a:defRPr>
            </a:pPr>
            <a:endParaRPr lang="ru-RU"/>
          </a:p>
        </c:txPr>
        <c:crossAx val="206375552"/>
        <c:crosses val="autoZero"/>
        <c:auto val="1"/>
        <c:lblAlgn val="ctr"/>
        <c:lblOffset val="100"/>
        <c:tickLblSkip val="1"/>
        <c:tickMarkSkip val="1"/>
      </c:catAx>
      <c:valAx>
        <c:axId val="206375552"/>
        <c:scaling>
          <c:orientation val="minMax"/>
        </c:scaling>
        <c:axPos val="l"/>
        <c:majorGridlines>
          <c:spPr>
            <a:ln>
              <a:solidFill>
                <a:sysClr val="window" lastClr="FFFFFF">
                  <a:lumMod val="75000"/>
                </a:sysClr>
              </a:solidFill>
            </a:ln>
          </c:spPr>
        </c:majorGridlines>
        <c:numFmt formatCode="General" sourceLinked="1"/>
        <c:tickLblPos val="nextTo"/>
        <c:spPr>
          <a:ln>
            <a:solidFill>
              <a:schemeClr val="tx1"/>
            </a:solidFill>
          </a:ln>
        </c:spPr>
        <c:txPr>
          <a:bodyPr rot="0" vert="horz"/>
          <a:lstStyle/>
          <a:p>
            <a:pPr>
              <a:defRPr sz="808" b="1" i="0" baseline="0">
                <a:latin typeface="Arial" pitchFamily="34" charset="0"/>
              </a:defRPr>
            </a:pPr>
            <a:endParaRPr lang="ru-RU"/>
          </a:p>
        </c:txPr>
        <c:crossAx val="206374016"/>
        <c:crosses val="autoZero"/>
        <c:crossBetween val="between"/>
      </c:valAx>
    </c:plotArea>
    <c:plotVisOnly val="1"/>
    <c:dispBlanksAs val="gap"/>
  </c:chart>
  <c:spPr>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hPercent val="48"/>
      <c:rotY val="30"/>
      <c:depthPercent val="100"/>
      <c:rAngAx val="1"/>
    </c:view3D>
    <c:floor>
      <c:spPr>
        <a:noFill/>
        <a:ln w="3175">
          <a:solidFill>
            <a:srgbClr val="000000"/>
          </a:solidFill>
          <a:prstDash val="solid"/>
        </a:ln>
      </c:spPr>
    </c:floor>
    <c:sideWall>
      <c:spPr>
        <a:noFill/>
        <a:ln w="12700">
          <a:solidFill>
            <a:sysClr val="window" lastClr="FFFFFF">
              <a:lumMod val="75000"/>
            </a:sysClr>
          </a:solidFill>
        </a:ln>
      </c:spPr>
    </c:sideWall>
    <c:backWall>
      <c:spPr>
        <a:noFill/>
        <a:ln w="25400">
          <a:noFill/>
        </a:ln>
      </c:spPr>
    </c:backWall>
    <c:plotArea>
      <c:layout>
        <c:manualLayout>
          <c:layoutTarget val="inner"/>
          <c:xMode val="edge"/>
          <c:yMode val="edge"/>
          <c:x val="5.8433449410990684E-2"/>
          <c:y val="5.1130822488115006E-2"/>
          <c:w val="0.89505117613532714"/>
          <c:h val="0.68050660827159914"/>
        </c:manualLayout>
      </c:layout>
      <c:bar3DChart>
        <c:barDir val="col"/>
        <c:grouping val="clustered"/>
        <c:ser>
          <c:idx val="0"/>
          <c:order val="0"/>
          <c:tx>
            <c:strRef>
              <c:f>Лист1!$A$2</c:f>
              <c:strCache>
                <c:ptCount val="1"/>
                <c:pt idx="0">
                  <c:v>Группа В (S.tiphimurium, S.derbi, S.brandenburg)</c:v>
                </c:pt>
              </c:strCache>
            </c:strRef>
          </c:tx>
          <c:spPr>
            <a:solidFill>
              <a:srgbClr val="00B050"/>
            </a:solidFill>
          </c:spPr>
          <c:dLbls>
            <c:dLbl>
              <c:idx val="0"/>
              <c:layout>
                <c:manualLayout>
                  <c:x val="1.1025358324145541E-2"/>
                  <c:y val="4.2100782643604284E-3"/>
                </c:manualLayout>
              </c:layout>
              <c:tx>
                <c:rich>
                  <a:bodyPr/>
                  <a:lstStyle/>
                  <a:p>
                    <a:r>
                      <a:rPr lang="en-US" sz="800"/>
                      <a:t>24,2</a:t>
                    </a:r>
                  </a:p>
                </c:rich>
              </c:tx>
              <c:showVal val="1"/>
            </c:dLbl>
            <c:dLbl>
              <c:idx val="1"/>
              <c:tx>
                <c:rich>
                  <a:bodyPr/>
                  <a:lstStyle/>
                  <a:p>
                    <a:r>
                      <a:rPr lang="en-US" sz="800"/>
                      <a:t>13,7</a:t>
                    </a:r>
                  </a:p>
                </c:rich>
              </c:tx>
              <c:showVal val="1"/>
            </c:dLbl>
            <c:dLbl>
              <c:idx val="2"/>
              <c:tx>
                <c:rich>
                  <a:bodyPr/>
                  <a:lstStyle/>
                  <a:p>
                    <a:r>
                      <a:rPr lang="en-US" sz="800"/>
                      <a:t>13,1</a:t>
                    </a:r>
                  </a:p>
                </c:rich>
              </c:tx>
              <c:showVal val="1"/>
            </c:dLbl>
            <c:dLbl>
              <c:idx val="3"/>
              <c:layout>
                <c:manualLayout>
                  <c:x val="4.4101433296582174E-3"/>
                  <c:y val="0"/>
                </c:manualLayout>
              </c:layout>
              <c:tx>
                <c:rich>
                  <a:bodyPr/>
                  <a:lstStyle/>
                  <a:p>
                    <a:r>
                      <a:rPr lang="en-US" sz="800"/>
                      <a:t>19,1</a:t>
                    </a:r>
                  </a:p>
                </c:rich>
              </c:tx>
              <c:showVal val="1"/>
            </c:dLbl>
            <c:dLbl>
              <c:idx val="4"/>
              <c:layout>
                <c:manualLayout>
                  <c:x val="6.6152149944874016E-3"/>
                  <c:y val="8.4201565287208568E-3"/>
                </c:manualLayout>
              </c:layout>
              <c:tx>
                <c:rich>
                  <a:bodyPr/>
                  <a:lstStyle/>
                  <a:p>
                    <a:r>
                      <a:rPr lang="en-US" sz="800"/>
                      <a:t>12,1</a:t>
                    </a:r>
                  </a:p>
                </c:rich>
              </c:tx>
              <c:showVal val="1"/>
            </c:dLbl>
            <c:dLbl>
              <c:idx val="5"/>
              <c:layout>
                <c:manualLayout>
                  <c:x val="2.2050716648291092E-3"/>
                  <c:y val="-4.2100782643604284E-3"/>
                </c:manualLayout>
              </c:layout>
              <c:tx>
                <c:rich>
                  <a:bodyPr/>
                  <a:lstStyle/>
                  <a:p>
                    <a:r>
                      <a:rPr lang="en-US" sz="800"/>
                      <a:t>17,8</a:t>
                    </a:r>
                  </a:p>
                </c:rich>
              </c:tx>
              <c:showVal val="1"/>
            </c:dLbl>
            <c:dLbl>
              <c:idx val="6"/>
              <c:layout>
                <c:manualLayout>
                  <c:x val="4.4101433296582174E-3"/>
                  <c:y val="4.2100782643603504E-3"/>
                </c:manualLayout>
              </c:layout>
              <c:tx>
                <c:rich>
                  <a:bodyPr/>
                  <a:lstStyle/>
                  <a:p>
                    <a:r>
                      <a:rPr lang="en-US"/>
                      <a:t>12,8</a:t>
                    </a:r>
                  </a:p>
                </c:rich>
              </c:tx>
              <c:showVal val="1"/>
            </c:dLbl>
            <c:txPr>
              <a:bodyPr/>
              <a:lstStyle/>
              <a:p>
                <a:pPr>
                  <a:defRPr sz="800" b="1">
                    <a:latin typeface="Arial" pitchFamily="34" charset="0"/>
                    <a:cs typeface="Arial" pitchFamily="34" charset="0"/>
                  </a:defRPr>
                </a:pPr>
                <a:endParaRPr lang="ru-RU"/>
              </a:p>
            </c:txPr>
            <c:showVal val="1"/>
          </c:dLbls>
          <c:cat>
            <c:numRef>
              <c:f>Лист1!$B$1:$H$1</c:f>
              <c:numCache>
                <c:formatCode>General</c:formatCode>
                <c:ptCount val="7"/>
                <c:pt idx="0">
                  <c:v>2015</c:v>
                </c:pt>
                <c:pt idx="1">
                  <c:v>2016</c:v>
                </c:pt>
                <c:pt idx="2">
                  <c:v>2017</c:v>
                </c:pt>
                <c:pt idx="3">
                  <c:v>2018</c:v>
                </c:pt>
                <c:pt idx="4">
                  <c:v>2019</c:v>
                </c:pt>
                <c:pt idx="5">
                  <c:v>2020</c:v>
                </c:pt>
                <c:pt idx="6">
                  <c:v>2021</c:v>
                </c:pt>
              </c:numCache>
            </c:numRef>
          </c:cat>
          <c:val>
            <c:numRef>
              <c:f>Лист1!$B$2:$H$2</c:f>
              <c:numCache>
                <c:formatCode>0.00%</c:formatCode>
                <c:ptCount val="7"/>
                <c:pt idx="0">
                  <c:v>0.24200000000000021</c:v>
                </c:pt>
                <c:pt idx="1">
                  <c:v>0.13700000000000001</c:v>
                </c:pt>
                <c:pt idx="2">
                  <c:v>0.13100000000000001</c:v>
                </c:pt>
                <c:pt idx="3">
                  <c:v>0.191</c:v>
                </c:pt>
                <c:pt idx="4">
                  <c:v>0.12100000000000002</c:v>
                </c:pt>
                <c:pt idx="5">
                  <c:v>0.17800000000000021</c:v>
                </c:pt>
                <c:pt idx="6">
                  <c:v>0.128</c:v>
                </c:pt>
              </c:numCache>
            </c:numRef>
          </c:val>
        </c:ser>
        <c:ser>
          <c:idx val="1"/>
          <c:order val="1"/>
          <c:tx>
            <c:strRef>
              <c:f>Лист1!$A$3</c:f>
              <c:strCache>
                <c:ptCount val="1"/>
                <c:pt idx="0">
                  <c:v>Группа С (S.boreilli, S.infantis,  S.virchow и др.)</c:v>
                </c:pt>
              </c:strCache>
            </c:strRef>
          </c:tx>
          <c:spPr>
            <a:solidFill>
              <a:srgbClr val="FFFF00"/>
            </a:solidFill>
          </c:spPr>
          <c:dLbls>
            <c:dLbl>
              <c:idx val="0"/>
              <c:layout>
                <c:manualLayout>
                  <c:x val="8.8202866593165268E-3"/>
                  <c:y val="8.4201565287208568E-3"/>
                </c:manualLayout>
              </c:layout>
              <c:tx>
                <c:rich>
                  <a:bodyPr/>
                  <a:lstStyle/>
                  <a:p>
                    <a:r>
                      <a:rPr lang="en-US" sz="800"/>
                      <a:t>4,0</a:t>
                    </a:r>
                  </a:p>
                </c:rich>
              </c:tx>
              <c:showVal val="1"/>
            </c:dLbl>
            <c:dLbl>
              <c:idx val="1"/>
              <c:layout>
                <c:manualLayout>
                  <c:x val="4.4101433296582174E-3"/>
                  <c:y val="4.2100782643604284E-3"/>
                </c:manualLayout>
              </c:layout>
              <c:tx>
                <c:rich>
                  <a:bodyPr/>
                  <a:lstStyle/>
                  <a:p>
                    <a:r>
                      <a:rPr lang="en-US" sz="800"/>
                      <a:t>5,2</a:t>
                    </a:r>
                  </a:p>
                </c:rich>
              </c:tx>
              <c:showVal val="1"/>
            </c:dLbl>
            <c:dLbl>
              <c:idx val="2"/>
              <c:layout>
                <c:manualLayout>
                  <c:x val="6.6152149944873314E-3"/>
                  <c:y val="8.4201565287208568E-3"/>
                </c:manualLayout>
              </c:layout>
              <c:tx>
                <c:rich>
                  <a:bodyPr/>
                  <a:lstStyle/>
                  <a:p>
                    <a:r>
                      <a:rPr lang="en-US" sz="800"/>
                      <a:t>5,9</a:t>
                    </a:r>
                  </a:p>
                </c:rich>
              </c:tx>
              <c:showVal val="1"/>
            </c:dLbl>
            <c:dLbl>
              <c:idx val="3"/>
              <c:layout>
                <c:manualLayout>
                  <c:x val="4.4101433296582964E-3"/>
                  <c:y val="4.2100782643604284E-3"/>
                </c:manualLayout>
              </c:layout>
              <c:tx>
                <c:rich>
                  <a:bodyPr/>
                  <a:lstStyle/>
                  <a:p>
                    <a:r>
                      <a:rPr lang="en-US" sz="800"/>
                      <a:t>5,2</a:t>
                    </a:r>
                  </a:p>
                </c:rich>
              </c:tx>
              <c:showVal val="1"/>
            </c:dLbl>
            <c:dLbl>
              <c:idx val="4"/>
              <c:layout>
                <c:manualLayout>
                  <c:x val="8.8202866593165268E-3"/>
                  <c:y val="1.2630234793081285E-2"/>
                </c:manualLayout>
              </c:layout>
              <c:tx>
                <c:rich>
                  <a:bodyPr/>
                  <a:lstStyle/>
                  <a:p>
                    <a:r>
                      <a:rPr lang="en-US" sz="800"/>
                      <a:t>5,0</a:t>
                    </a:r>
                  </a:p>
                </c:rich>
              </c:tx>
              <c:showVal val="1"/>
            </c:dLbl>
            <c:dLbl>
              <c:idx val="5"/>
              <c:layout>
                <c:manualLayout>
                  <c:x val="6.6152149944873314E-3"/>
                  <c:y val="4.2100782643604284E-3"/>
                </c:manualLayout>
              </c:layout>
              <c:tx>
                <c:rich>
                  <a:bodyPr/>
                  <a:lstStyle/>
                  <a:p>
                    <a:r>
                      <a:rPr lang="en-US" sz="800"/>
                      <a:t>8,9</a:t>
                    </a:r>
                  </a:p>
                </c:rich>
              </c:tx>
              <c:showVal val="1"/>
            </c:dLbl>
            <c:dLbl>
              <c:idx val="6"/>
              <c:layout>
                <c:manualLayout>
                  <c:x val="8.8202866593164956E-3"/>
                  <c:y val="8.4201565287208568E-3"/>
                </c:manualLayout>
              </c:layout>
              <c:tx>
                <c:rich>
                  <a:bodyPr/>
                  <a:lstStyle/>
                  <a:p>
                    <a:r>
                      <a:rPr lang="en-US"/>
                      <a:t>3,0</a:t>
                    </a:r>
                  </a:p>
                </c:rich>
              </c:tx>
              <c:showVal val="1"/>
            </c:dLbl>
            <c:txPr>
              <a:bodyPr/>
              <a:lstStyle/>
              <a:p>
                <a:pPr>
                  <a:defRPr sz="800" b="1">
                    <a:latin typeface="Arial" pitchFamily="34" charset="0"/>
                    <a:cs typeface="Arial" pitchFamily="34" charset="0"/>
                  </a:defRPr>
                </a:pPr>
                <a:endParaRPr lang="ru-RU"/>
              </a:p>
            </c:txPr>
            <c:showVal val="1"/>
          </c:dLbls>
          <c:cat>
            <c:numRef>
              <c:f>Лист1!$B$1:$H$1</c:f>
              <c:numCache>
                <c:formatCode>General</c:formatCode>
                <c:ptCount val="7"/>
                <c:pt idx="0">
                  <c:v>2015</c:v>
                </c:pt>
                <c:pt idx="1">
                  <c:v>2016</c:v>
                </c:pt>
                <c:pt idx="2">
                  <c:v>2017</c:v>
                </c:pt>
                <c:pt idx="3">
                  <c:v>2018</c:v>
                </c:pt>
                <c:pt idx="4">
                  <c:v>2019</c:v>
                </c:pt>
                <c:pt idx="5">
                  <c:v>2020</c:v>
                </c:pt>
                <c:pt idx="6">
                  <c:v>2021</c:v>
                </c:pt>
              </c:numCache>
            </c:numRef>
          </c:cat>
          <c:val>
            <c:numRef>
              <c:f>Лист1!$B$3:$H$3</c:f>
              <c:numCache>
                <c:formatCode>0.00%</c:formatCode>
                <c:ptCount val="7"/>
                <c:pt idx="0">
                  <c:v>4.0000000000000022E-2</c:v>
                </c:pt>
                <c:pt idx="1">
                  <c:v>5.1999999999999998E-2</c:v>
                </c:pt>
                <c:pt idx="2">
                  <c:v>5.9000000000000198E-2</c:v>
                </c:pt>
                <c:pt idx="3">
                  <c:v>5.1999999999999998E-2</c:v>
                </c:pt>
                <c:pt idx="4">
                  <c:v>0.05</c:v>
                </c:pt>
                <c:pt idx="5">
                  <c:v>8.9000000000000065E-2</c:v>
                </c:pt>
                <c:pt idx="6">
                  <c:v>3.0000000000000002E-2</c:v>
                </c:pt>
              </c:numCache>
            </c:numRef>
          </c:val>
        </c:ser>
        <c:ser>
          <c:idx val="2"/>
          <c:order val="2"/>
          <c:tx>
            <c:strRef>
              <c:f>Лист1!$A$4</c:f>
              <c:strCache>
                <c:ptCount val="1"/>
                <c:pt idx="0">
                  <c:v>Группа Д (S.enteritidis и др.)</c:v>
                </c:pt>
              </c:strCache>
            </c:strRef>
          </c:tx>
          <c:spPr>
            <a:solidFill>
              <a:srgbClr val="FF6600"/>
            </a:solidFill>
          </c:spPr>
          <c:dLbls>
            <c:dLbl>
              <c:idx val="0"/>
              <c:layout>
                <c:manualLayout>
                  <c:x val="8.8202866593165268E-3"/>
                  <c:y val="8.4201565287208568E-3"/>
                </c:manualLayout>
              </c:layout>
              <c:tx>
                <c:rich>
                  <a:bodyPr/>
                  <a:lstStyle/>
                  <a:p>
                    <a:r>
                      <a:rPr lang="en-US" sz="800"/>
                      <a:t>64,6</a:t>
                    </a:r>
                  </a:p>
                </c:rich>
              </c:tx>
              <c:showVal val="1"/>
            </c:dLbl>
            <c:dLbl>
              <c:idx val="1"/>
              <c:layout>
                <c:manualLayout>
                  <c:x val="4.4101433296582174E-3"/>
                  <c:y val="8.4201565287208568E-3"/>
                </c:manualLayout>
              </c:layout>
              <c:tx>
                <c:rich>
                  <a:bodyPr/>
                  <a:lstStyle/>
                  <a:p>
                    <a:r>
                      <a:rPr lang="en-US" sz="800"/>
                      <a:t>75,8</a:t>
                    </a:r>
                  </a:p>
                </c:rich>
              </c:tx>
              <c:showVal val="1"/>
            </c:dLbl>
            <c:dLbl>
              <c:idx val="2"/>
              <c:layout>
                <c:manualLayout>
                  <c:x val="4.4101433296582174E-3"/>
                  <c:y val="0"/>
                </c:manualLayout>
              </c:layout>
              <c:tx>
                <c:rich>
                  <a:bodyPr/>
                  <a:lstStyle/>
                  <a:p>
                    <a:r>
                      <a:rPr lang="en-US" sz="800"/>
                      <a:t>73,3</a:t>
                    </a:r>
                  </a:p>
                </c:rich>
              </c:tx>
              <c:showVal val="1"/>
            </c:dLbl>
            <c:dLbl>
              <c:idx val="3"/>
              <c:layout>
                <c:manualLayout>
                  <c:x val="4.4101433296582174E-3"/>
                  <c:y val="1.9295969136304251E-17"/>
                </c:manualLayout>
              </c:layout>
              <c:tx>
                <c:rich>
                  <a:bodyPr/>
                  <a:lstStyle/>
                  <a:p>
                    <a:r>
                      <a:rPr lang="en-US" sz="800"/>
                      <a:t>70,4</a:t>
                    </a:r>
                  </a:p>
                </c:rich>
              </c:tx>
              <c:showVal val="1"/>
            </c:dLbl>
            <c:dLbl>
              <c:idx val="4"/>
              <c:layout>
                <c:manualLayout>
                  <c:x val="2.2050716648291876E-3"/>
                  <c:y val="-8.4201565287208568E-3"/>
                </c:manualLayout>
              </c:layout>
              <c:tx>
                <c:rich>
                  <a:bodyPr/>
                  <a:lstStyle/>
                  <a:p>
                    <a:r>
                      <a:rPr lang="en-US" sz="800"/>
                      <a:t>76,7</a:t>
                    </a:r>
                  </a:p>
                </c:rich>
              </c:tx>
              <c:showVal val="1"/>
            </c:dLbl>
            <c:dLbl>
              <c:idx val="5"/>
              <c:layout>
                <c:manualLayout>
                  <c:x val="2.2050716648291092E-3"/>
                  <c:y val="4.2100782643604284E-3"/>
                </c:manualLayout>
              </c:layout>
              <c:tx>
                <c:rich>
                  <a:bodyPr/>
                  <a:lstStyle/>
                  <a:p>
                    <a:r>
                      <a:rPr lang="en-US" sz="800"/>
                      <a:t>72,6</a:t>
                    </a:r>
                  </a:p>
                </c:rich>
              </c:tx>
              <c:showVal val="1"/>
            </c:dLbl>
            <c:dLbl>
              <c:idx val="6"/>
              <c:layout>
                <c:manualLayout>
                  <c:x val="2.2050716648291092E-3"/>
                  <c:y val="-4.2100782643604284E-3"/>
                </c:manualLayout>
              </c:layout>
              <c:tx>
                <c:rich>
                  <a:bodyPr/>
                  <a:lstStyle/>
                  <a:p>
                    <a:r>
                      <a:rPr lang="en-US"/>
                      <a:t>77,4</a:t>
                    </a:r>
                  </a:p>
                </c:rich>
              </c:tx>
              <c:showVal val="1"/>
            </c:dLbl>
            <c:txPr>
              <a:bodyPr/>
              <a:lstStyle/>
              <a:p>
                <a:pPr>
                  <a:defRPr sz="800" b="1">
                    <a:latin typeface="Arial" pitchFamily="34" charset="0"/>
                    <a:cs typeface="Arial" pitchFamily="34" charset="0"/>
                  </a:defRPr>
                </a:pPr>
                <a:endParaRPr lang="ru-RU"/>
              </a:p>
            </c:txPr>
            <c:showVal val="1"/>
          </c:dLbls>
          <c:cat>
            <c:numRef>
              <c:f>Лист1!$B$1:$H$1</c:f>
              <c:numCache>
                <c:formatCode>General</c:formatCode>
                <c:ptCount val="7"/>
                <c:pt idx="0">
                  <c:v>2015</c:v>
                </c:pt>
                <c:pt idx="1">
                  <c:v>2016</c:v>
                </c:pt>
                <c:pt idx="2">
                  <c:v>2017</c:v>
                </c:pt>
                <c:pt idx="3">
                  <c:v>2018</c:v>
                </c:pt>
                <c:pt idx="4">
                  <c:v>2019</c:v>
                </c:pt>
                <c:pt idx="5">
                  <c:v>2020</c:v>
                </c:pt>
                <c:pt idx="6">
                  <c:v>2021</c:v>
                </c:pt>
              </c:numCache>
            </c:numRef>
          </c:cat>
          <c:val>
            <c:numRef>
              <c:f>Лист1!$B$4:$H$4</c:f>
              <c:numCache>
                <c:formatCode>0.00%</c:formatCode>
                <c:ptCount val="7"/>
                <c:pt idx="0">
                  <c:v>0.64600000000000268</c:v>
                </c:pt>
                <c:pt idx="1">
                  <c:v>0.75800000000000256</c:v>
                </c:pt>
                <c:pt idx="2">
                  <c:v>0.73300000000000065</c:v>
                </c:pt>
                <c:pt idx="3">
                  <c:v>0.70400000000000063</c:v>
                </c:pt>
                <c:pt idx="4">
                  <c:v>0.76700000000000268</c:v>
                </c:pt>
                <c:pt idx="5">
                  <c:v>0.72600000000000064</c:v>
                </c:pt>
                <c:pt idx="6">
                  <c:v>0.77400000000000269</c:v>
                </c:pt>
              </c:numCache>
            </c:numRef>
          </c:val>
        </c:ser>
        <c:dLbls>
          <c:showVal val="1"/>
        </c:dLbls>
        <c:shape val="cylinder"/>
        <c:axId val="207844096"/>
        <c:axId val="207845632"/>
        <c:axId val="0"/>
      </c:bar3DChart>
      <c:catAx>
        <c:axId val="207844096"/>
        <c:scaling>
          <c:orientation val="minMax"/>
        </c:scaling>
        <c:axPos val="b"/>
        <c:numFmt formatCode="General" sourceLinked="1"/>
        <c:tickLblPos val="low"/>
        <c:spPr>
          <a:ln w="2384">
            <a:solidFill>
              <a:srgbClr val="000000"/>
            </a:solidFill>
            <a:prstDash val="solid"/>
          </a:ln>
        </c:spPr>
        <c:txPr>
          <a:bodyPr rot="0" vert="horz"/>
          <a:lstStyle/>
          <a:p>
            <a:pPr>
              <a:defRPr sz="899" b="1" i="0" u="none" strike="noStrike" baseline="0">
                <a:solidFill>
                  <a:srgbClr val="000000"/>
                </a:solidFill>
                <a:latin typeface="Arial" pitchFamily="34" charset="0"/>
                <a:ea typeface="Times New Roman"/>
                <a:cs typeface="Times New Roman"/>
              </a:defRPr>
            </a:pPr>
            <a:endParaRPr lang="ru-RU"/>
          </a:p>
        </c:txPr>
        <c:crossAx val="207845632"/>
        <c:crosses val="autoZero"/>
        <c:auto val="1"/>
        <c:lblAlgn val="ctr"/>
        <c:lblOffset val="100"/>
        <c:tickLblSkip val="1"/>
        <c:tickMarkSkip val="1"/>
      </c:catAx>
      <c:valAx>
        <c:axId val="207845632"/>
        <c:scaling>
          <c:orientation val="minMax"/>
          <c:max val="0.9"/>
          <c:min val="0"/>
        </c:scaling>
        <c:axPos val="l"/>
        <c:majorGridlines>
          <c:spPr>
            <a:ln>
              <a:solidFill>
                <a:sysClr val="window" lastClr="FFFFFF">
                  <a:lumMod val="75000"/>
                </a:sysClr>
              </a:solidFill>
            </a:ln>
          </c:spPr>
        </c:majorGridlines>
        <c:numFmt formatCode="0%" sourceLinked="0"/>
        <c:tickLblPos val="nextTo"/>
        <c:txPr>
          <a:bodyPr/>
          <a:lstStyle/>
          <a:p>
            <a:pPr>
              <a:defRPr sz="899" b="1" i="0" baseline="0">
                <a:latin typeface="Arial" pitchFamily="34" charset="0"/>
              </a:defRPr>
            </a:pPr>
            <a:endParaRPr lang="ru-RU"/>
          </a:p>
        </c:txPr>
        <c:crossAx val="207844096"/>
        <c:crosses val="autoZero"/>
        <c:crossBetween val="between"/>
      </c:valAx>
      <c:spPr>
        <a:solidFill>
          <a:srgbClr val="FFFFFF"/>
        </a:solidFill>
        <a:ln w="19071">
          <a:noFill/>
        </a:ln>
      </c:spPr>
    </c:plotArea>
    <c:legend>
      <c:legendPos val="b"/>
      <c:layout>
        <c:manualLayout>
          <c:xMode val="edge"/>
          <c:yMode val="edge"/>
          <c:x val="0.11622797316767072"/>
          <c:y val="0.83614335940602769"/>
          <c:w val="0.7437722722646003"/>
          <c:h val="0.14535233373208398"/>
        </c:manualLayout>
      </c:layout>
      <c:spPr>
        <a:solidFill>
          <a:srgbClr val="FFFFFF"/>
        </a:solidFill>
        <a:ln w="2384">
          <a:noFill/>
          <a:prstDash val="solid"/>
        </a:ln>
      </c:spPr>
      <c:txPr>
        <a:bodyPr/>
        <a:lstStyle/>
        <a:p>
          <a:pPr>
            <a:defRPr sz="899" b="0" i="0" u="none" strike="noStrike" baseline="0">
              <a:solidFill>
                <a:srgbClr val="000000"/>
              </a:solidFill>
              <a:latin typeface="Arial" pitchFamily="34" charset="0"/>
              <a:ea typeface="Times New Roman"/>
              <a:cs typeface="Times New Roman"/>
            </a:defRPr>
          </a:pPr>
          <a:endParaRPr lang="ru-RU"/>
        </a:p>
      </c:txPr>
    </c:legend>
    <c:plotVisOnly val="1"/>
    <c:dispBlanksAs val="gap"/>
  </c:chart>
  <c:spPr>
    <a:gradFill rotWithShape="0">
      <a:gsLst>
        <a:gs pos="0">
          <a:srgbClr val="FFFFFF"/>
        </a:gs>
        <a:gs pos="100000">
          <a:srgbClr val="FFFFFF">
            <a:gamma/>
            <a:tint val="0"/>
            <a:invGamma/>
          </a:srgbClr>
        </a:gs>
      </a:gsLst>
      <a:lin ang="5400000" scaled="1"/>
    </a:gradFill>
    <a:ln>
      <a:noFill/>
    </a:ln>
  </c:spPr>
  <c:txPr>
    <a:bodyPr/>
    <a:lstStyle/>
    <a:p>
      <a:pPr>
        <a:defRPr sz="320" b="0" i="0" u="none" strike="noStrike" baseline="0">
          <a:solidFill>
            <a:srgbClr val="000000"/>
          </a:solidFill>
          <a:latin typeface="Arial Cyr"/>
          <a:ea typeface="Arial Cyr"/>
          <a:cs typeface="Arial Cyr"/>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753954305799932E-2"/>
          <c:y val="2.8225806451612902E-2"/>
          <c:w val="0.90420572213770423"/>
          <c:h val="0.77050437454390064"/>
        </c:manualLayout>
      </c:layout>
      <c:lineChart>
        <c:grouping val="standard"/>
        <c:ser>
          <c:idx val="0"/>
          <c:order val="0"/>
          <c:tx>
            <c:strRef>
              <c:f>Sheet1!$A$2</c:f>
              <c:strCache>
                <c:ptCount val="1"/>
                <c:pt idx="0">
                  <c:v>Брянская область</c:v>
                </c:pt>
              </c:strCache>
            </c:strRef>
          </c:tx>
          <c:spPr>
            <a:ln w="36933">
              <a:solidFill>
                <a:srgbClr val="0070C0"/>
              </a:solidFill>
              <a:prstDash val="solid"/>
            </a:ln>
          </c:spPr>
          <c:marker>
            <c:symbol val="square"/>
            <c:size val="3"/>
            <c:spPr>
              <a:solidFill>
                <a:srgbClr val="0070C0"/>
              </a:solidFill>
              <a:ln>
                <a:solidFill>
                  <a:srgbClr val="1F497D">
                    <a:lumMod val="60000"/>
                    <a:lumOff val="40000"/>
                  </a:srgbClr>
                </a:solidFill>
                <a:prstDash val="solid"/>
              </a:ln>
            </c:spPr>
          </c:marker>
          <c:dLbls>
            <c:dLbl>
              <c:idx val="0"/>
              <c:layout>
                <c:manualLayout>
                  <c:x val="-9.2725247366707546E-3"/>
                  <c:y val="-4.3434894900337924E-2"/>
                </c:manualLayout>
              </c:layout>
              <c:dLblPos val="r"/>
              <c:showVal val="1"/>
            </c:dLbl>
            <c:dLbl>
              <c:idx val="1"/>
              <c:layout>
                <c:manualLayout>
                  <c:x val="-1.2977066877178796E-2"/>
                  <c:y val="-3.1778688807417202E-2"/>
                </c:manualLayout>
              </c:layout>
              <c:dLblPos val="r"/>
              <c:showVal val="1"/>
            </c:dLbl>
            <c:dLbl>
              <c:idx val="2"/>
              <c:layout>
                <c:manualLayout>
                  <c:x val="-5.8417820499357717E-2"/>
                  <c:y val="3.4758686608133027E-2"/>
                </c:manualLayout>
              </c:layout>
              <c:dLblPos val="r"/>
              <c:showVal val="1"/>
            </c:dLbl>
            <c:dLbl>
              <c:idx val="3"/>
              <c:layout>
                <c:manualLayout>
                  <c:x val="-4.2293625376702913E-2"/>
                  <c:y val="3.5612602220761055E-2"/>
                </c:manualLayout>
              </c:layout>
              <c:dLblPos val="r"/>
              <c:showVal val="1"/>
            </c:dLbl>
            <c:dLbl>
              <c:idx val="4"/>
              <c:layout>
                <c:manualLayout>
                  <c:x val="-3.6279821599989402E-2"/>
                  <c:y val="4.7233240498494949E-2"/>
                </c:manualLayout>
              </c:layout>
              <c:dLblPos val="r"/>
              <c:showVal val="1"/>
            </c:dLbl>
            <c:dLbl>
              <c:idx val="5"/>
              <c:layout>
                <c:manualLayout>
                  <c:x val="-3.3552306055935226E-2"/>
                  <c:y val="3.3221122544307431E-2"/>
                </c:manualLayout>
              </c:layout>
              <c:dLblPos val="r"/>
              <c:showVal val="1"/>
            </c:dLbl>
            <c:dLbl>
              <c:idx val="6"/>
              <c:layout>
                <c:manualLayout>
                  <c:x val="-3.3931889263722911E-2"/>
                  <c:y val="-3.7316886213487284E-2"/>
                </c:manualLayout>
              </c:layout>
              <c:dLblPos val="r"/>
              <c:showVal val="1"/>
            </c:dLbl>
            <c:dLbl>
              <c:idx val="7"/>
              <c:layout>
                <c:manualLayout>
                  <c:x val="-3.3508332097665142E-2"/>
                  <c:y val="-4.6127566866139377E-2"/>
                </c:manualLayout>
              </c:layout>
              <c:dLblPos val="r"/>
              <c:showVal val="1"/>
            </c:dLbl>
            <c:dLbl>
              <c:idx val="8"/>
              <c:layout>
                <c:manualLayout>
                  <c:x val="-2.6660763257384191E-2"/>
                  <c:y val="3.5606858625951802E-2"/>
                </c:manualLayout>
              </c:layout>
              <c:dLblPos val="r"/>
              <c:showVal val="1"/>
            </c:dLbl>
            <c:dLbl>
              <c:idx val="9"/>
              <c:layout>
                <c:manualLayout>
                  <c:x val="-3.1274455017542981E-2"/>
                  <c:y val="3.6858970741458684E-2"/>
                </c:manualLayout>
              </c:layout>
              <c:showVal val="1"/>
            </c:dLbl>
            <c:dLbl>
              <c:idx val="10"/>
              <c:layout>
                <c:manualLayout>
                  <c:x val="-2.2338770801221416E-2"/>
                  <c:y val="2.4572647160972492E-2"/>
                </c:manualLayout>
              </c:layout>
              <c:showVal val="1"/>
            </c:dLbl>
            <c:dLbl>
              <c:idx val="11"/>
              <c:layout>
                <c:manualLayout>
                  <c:x val="-2.0104893721099214E-2"/>
                  <c:y val="3.2763529547963258E-2"/>
                </c:manualLayout>
              </c:layout>
              <c:showVal val="1"/>
            </c:dLbl>
            <c:dLbl>
              <c:idx val="12"/>
              <c:layout>
                <c:manualLayout>
                  <c:x val="-4.4677541602442701E-3"/>
                  <c:y val="8.1908823869908144E-3"/>
                </c:manualLayout>
              </c:layout>
              <c:showVal val="1"/>
            </c:dLbl>
            <c:spPr>
              <a:noFill/>
              <a:ln w="22382">
                <a:noFill/>
              </a:ln>
            </c:spPr>
            <c:txPr>
              <a:bodyPr/>
              <a:lstStyle/>
              <a:p>
                <a:pPr>
                  <a:defRPr sz="850"/>
                </a:pPr>
                <a:endParaRPr lang="ru-RU"/>
              </a:p>
            </c:txPr>
            <c:showVal val="1"/>
          </c:dLbls>
          <c:trendline>
            <c:spPr>
              <a:ln w="19050">
                <a:solidFill>
                  <a:srgbClr val="FF0000"/>
                </a:solidFill>
                <a:prstDash val="sysDash"/>
              </a:ln>
              <a:effectLst>
                <a:outerShdw blurRad="50800" dist="50800" dir="5400000" algn="ctr" rotWithShape="0">
                  <a:sysClr val="window" lastClr="FFFFFF">
                    <a:lumMod val="85000"/>
                    <a:alpha val="95000"/>
                  </a:sysClr>
                </a:outerShdw>
              </a:effectLst>
            </c:spPr>
            <c:trendlineType val="poly"/>
            <c:order val="4"/>
          </c:trendline>
          <c:cat>
            <c:numRef>
              <c:f>Sheet1!$B$1:$N$1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Sheet1!$B$2:$N$2</c:f>
              <c:numCache>
                <c:formatCode>General</c:formatCode>
                <c:ptCount val="13"/>
                <c:pt idx="0">
                  <c:v>22.16</c:v>
                </c:pt>
                <c:pt idx="1">
                  <c:v>19.329999999999988</c:v>
                </c:pt>
                <c:pt idx="2">
                  <c:v>7.6599999999999975</c:v>
                </c:pt>
                <c:pt idx="3">
                  <c:v>6.76</c:v>
                </c:pt>
                <c:pt idx="4">
                  <c:v>7.52</c:v>
                </c:pt>
                <c:pt idx="5">
                  <c:v>3.7600000000000002</c:v>
                </c:pt>
                <c:pt idx="6">
                  <c:v>7.52</c:v>
                </c:pt>
                <c:pt idx="7">
                  <c:v>9.1399999999999988</c:v>
                </c:pt>
                <c:pt idx="8">
                  <c:v>2.14</c:v>
                </c:pt>
                <c:pt idx="9">
                  <c:v>3.14</c:v>
                </c:pt>
                <c:pt idx="10">
                  <c:v>1.25</c:v>
                </c:pt>
                <c:pt idx="11">
                  <c:v>1.1800000000000073</c:v>
                </c:pt>
                <c:pt idx="12">
                  <c:v>1.5</c:v>
                </c:pt>
              </c:numCache>
            </c:numRef>
          </c:val>
        </c:ser>
        <c:ser>
          <c:idx val="1"/>
          <c:order val="1"/>
          <c:tx>
            <c:strRef>
              <c:f>Sheet1!$A$3</c:f>
              <c:strCache>
                <c:ptCount val="1"/>
                <c:pt idx="0">
                  <c:v>РФ</c:v>
                </c:pt>
              </c:strCache>
            </c:strRef>
          </c:tx>
          <c:spPr>
            <a:ln w="36933">
              <a:solidFill>
                <a:srgbClr val="00B050"/>
              </a:solidFill>
              <a:prstDash val="solid"/>
            </a:ln>
          </c:spPr>
          <c:marker>
            <c:symbol val="diamond"/>
            <c:size val="5"/>
            <c:spPr>
              <a:solidFill>
                <a:srgbClr val="00B050"/>
              </a:solidFill>
              <a:ln>
                <a:solidFill>
                  <a:srgbClr val="00B050"/>
                </a:solidFill>
                <a:prstDash val="solid"/>
              </a:ln>
            </c:spPr>
          </c:marker>
          <c:dLbls>
            <c:dLbl>
              <c:idx val="0"/>
              <c:layout>
                <c:manualLayout>
                  <c:x val="-5.4815473837870686E-2"/>
                  <c:y val="3.7120498521610222E-2"/>
                </c:manualLayout>
              </c:layout>
              <c:dLblPos val="r"/>
              <c:showVal val="1"/>
            </c:dLbl>
            <c:dLbl>
              <c:idx val="1"/>
              <c:layout>
                <c:manualLayout>
                  <c:x val="-4.808693053504294E-2"/>
                  <c:y val="3.3455884842643155E-2"/>
                </c:manualLayout>
              </c:layout>
              <c:dLblPos val="r"/>
              <c:showVal val="1"/>
            </c:dLbl>
            <c:dLbl>
              <c:idx val="2"/>
              <c:layout>
                <c:manualLayout>
                  <c:x val="-2.4570185339680348E-2"/>
                  <c:y val="-5.2944380361359657E-2"/>
                </c:manualLayout>
              </c:layout>
              <c:dLblPos val="r"/>
              <c:showVal val="1"/>
            </c:dLbl>
            <c:dLbl>
              <c:idx val="3"/>
              <c:layout>
                <c:manualLayout>
                  <c:x val="-3.3298312472967218E-2"/>
                  <c:y val="-3.1035059878897486E-2"/>
                </c:manualLayout>
              </c:layout>
              <c:dLblPos val="r"/>
              <c:showVal val="1"/>
            </c:dLbl>
            <c:dLbl>
              <c:idx val="4"/>
              <c:layout>
                <c:manualLayout>
                  <c:x val="-3.0609744664331792E-2"/>
                  <c:y val="-3.6644524411248082E-2"/>
                </c:manualLayout>
              </c:layout>
              <c:dLblPos val="r"/>
              <c:showVal val="1"/>
            </c:dLbl>
            <c:dLbl>
              <c:idx val="5"/>
              <c:layout>
                <c:manualLayout>
                  <c:x val="-2.8704792792070201E-2"/>
                  <c:y val="-4.025431722384553E-2"/>
                </c:manualLayout>
              </c:layout>
              <c:dLblPos val="r"/>
              <c:showVal val="1"/>
            </c:dLbl>
            <c:dLbl>
              <c:idx val="6"/>
              <c:layout>
                <c:manualLayout>
                  <c:x val="-4.3772381645410904E-2"/>
                  <c:y val="4.6747365131800576E-2"/>
                </c:manualLayout>
              </c:layout>
              <c:dLblPos val="r"/>
              <c:showVal val="1"/>
            </c:dLbl>
            <c:dLbl>
              <c:idx val="7"/>
              <c:layout>
                <c:manualLayout>
                  <c:x val="-4.4867333206339323E-2"/>
                  <c:y val="-3.2485877983587305E-2"/>
                </c:manualLayout>
              </c:layout>
              <c:dLblPos val="r"/>
              <c:showVal val="1"/>
            </c:dLbl>
            <c:dLbl>
              <c:idx val="8"/>
              <c:layout>
                <c:manualLayout>
                  <c:x val="-2.9040402041587674E-2"/>
                  <c:y val="-5.0866992001637024E-2"/>
                </c:manualLayout>
              </c:layout>
              <c:dLblPos val="r"/>
              <c:showVal val="1"/>
            </c:dLbl>
            <c:dLbl>
              <c:idx val="9"/>
              <c:layout>
                <c:manualLayout>
                  <c:x val="-2.9040402041587754E-2"/>
                  <c:y val="-4.0954411934954103E-2"/>
                </c:manualLayout>
              </c:layout>
              <c:showVal val="1"/>
            </c:dLbl>
            <c:dLbl>
              <c:idx val="10"/>
              <c:layout>
                <c:manualLayout>
                  <c:x val="-2.6806524961465621E-2"/>
                  <c:y val="-4.0954411934954103E-2"/>
                </c:manualLayout>
              </c:layout>
              <c:showVal val="1"/>
            </c:dLbl>
            <c:dLbl>
              <c:idx val="11"/>
              <c:layout>
                <c:manualLayout>
                  <c:x val="-2.6806524961465621E-2"/>
                  <c:y val="-4.0954411934954103E-2"/>
                </c:manualLayout>
              </c:layout>
              <c:showVal val="1"/>
            </c:dLbl>
            <c:dLbl>
              <c:idx val="12"/>
              <c:layout>
                <c:manualLayout>
                  <c:x val="-8.9355083204885524E-3"/>
                  <c:y val="-3.2763529547963258E-2"/>
                </c:manualLayout>
              </c:layout>
              <c:showVal val="1"/>
            </c:dLbl>
            <c:spPr>
              <a:noFill/>
              <a:ln w="22382">
                <a:noFill/>
              </a:ln>
            </c:spPr>
            <c:txPr>
              <a:bodyPr/>
              <a:lstStyle/>
              <a:p>
                <a:pPr>
                  <a:defRPr sz="850"/>
                </a:pPr>
                <a:endParaRPr lang="ru-RU"/>
              </a:p>
            </c:txPr>
            <c:showVal val="1"/>
          </c:dLbls>
          <c:cat>
            <c:numRef>
              <c:f>Sheet1!$B$1:$N$1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Sheet1!$B$3:$N$3</c:f>
              <c:numCache>
                <c:formatCode>General</c:formatCode>
                <c:ptCount val="13"/>
                <c:pt idx="0">
                  <c:v>12.38</c:v>
                </c:pt>
                <c:pt idx="1">
                  <c:v>13.48</c:v>
                </c:pt>
                <c:pt idx="2">
                  <c:v>10.53</c:v>
                </c:pt>
                <c:pt idx="3">
                  <c:v>10.139999999999999</c:v>
                </c:pt>
                <c:pt idx="4">
                  <c:v>8.32</c:v>
                </c:pt>
                <c:pt idx="5">
                  <c:v>7.5</c:v>
                </c:pt>
                <c:pt idx="6">
                  <c:v>6.8599999999999985</c:v>
                </c:pt>
                <c:pt idx="7">
                  <c:v>6.6099999999999985</c:v>
                </c:pt>
                <c:pt idx="8">
                  <c:v>4.54</c:v>
                </c:pt>
                <c:pt idx="9">
                  <c:v>5.28</c:v>
                </c:pt>
                <c:pt idx="10">
                  <c:v>4.59</c:v>
                </c:pt>
                <c:pt idx="11">
                  <c:v>1.9800000000000082</c:v>
                </c:pt>
                <c:pt idx="12">
                  <c:v>1.5</c:v>
                </c:pt>
              </c:numCache>
            </c:numRef>
          </c:val>
        </c:ser>
        <c:marker val="1"/>
        <c:axId val="223576064"/>
        <c:axId val="223577600"/>
      </c:lineChart>
      <c:catAx>
        <c:axId val="223576064"/>
        <c:scaling>
          <c:orientation val="minMax"/>
        </c:scaling>
        <c:axPos val="b"/>
        <c:numFmt formatCode="General" sourceLinked="1"/>
        <c:tickLblPos val="nextTo"/>
        <c:spPr>
          <a:ln w="2798">
            <a:solidFill>
              <a:srgbClr val="000000"/>
            </a:solidFill>
            <a:prstDash val="solid"/>
          </a:ln>
        </c:spPr>
        <c:txPr>
          <a:bodyPr rot="0" vert="horz"/>
          <a:lstStyle/>
          <a:p>
            <a:pPr>
              <a:defRPr/>
            </a:pPr>
            <a:endParaRPr lang="ru-RU"/>
          </a:p>
        </c:txPr>
        <c:crossAx val="223577600"/>
        <c:crosses val="autoZero"/>
        <c:auto val="1"/>
        <c:lblAlgn val="ctr"/>
        <c:lblOffset val="100"/>
        <c:tickLblSkip val="1"/>
        <c:tickMarkSkip val="1"/>
      </c:catAx>
      <c:valAx>
        <c:axId val="223577600"/>
        <c:scaling>
          <c:orientation val="minMax"/>
        </c:scaling>
        <c:axPos val="l"/>
        <c:majorGridlines>
          <c:spPr>
            <a:ln>
              <a:solidFill>
                <a:sysClr val="window" lastClr="FFFFFF">
                  <a:lumMod val="75000"/>
                </a:sysClr>
              </a:solidFill>
            </a:ln>
          </c:spPr>
        </c:majorGridlines>
        <c:numFmt formatCode="General" sourceLinked="1"/>
        <c:tickLblPos val="nextTo"/>
        <c:spPr>
          <a:ln w="2798">
            <a:solidFill>
              <a:srgbClr val="000000"/>
            </a:solidFill>
            <a:prstDash val="solid"/>
          </a:ln>
        </c:spPr>
        <c:txPr>
          <a:bodyPr rot="0" vert="horz"/>
          <a:lstStyle/>
          <a:p>
            <a:pPr>
              <a:defRPr/>
            </a:pPr>
            <a:endParaRPr lang="ru-RU"/>
          </a:p>
        </c:txPr>
        <c:crossAx val="223576064"/>
        <c:crosses val="autoZero"/>
        <c:crossBetween val="between"/>
      </c:valAx>
      <c:spPr>
        <a:noFill/>
        <a:ln w="24631">
          <a:noFill/>
        </a:ln>
      </c:spPr>
    </c:plotArea>
    <c:legend>
      <c:legendPos val="b"/>
      <c:layout>
        <c:manualLayout>
          <c:xMode val="edge"/>
          <c:yMode val="edge"/>
          <c:x val="5.8483569960862673E-2"/>
          <c:y val="0.92580773191223298"/>
          <c:w val="0.89868926311114961"/>
          <c:h val="6.3400765575289397E-2"/>
        </c:manualLayout>
      </c:layout>
      <c:spPr>
        <a:noFill/>
        <a:ln w="2798">
          <a:noFill/>
          <a:prstDash val="solid"/>
        </a:ln>
      </c:spPr>
      <c:txPr>
        <a:bodyPr/>
        <a:lstStyle/>
        <a:p>
          <a:pPr>
            <a:defRPr b="0" i="0" baseline="0"/>
          </a:pPr>
          <a:endParaRPr lang="ru-RU"/>
        </a:p>
      </c:txPr>
    </c:legend>
    <c:plotVisOnly val="1"/>
    <c:dispBlanksAs val="gap"/>
  </c:chart>
  <c:spPr>
    <a:noFill/>
    <a:ln>
      <a:noFill/>
    </a:ln>
  </c:spPr>
  <c:txPr>
    <a:bodyPr/>
    <a:lstStyle/>
    <a:p>
      <a:pPr>
        <a:defRPr sz="873" b="1" i="0" u="none" strike="noStrike" baseline="0">
          <a:solidFill>
            <a:srgbClr val="000000"/>
          </a:solidFill>
          <a:latin typeface="Arial" pitchFamily="34" charset="0"/>
          <a:ea typeface="Calibri"/>
          <a:cs typeface="Calibri"/>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2600321027287339E-2"/>
          <c:y val="2.27920227920228E-2"/>
          <c:w val="0.90355867313719263"/>
          <c:h val="0.72567568352854472"/>
        </c:manualLayout>
      </c:layout>
      <c:lineChart>
        <c:grouping val="standard"/>
        <c:ser>
          <c:idx val="0"/>
          <c:order val="0"/>
          <c:tx>
            <c:strRef>
              <c:f>Лист1!$C$2:$C$3</c:f>
              <c:strCache>
                <c:ptCount val="1"/>
                <c:pt idx="0">
                  <c:v>Брянская область</c:v>
                </c:pt>
              </c:strCache>
            </c:strRef>
          </c:tx>
          <c:spPr>
            <a:ln w="31750" cmpd="sng">
              <a:solidFill>
                <a:srgbClr val="00B050"/>
              </a:solidFill>
              <a:prstDash val="solid"/>
            </a:ln>
          </c:spPr>
          <c:marker>
            <c:symbol val="circle"/>
            <c:size val="3"/>
            <c:spPr>
              <a:solidFill>
                <a:srgbClr val="00B050"/>
              </a:solidFill>
              <a:ln>
                <a:solidFill>
                  <a:sysClr val="window" lastClr="FFFFFF">
                    <a:lumMod val="50000"/>
                  </a:sysClr>
                </a:solidFill>
                <a:prstDash val="solid"/>
              </a:ln>
            </c:spPr>
          </c:marker>
          <c:dLbls>
            <c:dLbl>
              <c:idx val="0"/>
              <c:layout>
                <c:manualLayout>
                  <c:x val="-3.3318459227877663E-2"/>
                  <c:y val="-3.564570331253001E-2"/>
                </c:manualLayout>
              </c:layout>
              <c:tx>
                <c:rich>
                  <a:bodyPr/>
                  <a:lstStyle/>
                  <a:p>
                    <a:r>
                      <a:rPr lang="en-US"/>
                      <a:t>316,6</a:t>
                    </a:r>
                  </a:p>
                </c:rich>
              </c:tx>
              <c:dLblPos val="r"/>
            </c:dLbl>
            <c:dLbl>
              <c:idx val="1"/>
              <c:layout>
                <c:manualLayout>
                  <c:x val="-3.5704624573526994E-2"/>
                  <c:y val="3.3839322921109215E-2"/>
                </c:manualLayout>
              </c:layout>
              <c:tx>
                <c:rich>
                  <a:bodyPr/>
                  <a:lstStyle/>
                  <a:p>
                    <a:r>
                      <a:rPr lang="en-US"/>
                      <a:t>199,5</a:t>
                    </a:r>
                  </a:p>
                </c:rich>
              </c:tx>
              <c:dLblPos val="r"/>
            </c:dLbl>
            <c:dLbl>
              <c:idx val="2"/>
              <c:layout>
                <c:manualLayout>
                  <c:x val="-3.4711821441283458E-2"/>
                  <c:y val="-2.8916707891536757E-2"/>
                </c:manualLayout>
              </c:layout>
              <c:tx>
                <c:rich>
                  <a:bodyPr/>
                  <a:lstStyle/>
                  <a:p>
                    <a:r>
                      <a:rPr lang="en-US"/>
                      <a:t>324,4</a:t>
                    </a:r>
                  </a:p>
                </c:rich>
              </c:tx>
              <c:dLblPos val="r"/>
            </c:dLbl>
            <c:dLbl>
              <c:idx val="3"/>
              <c:layout>
                <c:manualLayout>
                  <c:x val="-4.1704155778763255E-2"/>
                  <c:y val="3.2319587377635246E-2"/>
                </c:manualLayout>
              </c:layout>
              <c:tx>
                <c:rich>
                  <a:bodyPr/>
                  <a:lstStyle/>
                  <a:p>
                    <a:r>
                      <a:rPr lang="en-US"/>
                      <a:t>318,4</a:t>
                    </a:r>
                  </a:p>
                </c:rich>
              </c:tx>
              <c:dLblPos val="r"/>
            </c:dLbl>
            <c:dLbl>
              <c:idx val="4"/>
              <c:layout>
                <c:manualLayout>
                  <c:x val="-2.3977775973880011E-2"/>
                  <c:y val="3.1179467052599812E-2"/>
                </c:manualLayout>
              </c:layout>
              <c:tx>
                <c:rich>
                  <a:bodyPr/>
                  <a:lstStyle/>
                  <a:p>
                    <a:r>
                      <a:rPr lang="en-US"/>
                      <a:t>300,0</a:t>
                    </a:r>
                  </a:p>
                </c:rich>
              </c:tx>
              <c:dLblPos val="r"/>
            </c:dLbl>
            <c:dLbl>
              <c:idx val="5"/>
              <c:layout>
                <c:manualLayout>
                  <c:x val="-2.9782359679266894E-2"/>
                  <c:y val="4.569055036344756E-2"/>
                </c:manualLayout>
              </c:layout>
              <c:tx>
                <c:rich>
                  <a:bodyPr/>
                  <a:lstStyle/>
                  <a:p>
                    <a:r>
                      <a:rPr lang="en-US"/>
                      <a:t>380,0</a:t>
                    </a:r>
                  </a:p>
                </c:rich>
              </c:tx>
              <c:dLblPos val="r"/>
            </c:dLbl>
            <c:dLbl>
              <c:idx val="6"/>
              <c:layout>
                <c:manualLayout>
                  <c:x val="-1.7104923740202581E-2"/>
                  <c:y val="3.9486839845953844E-2"/>
                </c:manualLayout>
              </c:layout>
              <c:tx>
                <c:rich>
                  <a:bodyPr/>
                  <a:lstStyle/>
                  <a:p>
                    <a:r>
                      <a:rPr lang="en-US"/>
                      <a:t>383,9</a:t>
                    </a:r>
                  </a:p>
                </c:rich>
              </c:tx>
              <c:dLblPos val="r"/>
            </c:dLbl>
            <c:dLbl>
              <c:idx val="7"/>
              <c:layout>
                <c:manualLayout>
                  <c:x val="-1.2063651911206801E-3"/>
                  <c:y val="2.858650277445408E-2"/>
                </c:manualLayout>
              </c:layout>
              <c:tx>
                <c:rich>
                  <a:bodyPr/>
                  <a:lstStyle/>
                  <a:p>
                    <a:r>
                      <a:rPr lang="en-US"/>
                      <a:t>438,1</a:t>
                    </a:r>
                  </a:p>
                </c:rich>
              </c:tx>
              <c:dLblPos val="r"/>
            </c:dLbl>
            <c:dLbl>
              <c:idx val="8"/>
              <c:layout>
                <c:manualLayout>
                  <c:x val="-3.9100877303743092E-2"/>
                  <c:y val="7.3820760243778233E-2"/>
                </c:manualLayout>
              </c:layout>
              <c:tx>
                <c:rich>
                  <a:bodyPr/>
                  <a:lstStyle/>
                  <a:p>
                    <a:r>
                      <a:rPr lang="en-US"/>
                      <a:t>543,1</a:t>
                    </a:r>
                  </a:p>
                </c:rich>
              </c:tx>
              <c:dLblPos val="r"/>
            </c:dLbl>
            <c:dLbl>
              <c:idx val="9"/>
              <c:layout>
                <c:manualLayout>
                  <c:x val="-4.1953658769500447E-2"/>
                  <c:y val="3.2493919842122652E-2"/>
                </c:manualLayout>
              </c:layout>
              <c:tx>
                <c:rich>
                  <a:bodyPr/>
                  <a:lstStyle/>
                  <a:p>
                    <a:r>
                      <a:rPr lang="en-US"/>
                      <a:t>398,5</a:t>
                    </a:r>
                  </a:p>
                </c:rich>
              </c:tx>
              <c:dLblPos val="r"/>
            </c:dLbl>
            <c:dLbl>
              <c:idx val="10"/>
              <c:layout>
                <c:manualLayout>
                  <c:x val="-3.6112219455570096E-2"/>
                  <c:y val="-1.9631372015571361E-2"/>
                </c:manualLayout>
              </c:layout>
              <c:tx>
                <c:rich>
                  <a:bodyPr/>
                  <a:lstStyle/>
                  <a:p>
                    <a:r>
                      <a:rPr lang="en-US"/>
                      <a:t>476,3</a:t>
                    </a:r>
                  </a:p>
                </c:rich>
              </c:tx>
              <c:dLblPos val="r"/>
            </c:dLbl>
            <c:dLbl>
              <c:idx val="11"/>
              <c:layout>
                <c:manualLayout>
                  <c:x val="-3.2884042747137451E-2"/>
                  <c:y val="3.6034735001786042E-2"/>
                </c:manualLayout>
              </c:layout>
              <c:tx>
                <c:rich>
                  <a:bodyPr/>
                  <a:lstStyle/>
                  <a:p>
                    <a:r>
                      <a:rPr lang="en-US"/>
                      <a:t>471,0</a:t>
                    </a:r>
                  </a:p>
                </c:rich>
              </c:tx>
              <c:dLblPos val="r"/>
            </c:dLbl>
            <c:dLbl>
              <c:idx val="12"/>
              <c:layout>
                <c:manualLayout>
                  <c:x val="-2.4637421976056742E-2"/>
                  <c:y val="-4.2498677961062922E-2"/>
                </c:manualLayout>
              </c:layout>
              <c:dLblPos val="r"/>
              <c:showVal val="1"/>
            </c:dLbl>
            <c:dLbl>
              <c:idx val="13"/>
              <c:layout>
                <c:manualLayout>
                  <c:x val="-3.95574230178228E-2"/>
                  <c:y val="3.804182273224628E-2"/>
                </c:manualLayout>
              </c:layout>
              <c:dLblPos val="r"/>
              <c:showVal val="1"/>
            </c:dLbl>
            <c:dLbl>
              <c:idx val="14"/>
              <c:layout>
                <c:manualLayout>
                  <c:x val="-3.3076074972436531E-2"/>
                  <c:y val="-2.7080475007981011E-2"/>
                </c:manualLayout>
              </c:layout>
              <c:showVal val="1"/>
            </c:dLbl>
            <c:dLbl>
              <c:idx val="15"/>
              <c:layout>
                <c:manualLayout>
                  <c:x val="-2.0088723749663612E-4"/>
                  <c:y val="-2.2859393543576786E-2"/>
                </c:manualLayout>
              </c:layout>
              <c:showVal val="1"/>
            </c:dLbl>
            <c:dLbl>
              <c:idx val="16"/>
              <c:layout>
                <c:manualLayout>
                  <c:x val="-1.9845644983461964E-2"/>
                  <c:y val="3.821667304332145E-2"/>
                </c:manualLayout>
              </c:layout>
              <c:showVal val="1"/>
            </c:dLbl>
            <c:dLbl>
              <c:idx val="17"/>
              <c:layout>
                <c:manualLayout>
                  <c:x val="1.9845644983461964E-2"/>
                  <c:y val="-3.0949114294835395E-2"/>
                </c:manualLayout>
              </c:layout>
              <c:showVal val="1"/>
            </c:dLbl>
            <c:dLbl>
              <c:idx val="18"/>
              <c:layout>
                <c:manualLayout>
                  <c:x val="-4.4101433296582136E-2"/>
                  <c:y val="4.2555032155398832E-2"/>
                </c:manualLayout>
              </c:layout>
              <c:showVal val="1"/>
            </c:dLbl>
            <c:dLbl>
              <c:idx val="19"/>
              <c:layout>
                <c:manualLayout>
                  <c:x val="0"/>
                  <c:y val="1.9343196434272163E-2"/>
                </c:manualLayout>
              </c:layout>
              <c:showVal val="1"/>
            </c:dLbl>
            <c:numFmt formatCode="#,##0.00" sourceLinked="0"/>
            <c:txPr>
              <a:bodyPr/>
              <a:lstStyle/>
              <a:p>
                <a:pPr>
                  <a:defRPr sz="750" b="1" i="0" baseline="0">
                    <a:latin typeface="Arial" pitchFamily="34" charset="0"/>
                  </a:defRPr>
                </a:pPr>
                <a:endParaRPr lang="ru-RU"/>
              </a:p>
            </c:txPr>
            <c:showVal val="1"/>
          </c:dLbls>
          <c:trendline>
            <c:spPr>
              <a:ln w="22225" cmpd="sng">
                <a:solidFill>
                  <a:srgbClr val="FF0000"/>
                </a:solidFill>
                <a:prstDash val="sysDash"/>
              </a:ln>
            </c:spPr>
            <c:trendlineType val="poly"/>
            <c:order val="3"/>
          </c:trendline>
          <c:cat>
            <c:numRef>
              <c:f>Лист1!$B$4:$B$23</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Лист1!$C$4:$C$23</c:f>
              <c:numCache>
                <c:formatCode>General</c:formatCode>
                <c:ptCount val="20"/>
                <c:pt idx="0">
                  <c:v>316.60000000000002</c:v>
                </c:pt>
                <c:pt idx="1">
                  <c:v>199.5</c:v>
                </c:pt>
                <c:pt idx="2">
                  <c:v>324.39999999999969</c:v>
                </c:pt>
                <c:pt idx="3">
                  <c:v>318.39999999999969</c:v>
                </c:pt>
                <c:pt idx="4">
                  <c:v>300</c:v>
                </c:pt>
                <c:pt idx="5">
                  <c:v>380</c:v>
                </c:pt>
                <c:pt idx="6">
                  <c:v>383.9</c:v>
                </c:pt>
                <c:pt idx="7">
                  <c:v>438.1</c:v>
                </c:pt>
                <c:pt idx="8">
                  <c:v>543.1</c:v>
                </c:pt>
                <c:pt idx="9">
                  <c:v>398.5</c:v>
                </c:pt>
                <c:pt idx="10">
                  <c:v>476.3</c:v>
                </c:pt>
                <c:pt idx="11">
                  <c:v>471</c:v>
                </c:pt>
                <c:pt idx="12">
                  <c:v>459.8</c:v>
                </c:pt>
                <c:pt idx="13">
                  <c:v>424.1</c:v>
                </c:pt>
                <c:pt idx="14">
                  <c:v>439.4</c:v>
                </c:pt>
                <c:pt idx="15">
                  <c:v>404.1</c:v>
                </c:pt>
                <c:pt idx="16">
                  <c:v>393.3</c:v>
                </c:pt>
                <c:pt idx="17">
                  <c:v>388.7</c:v>
                </c:pt>
                <c:pt idx="18">
                  <c:v>184.9</c:v>
                </c:pt>
                <c:pt idx="19">
                  <c:v>250.8</c:v>
                </c:pt>
              </c:numCache>
            </c:numRef>
          </c:val>
        </c:ser>
        <c:ser>
          <c:idx val="1"/>
          <c:order val="1"/>
          <c:tx>
            <c:strRef>
              <c:f>Лист1!$D$2:$D$3</c:f>
              <c:strCache>
                <c:ptCount val="1"/>
                <c:pt idx="0">
                  <c:v>РФ</c:v>
                </c:pt>
              </c:strCache>
            </c:strRef>
          </c:tx>
          <c:spPr>
            <a:ln w="31750">
              <a:solidFill>
                <a:srgbClr val="8E1FB1"/>
              </a:solidFill>
              <a:prstDash val="solid"/>
            </a:ln>
          </c:spPr>
          <c:marker>
            <c:symbol val="square"/>
            <c:size val="3"/>
            <c:spPr>
              <a:solidFill>
                <a:srgbClr val="7030A0"/>
              </a:solidFill>
              <a:ln>
                <a:solidFill>
                  <a:sysClr val="window" lastClr="FFFFFF">
                    <a:lumMod val="50000"/>
                  </a:sysClr>
                </a:solidFill>
                <a:prstDash val="solid"/>
              </a:ln>
            </c:spPr>
          </c:marker>
          <c:dLbls>
            <c:dLbl>
              <c:idx val="0"/>
              <c:layout>
                <c:manualLayout>
                  <c:x val="-3.7700995754802992E-2"/>
                  <c:y val="-3.8647706475675919E-2"/>
                </c:manualLayout>
              </c:layout>
              <c:dLblPos val="r"/>
              <c:showVal val="1"/>
            </c:dLbl>
            <c:dLbl>
              <c:idx val="1"/>
              <c:layout>
                <c:manualLayout>
                  <c:x val="-3.308545086770439E-2"/>
                  <c:y val="-2.8637678475256761E-2"/>
                </c:manualLayout>
              </c:layout>
              <c:dLblPos val="r"/>
              <c:showVal val="1"/>
            </c:dLbl>
            <c:dLbl>
              <c:idx val="2"/>
              <c:layout>
                <c:manualLayout>
                  <c:x val="-4.6401674017551929E-2"/>
                  <c:y val="3.8391836534451884E-2"/>
                </c:manualLayout>
              </c:layout>
              <c:dLblPos val="r"/>
              <c:showVal val="1"/>
            </c:dLbl>
            <c:dLbl>
              <c:idx val="3"/>
              <c:layout>
                <c:manualLayout>
                  <c:x val="-4.2563265589596312E-2"/>
                  <c:y val="-3.2034465616021579E-2"/>
                </c:manualLayout>
              </c:layout>
              <c:dLblPos val="r"/>
              <c:showVal val="1"/>
            </c:dLbl>
            <c:dLbl>
              <c:idx val="4"/>
              <c:layout>
                <c:manualLayout>
                  <c:x val="-5.1566234633050038E-2"/>
                  <c:y val="4.151527787998463E-2"/>
                </c:manualLayout>
              </c:layout>
              <c:dLblPos val="r"/>
              <c:showVal val="1"/>
            </c:dLbl>
            <c:dLbl>
              <c:idx val="5"/>
              <c:layout>
                <c:manualLayout>
                  <c:x val="-4.2888041056724113E-2"/>
                  <c:y val="-3.4292115354739541E-2"/>
                </c:manualLayout>
              </c:layout>
              <c:dLblPos val="r"/>
              <c:showVal val="1"/>
            </c:dLbl>
            <c:dLbl>
              <c:idx val="6"/>
              <c:layout>
                <c:manualLayout>
                  <c:x val="-4.0499860197887635E-2"/>
                  <c:y val="4.1515277879984588E-2"/>
                </c:manualLayout>
              </c:layout>
              <c:dLblPos val="r"/>
              <c:showVal val="1"/>
            </c:dLbl>
            <c:dLbl>
              <c:idx val="7"/>
              <c:layout>
                <c:manualLayout>
                  <c:x val="-5.3662905538869397E-2"/>
                  <c:y val="-5.2978471149050334E-2"/>
                </c:manualLayout>
              </c:layout>
              <c:dLblPos val="r"/>
              <c:showVal val="1"/>
            </c:dLbl>
            <c:dLbl>
              <c:idx val="8"/>
              <c:layout>
                <c:manualLayout>
                  <c:x val="-3.5581348913525615E-2"/>
                  <c:y val="-2.7980923648291342E-2"/>
                </c:manualLayout>
              </c:layout>
              <c:dLblPos val="r"/>
              <c:showVal val="1"/>
            </c:dLbl>
            <c:dLbl>
              <c:idx val="9"/>
              <c:layout>
                <c:manualLayout>
                  <c:x val="-1.7398426543699358E-2"/>
                  <c:y val="-3.2134351228807582E-2"/>
                </c:manualLayout>
              </c:layout>
              <c:dLblPos val="r"/>
              <c:showVal val="1"/>
            </c:dLbl>
            <c:dLbl>
              <c:idx val="10"/>
              <c:layout>
                <c:manualLayout>
                  <c:x val="-3.5529579421129456E-2"/>
                  <c:y val="5.0852895724483038E-2"/>
                </c:manualLayout>
              </c:layout>
              <c:dLblPos val="r"/>
              <c:showVal val="1"/>
            </c:dLbl>
            <c:dLbl>
              <c:idx val="11"/>
              <c:layout>
                <c:manualLayout>
                  <c:x val="-4.1846877740061988E-2"/>
                  <c:y val="-2.5578711883241432E-2"/>
                </c:manualLayout>
              </c:layout>
              <c:dLblPos val="r"/>
              <c:showVal val="1"/>
            </c:dLbl>
            <c:dLbl>
              <c:idx val="12"/>
              <c:layout>
                <c:manualLayout>
                  <c:x val="-3.4106555313441388E-2"/>
                  <c:y val="-3.6854424626722011E-2"/>
                </c:manualLayout>
              </c:layout>
              <c:dLblPos val="r"/>
              <c:showVal val="1"/>
            </c:dLbl>
            <c:dLbl>
              <c:idx val="13"/>
              <c:layout>
                <c:manualLayout>
                  <c:x val="-3.3076074972436531E-2"/>
                  <c:y val="-2.9692568069774456E-2"/>
                </c:manualLayout>
              </c:layout>
              <c:dLblPos val="r"/>
              <c:showVal val="1"/>
            </c:dLbl>
            <c:dLbl>
              <c:idx val="14"/>
              <c:layout>
                <c:manualLayout>
                  <c:x val="-3.3076074972436531E-2"/>
                  <c:y val="-4.1658543539554838E-2"/>
                </c:manualLayout>
              </c:layout>
              <c:dLblPos val="r"/>
              <c:showVal val="1"/>
            </c:dLbl>
            <c:dLbl>
              <c:idx val="15"/>
              <c:layout>
                <c:manualLayout>
                  <c:x val="-2.8264157167785117E-2"/>
                  <c:y val="3.0009370027125386E-2"/>
                </c:manualLayout>
              </c:layout>
              <c:showVal val="1"/>
            </c:dLbl>
            <c:dLbl>
              <c:idx val="16"/>
              <c:layout>
                <c:manualLayout>
                  <c:x val="-4.1896361631753032E-2"/>
                  <c:y val="-3.8686392868544292E-2"/>
                </c:manualLayout>
              </c:layout>
              <c:showVal val="1"/>
            </c:dLbl>
            <c:dLbl>
              <c:idx val="18"/>
              <c:layout>
                <c:manualLayout>
                  <c:x val="-1.1025358324145541E-2"/>
                  <c:y val="3.8686392868544435E-3"/>
                </c:manualLayout>
              </c:layout>
              <c:showVal val="1"/>
            </c:dLbl>
            <c:dLbl>
              <c:idx val="19"/>
              <c:layout>
                <c:manualLayout>
                  <c:x val="0"/>
                  <c:y val="-3.0949114294835395E-2"/>
                </c:manualLayout>
              </c:layout>
              <c:showVal val="1"/>
            </c:dLbl>
            <c:numFmt formatCode="General" sourceLinked="0"/>
            <c:txPr>
              <a:bodyPr/>
              <a:lstStyle/>
              <a:p>
                <a:pPr>
                  <a:defRPr sz="750" b="1" i="0" baseline="0">
                    <a:latin typeface="Arial" pitchFamily="34" charset="0"/>
                  </a:defRPr>
                </a:pPr>
                <a:endParaRPr lang="ru-RU"/>
              </a:p>
            </c:txPr>
            <c:showVal val="1"/>
          </c:dLbls>
          <c:cat>
            <c:numRef>
              <c:f>Лист1!$B$4:$B$23</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Лист1!$D$4:$D$23</c:f>
              <c:numCache>
                <c:formatCode>General</c:formatCode>
                <c:ptCount val="20"/>
                <c:pt idx="0">
                  <c:v>440.9</c:v>
                </c:pt>
                <c:pt idx="1">
                  <c:v>435.8</c:v>
                </c:pt>
                <c:pt idx="2">
                  <c:v>425.2</c:v>
                </c:pt>
                <c:pt idx="3">
                  <c:v>437.5</c:v>
                </c:pt>
                <c:pt idx="4">
                  <c:v>434.1</c:v>
                </c:pt>
                <c:pt idx="5">
                  <c:v>474.3</c:v>
                </c:pt>
                <c:pt idx="6">
                  <c:v>476.5</c:v>
                </c:pt>
                <c:pt idx="7">
                  <c:v>476.7</c:v>
                </c:pt>
                <c:pt idx="8">
                  <c:v>559.20000000000005</c:v>
                </c:pt>
                <c:pt idx="9">
                  <c:v>500.6</c:v>
                </c:pt>
                <c:pt idx="10">
                  <c:v>397.6</c:v>
                </c:pt>
                <c:pt idx="11">
                  <c:v>510.9</c:v>
                </c:pt>
                <c:pt idx="12">
                  <c:v>517.1</c:v>
                </c:pt>
                <c:pt idx="13">
                  <c:v>514.5</c:v>
                </c:pt>
                <c:pt idx="14">
                  <c:v>536.9</c:v>
                </c:pt>
                <c:pt idx="15">
                  <c:v>521.20000000000005</c:v>
                </c:pt>
                <c:pt idx="16">
                  <c:v>527.29999999999995</c:v>
                </c:pt>
                <c:pt idx="17">
                  <c:v>513.20000000000005</c:v>
                </c:pt>
                <c:pt idx="18">
                  <c:v>272.27999999999969</c:v>
                </c:pt>
                <c:pt idx="19">
                  <c:v>342.38</c:v>
                </c:pt>
              </c:numCache>
            </c:numRef>
          </c:val>
        </c:ser>
        <c:marker val="1"/>
        <c:axId val="225647616"/>
        <c:axId val="225854208"/>
      </c:lineChart>
      <c:catAx>
        <c:axId val="225647616"/>
        <c:scaling>
          <c:orientation val="minMax"/>
        </c:scaling>
        <c:axPos val="b"/>
        <c:numFmt formatCode="General" sourceLinked="1"/>
        <c:majorTickMark val="none"/>
        <c:tickLblPos val="nextTo"/>
        <c:spPr>
          <a:ln w="2378">
            <a:solidFill>
              <a:sysClr val="windowText" lastClr="000000"/>
            </a:solidFill>
            <a:prstDash val="solid"/>
          </a:ln>
        </c:spPr>
        <c:txPr>
          <a:bodyPr rot="0" vert="horz"/>
          <a:lstStyle/>
          <a:p>
            <a:pPr>
              <a:defRPr sz="800" b="1" i="0" u="none" strike="noStrike" baseline="0">
                <a:solidFill>
                  <a:srgbClr val="000000"/>
                </a:solidFill>
                <a:latin typeface="Arial" pitchFamily="34" charset="0"/>
                <a:ea typeface="Times New Roman"/>
                <a:cs typeface="Times New Roman"/>
              </a:defRPr>
            </a:pPr>
            <a:endParaRPr lang="ru-RU"/>
          </a:p>
        </c:txPr>
        <c:crossAx val="225854208"/>
        <c:crosses val="autoZero"/>
        <c:auto val="1"/>
        <c:lblAlgn val="ctr"/>
        <c:lblOffset val="100"/>
        <c:tickLblSkip val="1"/>
        <c:tickMarkSkip val="1"/>
      </c:catAx>
      <c:valAx>
        <c:axId val="225854208"/>
        <c:scaling>
          <c:orientation val="minMax"/>
        </c:scaling>
        <c:axPos val="l"/>
        <c:majorGridlines>
          <c:spPr>
            <a:ln>
              <a:solidFill>
                <a:sysClr val="window" lastClr="FFFFFF">
                  <a:lumMod val="75000"/>
                </a:sysClr>
              </a:solidFill>
            </a:ln>
          </c:spPr>
        </c:majorGridlines>
        <c:numFmt formatCode="General" sourceLinked="1"/>
        <c:majorTickMark val="none"/>
        <c:tickLblPos val="nextTo"/>
        <c:spPr>
          <a:ln>
            <a:solidFill>
              <a:sysClr val="windowText" lastClr="000000"/>
            </a:solidFill>
          </a:ln>
        </c:spPr>
        <c:txPr>
          <a:bodyPr/>
          <a:lstStyle/>
          <a:p>
            <a:pPr>
              <a:defRPr sz="850" b="1" i="0" baseline="0">
                <a:latin typeface="Arial" pitchFamily="34" charset="0"/>
              </a:defRPr>
            </a:pPr>
            <a:endParaRPr lang="ru-RU"/>
          </a:p>
        </c:txPr>
        <c:crossAx val="225647616"/>
        <c:crosses val="autoZero"/>
        <c:crossBetween val="between"/>
      </c:valAx>
      <c:spPr>
        <a:gradFill rotWithShape="0">
          <a:gsLst>
            <a:gs pos="0">
              <a:srgbClr val="FFFFFF"/>
            </a:gs>
            <a:gs pos="100000">
              <a:srgbClr val="FFFFFF">
                <a:gamma/>
                <a:tint val="42353"/>
                <a:invGamma/>
              </a:srgbClr>
            </a:gs>
          </a:gsLst>
          <a:lin ang="5400000" scaled="1"/>
        </a:gradFill>
        <a:ln w="19024">
          <a:noFill/>
        </a:ln>
      </c:spPr>
    </c:plotArea>
    <c:legend>
      <c:legendPos val="b"/>
      <c:layout>
        <c:manualLayout>
          <c:xMode val="edge"/>
          <c:yMode val="edge"/>
          <c:x val="7.7470446072404636E-2"/>
          <c:y val="0.90882859549643569"/>
          <c:w val="0.89316221884282077"/>
          <c:h val="6.6249191002450747E-2"/>
        </c:manualLayout>
      </c:layout>
      <c:txPr>
        <a:bodyPr/>
        <a:lstStyle/>
        <a:p>
          <a:pPr>
            <a:defRPr sz="900" baseline="0">
              <a:latin typeface="Arial" pitchFamily="34" charset="0"/>
            </a:defRPr>
          </a:pPr>
          <a:endParaRPr lang="ru-RU"/>
        </a:p>
      </c:txPr>
    </c:legend>
    <c:plotVisOnly val="1"/>
    <c:dispBlanksAs val="gap"/>
  </c:chart>
  <c:spPr>
    <a:gradFill rotWithShape="0">
      <a:gsLst>
        <a:gs pos="0">
          <a:srgbClr val="FFFFFF"/>
        </a:gs>
        <a:gs pos="100000">
          <a:srgbClr val="FFFFFF">
            <a:gamma/>
            <a:tint val="26667"/>
            <a:invGamma/>
          </a:srgbClr>
        </a:gs>
      </a:gsLst>
      <a:lin ang="5400000" scaled="1"/>
    </a:gradFill>
    <a:ln>
      <a:noFill/>
    </a:ln>
  </c:spPr>
  <c:txPr>
    <a:bodyPr/>
    <a:lstStyle/>
    <a:p>
      <a:pPr>
        <a:defRPr sz="320" b="0" i="0" u="none" strike="noStrike" baseline="0">
          <a:solidFill>
            <a:srgbClr val="000000"/>
          </a:solidFill>
          <a:latin typeface="Arial Cyr"/>
          <a:ea typeface="Arial Cyr"/>
          <a:cs typeface="Arial Cyr"/>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57627563741774"/>
          <c:y val="9.6484325618474545E-2"/>
          <c:w val="0.458937883797923"/>
          <c:h val="0.80703134876305127"/>
        </c:manualLayout>
      </c:layout>
      <c:radarChart>
        <c:radarStyle val="filled"/>
        <c:ser>
          <c:idx val="0"/>
          <c:order val="0"/>
          <c:tx>
            <c:strRef>
              <c:f>Sheet1!$A$2</c:f>
              <c:strCache>
                <c:ptCount val="1"/>
                <c:pt idx="0">
                  <c:v>Сезонность ОКИ</c:v>
                </c:pt>
              </c:strCache>
            </c:strRef>
          </c:tx>
          <c:spPr>
            <a:solidFill>
              <a:srgbClr val="44E43C"/>
            </a:solidFill>
            <a:ln w="12633">
              <a:solidFill>
                <a:srgbClr val="000000"/>
              </a:solidFill>
              <a:prstDash val="solid"/>
            </a:ln>
          </c:spPr>
          <c:dLbls>
            <c:dLbl>
              <c:idx val="0"/>
              <c:layout>
                <c:manualLayout>
                  <c:x val="1.4307695218279242E-2"/>
                  <c:y val="3.4420755097920454E-2"/>
                </c:manualLayout>
              </c:layout>
              <c:showVal val="1"/>
            </c:dLbl>
            <c:dLbl>
              <c:idx val="1"/>
              <c:layout>
                <c:manualLayout>
                  <c:x val="1.2440388666576561E-2"/>
                  <c:y val="4.0213607914395648E-2"/>
                </c:manualLayout>
              </c:layout>
              <c:showVal val="1"/>
            </c:dLbl>
            <c:dLbl>
              <c:idx val="2"/>
              <c:layout>
                <c:manualLayout>
                  <c:x val="-1.9372628116281043E-2"/>
                  <c:y val="1.5163098827984042E-2"/>
                </c:manualLayout>
              </c:layout>
              <c:showVal val="1"/>
            </c:dLbl>
            <c:dLbl>
              <c:idx val="3"/>
              <c:layout>
                <c:manualLayout>
                  <c:x val="-1.2329606326763824E-2"/>
                  <c:y val="-3.5675752069453018E-2"/>
                </c:manualLayout>
              </c:layout>
              <c:showVal val="1"/>
            </c:dLbl>
            <c:dLbl>
              <c:idx val="5"/>
              <c:layout>
                <c:manualLayout>
                  <c:x val="4.9539989986680834E-3"/>
                  <c:y val="9.4016007936149289E-17"/>
                </c:manualLayout>
              </c:layout>
              <c:showVal val="1"/>
            </c:dLbl>
            <c:dLbl>
              <c:idx val="6"/>
              <c:layout>
                <c:manualLayout>
                  <c:x val="0"/>
                  <c:y val="-1.0256410256410263E-2"/>
                </c:manualLayout>
              </c:layout>
              <c:showVal val="1"/>
            </c:dLbl>
            <c:dLbl>
              <c:idx val="7"/>
              <c:layout>
                <c:manualLayout>
                  <c:x val="0"/>
                  <c:y val="-4.1025641025641033E-2"/>
                </c:manualLayout>
              </c:layout>
              <c:showVal val="1"/>
            </c:dLbl>
            <c:dLbl>
              <c:idx val="8"/>
              <c:layout>
                <c:manualLayout>
                  <c:x val="9.9079979973361546E-3"/>
                  <c:y val="1.5384615384615361E-2"/>
                </c:manualLayout>
              </c:layout>
              <c:showVal val="1"/>
            </c:dLbl>
            <c:dLbl>
              <c:idx val="9"/>
              <c:layout>
                <c:manualLayout>
                  <c:x val="3.2200993491342499E-2"/>
                  <c:y val="6.1538461538461584E-2"/>
                </c:manualLayout>
              </c:layout>
              <c:showVal val="1"/>
            </c:dLbl>
            <c:dLbl>
              <c:idx val="10"/>
              <c:layout>
                <c:manualLayout>
                  <c:x val="-1.4806605826097862E-2"/>
                  <c:y val="-3.0621441550575518E-2"/>
                </c:manualLayout>
              </c:layout>
              <c:showVal val="1"/>
            </c:dLbl>
            <c:dLbl>
              <c:idx val="11"/>
              <c:layout>
                <c:manualLayout>
                  <c:x val="-2.8095415581029246E-3"/>
                  <c:y val="3.0326266908944074E-2"/>
                </c:manualLayout>
              </c:layout>
              <c:showVal val="1"/>
            </c:dLbl>
            <c:spPr>
              <a:solidFill>
                <a:sysClr val="window" lastClr="FFFFFF">
                  <a:lumMod val="95000"/>
                </a:sysClr>
              </a:solidFill>
              <a:ln>
                <a:noFill/>
              </a:ln>
            </c:spPr>
            <c:txPr>
              <a:bodyPr/>
              <a:lstStyle/>
              <a:p>
                <a:pPr>
                  <a:defRPr sz="800">
                    <a:latin typeface="Arial" pitchFamily="34" charset="0"/>
                    <a:cs typeface="Arial" pitchFamily="34"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0.00</c:formatCode>
                <c:ptCount val="12"/>
                <c:pt idx="0">
                  <c:v>13.62</c:v>
                </c:pt>
                <c:pt idx="1">
                  <c:v>15.450000000000006</c:v>
                </c:pt>
                <c:pt idx="2">
                  <c:v>18.959999999999987</c:v>
                </c:pt>
                <c:pt idx="3">
                  <c:v>27.23</c:v>
                </c:pt>
                <c:pt idx="4">
                  <c:v>18.29</c:v>
                </c:pt>
                <c:pt idx="5">
                  <c:v>17.88</c:v>
                </c:pt>
                <c:pt idx="6">
                  <c:v>17.54</c:v>
                </c:pt>
                <c:pt idx="7">
                  <c:v>24.479999999999986</c:v>
                </c:pt>
                <c:pt idx="8">
                  <c:v>19.71</c:v>
                </c:pt>
                <c:pt idx="9">
                  <c:v>26.979999999999986</c:v>
                </c:pt>
                <c:pt idx="10">
                  <c:v>14.370000000000006</c:v>
                </c:pt>
                <c:pt idx="11">
                  <c:v>23.64</c:v>
                </c:pt>
              </c:numCache>
            </c:numRef>
          </c:val>
        </c:ser>
        <c:axId val="225894784"/>
        <c:axId val="225896320"/>
      </c:radarChart>
      <c:catAx>
        <c:axId val="225894784"/>
        <c:scaling>
          <c:orientation val="minMax"/>
        </c:scaling>
        <c:axPos val="b"/>
        <c:majorGridlines>
          <c:spPr>
            <a:ln w="3159">
              <a:solidFill>
                <a:srgbClr val="000000"/>
              </a:solidFill>
              <a:prstDash val="solid"/>
            </a:ln>
          </c:spPr>
        </c:majorGridlines>
        <c:numFmt formatCode="General" sourceLinked="1"/>
        <c:tickLblPos val="nextTo"/>
        <c:txPr>
          <a:bodyPr rot="0" vert="horz"/>
          <a:lstStyle/>
          <a:p>
            <a:pPr>
              <a:defRPr sz="897" b="1" i="0" u="none" strike="noStrike" baseline="0">
                <a:solidFill>
                  <a:srgbClr val="000000"/>
                </a:solidFill>
                <a:latin typeface="Arial" pitchFamily="34" charset="0"/>
                <a:ea typeface="Calibri"/>
                <a:cs typeface="Calibri"/>
              </a:defRPr>
            </a:pPr>
            <a:endParaRPr lang="ru-RU"/>
          </a:p>
        </c:txPr>
        <c:crossAx val="225896320"/>
        <c:crosses val="autoZero"/>
        <c:lblAlgn val="ctr"/>
        <c:lblOffset val="100"/>
      </c:catAx>
      <c:valAx>
        <c:axId val="225896320"/>
        <c:scaling>
          <c:orientation val="minMax"/>
        </c:scaling>
        <c:axPos val="l"/>
        <c:majorGridlines>
          <c:spPr>
            <a:ln w="3159">
              <a:solidFill>
                <a:srgbClr val="000000"/>
              </a:solidFill>
              <a:prstDash val="solid"/>
            </a:ln>
          </c:spPr>
        </c:majorGridlines>
        <c:numFmt formatCode="0.00" sourceLinked="1"/>
        <c:majorTickMark val="cross"/>
        <c:tickLblPos val="nextTo"/>
        <c:spPr>
          <a:ln w="3159">
            <a:solidFill>
              <a:srgbClr val="000000"/>
            </a:solidFill>
            <a:prstDash val="solid"/>
          </a:ln>
        </c:spPr>
        <c:txPr>
          <a:bodyPr rot="0" vert="horz"/>
          <a:lstStyle/>
          <a:p>
            <a:pPr>
              <a:defRPr sz="698" b="1" i="0" u="none" strike="noStrike" baseline="0">
                <a:solidFill>
                  <a:srgbClr val="000000"/>
                </a:solidFill>
                <a:latin typeface="Arial" pitchFamily="34" charset="0"/>
                <a:ea typeface="Calibri"/>
                <a:cs typeface="Calibri"/>
              </a:defRPr>
            </a:pPr>
            <a:endParaRPr lang="ru-RU"/>
          </a:p>
        </c:txPr>
        <c:crossAx val="225894784"/>
        <c:crosses val="autoZero"/>
        <c:crossBetween val="between"/>
      </c:valAx>
      <c:spPr>
        <a:noFill/>
        <a:ln w="25370">
          <a:noFill/>
        </a:ln>
      </c:spPr>
    </c:plotArea>
    <c:plotVisOnly val="1"/>
    <c:dispBlanksAs val="gap"/>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50"/>
      <c:perspective val="20"/>
    </c:view3D>
    <c:plotArea>
      <c:layout>
        <c:manualLayout>
          <c:layoutTarget val="inner"/>
          <c:xMode val="edge"/>
          <c:yMode val="edge"/>
          <c:x val="0.13379014301349848"/>
          <c:y val="0.15781772943121994"/>
          <c:w val="0.64925648273320002"/>
          <c:h val="0.63573377027293554"/>
        </c:manualLayout>
      </c:layout>
      <c:pie3DChart>
        <c:varyColors val="1"/>
        <c:ser>
          <c:idx val="0"/>
          <c:order val="0"/>
          <c:tx>
            <c:strRef>
              <c:f>Лист1!$B$1</c:f>
              <c:strCache>
                <c:ptCount val="1"/>
                <c:pt idx="0">
                  <c:v>Столбец1</c:v>
                </c:pt>
              </c:strCache>
            </c:strRef>
          </c:tx>
          <c:spPr>
            <a:solidFill>
              <a:srgbClr val="EE407E"/>
            </a:solidFill>
          </c:spPr>
          <c:explosion val="27"/>
          <c:dPt>
            <c:idx val="0"/>
            <c:explosion val="0"/>
            <c:spPr>
              <a:solidFill>
                <a:srgbClr val="FFFF00"/>
              </a:solidFill>
            </c:spPr>
          </c:dPt>
          <c:dPt>
            <c:idx val="2"/>
            <c:spPr>
              <a:solidFill>
                <a:srgbClr val="00B050"/>
              </a:solidFill>
            </c:spPr>
          </c:dPt>
          <c:dLbls>
            <c:dLbl>
              <c:idx val="0"/>
              <c:layout>
                <c:manualLayout>
                  <c:x val="2.238655043100006E-2"/>
                  <c:y val="0.12627799189059141"/>
                </c:manualLayout>
              </c:layout>
              <c:tx>
                <c:rich>
                  <a:bodyPr/>
                  <a:lstStyle/>
                  <a:p>
                    <a:r>
                      <a:rPr lang="ru-RU"/>
                      <a:t>ОКИ  бактериальной этиологии 23,7%</a:t>
                    </a:r>
                  </a:p>
                </c:rich>
              </c:tx>
              <c:showVal val="1"/>
              <c:showCatName val="1"/>
            </c:dLbl>
            <c:dLbl>
              <c:idx val="1"/>
              <c:layout>
                <c:manualLayout>
                  <c:x val="0"/>
                  <c:y val="-0.29380836740401201"/>
                </c:manualLayout>
              </c:layout>
              <c:tx>
                <c:rich>
                  <a:bodyPr/>
                  <a:lstStyle/>
                  <a:p>
                    <a:r>
                      <a:rPr lang="ru-RU"/>
                      <a:t>ОКИ вирусной этиологии</a:t>
                    </a:r>
                  </a:p>
                  <a:p>
                    <a:r>
                      <a:rPr lang="ru-RU"/>
                      <a:t>73,9%</a:t>
                    </a:r>
                  </a:p>
                </c:rich>
              </c:tx>
              <c:showVal val="1"/>
              <c:showCatName val="1"/>
            </c:dLbl>
            <c:dLbl>
              <c:idx val="2"/>
              <c:layout>
                <c:manualLayout>
                  <c:x val="2.8217964282410642E-2"/>
                  <c:y val="-3.184852899612909E-2"/>
                </c:manualLayout>
              </c:layout>
              <c:tx>
                <c:rich>
                  <a:bodyPr/>
                  <a:lstStyle/>
                  <a:p>
                    <a:r>
                      <a:rPr lang="ru-RU"/>
                      <a:t>эшерихиозы</a:t>
                    </a:r>
                  </a:p>
                  <a:p>
                    <a:r>
                      <a:rPr lang="ru-RU"/>
                      <a:t>2,4%</a:t>
                    </a:r>
                  </a:p>
                </c:rich>
              </c:tx>
              <c:showVal val="1"/>
              <c:showCatName val="1"/>
            </c:dLbl>
            <c:txPr>
              <a:bodyPr/>
              <a:lstStyle/>
              <a:p>
                <a:pPr>
                  <a:defRPr sz="850" b="1" i="0" baseline="0">
                    <a:latin typeface="Arial" pitchFamily="34" charset="0"/>
                  </a:defRPr>
                </a:pPr>
                <a:endParaRPr lang="ru-RU"/>
              </a:p>
            </c:txPr>
            <c:showVal val="1"/>
            <c:showCatName val="1"/>
            <c:showLeaderLines val="1"/>
          </c:dLbls>
          <c:cat>
            <c:strRef>
              <c:f>Лист1!$A$2:$A$4</c:f>
              <c:strCache>
                <c:ptCount val="3"/>
                <c:pt idx="0">
                  <c:v>ОКИ  бактериальной этиологии</c:v>
                </c:pt>
                <c:pt idx="1">
                  <c:v>ОКИ вирусной этиологии </c:v>
                </c:pt>
                <c:pt idx="2">
                  <c:v>эшерихиозы</c:v>
                </c:pt>
              </c:strCache>
            </c:strRef>
          </c:cat>
          <c:val>
            <c:numRef>
              <c:f>Лист1!$B$2:$B$4</c:f>
              <c:numCache>
                <c:formatCode>General</c:formatCode>
                <c:ptCount val="3"/>
                <c:pt idx="0">
                  <c:v>23.7</c:v>
                </c:pt>
                <c:pt idx="1">
                  <c:v>73.900000000000006</c:v>
                </c:pt>
                <c:pt idx="2">
                  <c:v>2.4</c:v>
                </c:pt>
              </c:numCache>
            </c:numRef>
          </c:val>
        </c:ser>
      </c:pie3DChart>
    </c:plotArea>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7724732895849534E-2"/>
          <c:y val="5.0198404071640834E-2"/>
          <c:w val="0.92657299588889996"/>
          <c:h val="0.71184786541797085"/>
        </c:manualLayout>
      </c:layout>
      <c:barChart>
        <c:barDir val="col"/>
        <c:grouping val="clustered"/>
        <c:ser>
          <c:idx val="0"/>
          <c:order val="0"/>
          <c:tx>
            <c:strRef>
              <c:f>Лист1!$B$1</c:f>
              <c:strCache>
                <c:ptCount val="1"/>
                <c:pt idx="0">
                  <c:v>Брянская область</c:v>
                </c:pt>
              </c:strCache>
            </c:strRef>
          </c:tx>
          <c:spPr>
            <a:solidFill>
              <a:srgbClr val="B3C2F3"/>
            </a:solidFill>
          </c:spPr>
          <c:dLbls>
            <c:dLbl>
              <c:idx val="0"/>
              <c:layout>
                <c:manualLayout>
                  <c:x val="0"/>
                  <c:y val="1.01410929463109E-2"/>
                </c:manualLayout>
              </c:layout>
              <c:showVal val="1"/>
            </c:dLbl>
            <c:dLbl>
              <c:idx val="1"/>
              <c:layout>
                <c:manualLayout>
                  <c:x val="4.4121999666656177E-3"/>
                  <c:y val="8.5827014925605027E-3"/>
                </c:manualLayout>
              </c:layout>
              <c:showVal val="1"/>
            </c:dLbl>
            <c:dLbl>
              <c:idx val="2"/>
              <c:layout>
                <c:manualLayout>
                  <c:x val="4.4080288239862963E-3"/>
                  <c:y val="-1.6544904381631314E-3"/>
                </c:manualLayout>
              </c:layout>
              <c:showVal val="1"/>
            </c:dLbl>
            <c:dLbl>
              <c:idx val="3"/>
              <c:layout>
                <c:manualLayout>
                  <c:x val="1.9041266331109841E-3"/>
                  <c:y val="5.6499528804022014E-3"/>
                </c:manualLayout>
              </c:layout>
              <c:showVal val="1"/>
            </c:dLbl>
            <c:dLbl>
              <c:idx val="4"/>
              <c:layout>
                <c:manualLayout>
                  <c:x val="1.9041266331109841E-3"/>
                  <c:y val="-2.9146356420815412E-3"/>
                </c:manualLayout>
              </c:layout>
              <c:showVal val="1"/>
            </c:dLbl>
            <c:dLbl>
              <c:idx val="5"/>
              <c:layout>
                <c:manualLayout>
                  <c:x val="2.0555043528481002E-3"/>
                  <c:y val="6.6849797419367826E-3"/>
                </c:manualLayout>
              </c:layout>
              <c:tx>
                <c:rich>
                  <a:bodyPr/>
                  <a:lstStyle/>
                  <a:p>
                    <a:r>
                      <a:rPr lang="en-US" sz="800" baseline="0"/>
                      <a:t>17</a:t>
                    </a:r>
                    <a:r>
                      <a:rPr lang="ru-RU" sz="800" baseline="0"/>
                      <a:t>,0</a:t>
                    </a:r>
                    <a:endParaRPr lang="en-US" sz="800" baseline="0"/>
                  </a:p>
                </c:rich>
              </c:tx>
              <c:showVal val="1"/>
            </c:dLbl>
            <c:dLbl>
              <c:idx val="6"/>
              <c:layout>
                <c:manualLayout>
                  <c:x val="2.2051440964687991E-3"/>
                  <c:y val="-1.1290590519050583E-2"/>
                </c:manualLayout>
              </c:layout>
              <c:showVal val="1"/>
            </c:dLbl>
            <c:dLbl>
              <c:idx val="7"/>
              <c:layout>
                <c:manualLayout>
                  <c:x val="-1.7370927494618337E-7"/>
                  <c:y val="-1.2983793016300461E-3"/>
                </c:manualLayout>
              </c:layout>
              <c:showVal val="1"/>
            </c:dLbl>
            <c:dLbl>
              <c:idx val="8"/>
              <c:layout>
                <c:manualLayout>
                  <c:x val="2.2061077918165456E-3"/>
                  <c:y val="-6.6500017367619813E-3"/>
                </c:manualLayout>
              </c:layout>
              <c:showVal val="1"/>
            </c:dLbl>
            <c:dLbl>
              <c:idx val="9"/>
              <c:tx>
                <c:rich>
                  <a:bodyPr/>
                  <a:lstStyle/>
                  <a:p>
                    <a:r>
                      <a:rPr lang="en-US" sz="800" baseline="0"/>
                      <a:t>16</a:t>
                    </a:r>
                    <a:r>
                      <a:rPr lang="ru-RU" sz="800" baseline="0"/>
                      <a:t>,0</a:t>
                    </a:r>
                    <a:endParaRPr lang="en-US" sz="800" baseline="0"/>
                  </a:p>
                </c:rich>
              </c:tx>
              <c:dLblPos val="outEnd"/>
              <c:showVal val="1"/>
            </c:dLbl>
            <c:dLbl>
              <c:idx val="10"/>
              <c:layout>
                <c:manualLayout>
                  <c:x val="0"/>
                  <c:y val="6.5724205707448904E-3"/>
                </c:manualLayout>
              </c:layout>
              <c:showVal val="1"/>
            </c:dLbl>
            <c:dLbl>
              <c:idx val="11"/>
              <c:layout>
                <c:manualLayout>
                  <c:x val="4.4080288239862963E-3"/>
                  <c:y val="2.630262011874863E-3"/>
                </c:manualLayout>
              </c:layout>
              <c:showVal val="1"/>
            </c:dLbl>
            <c:dLbl>
              <c:idx val="12"/>
              <c:layout>
                <c:manualLayout>
                  <c:x val="-4.4122155836327824E-3"/>
                  <c:y val="8.6336354199311894E-3"/>
                </c:manualLayout>
              </c:layout>
              <c:showVal val="1"/>
            </c:dLbl>
            <c:dLbl>
              <c:idx val="13"/>
              <c:layout>
                <c:manualLayout>
                  <c:x val="-2.2072296678085509E-3"/>
                  <c:y val="9.8586308561177411E-3"/>
                </c:manualLayout>
              </c:layout>
              <c:showVal val="1"/>
            </c:dLbl>
            <c:dLbl>
              <c:idx val="15"/>
              <c:layout>
                <c:manualLayout>
                  <c:x val="0"/>
                  <c:y val="3.2513906095231002E-3"/>
                </c:manualLayout>
              </c:layout>
              <c:tx>
                <c:rich>
                  <a:bodyPr/>
                  <a:lstStyle/>
                  <a:p>
                    <a:r>
                      <a:rPr lang="ru-RU"/>
                      <a:t>16,9</a:t>
                    </a:r>
                    <a:endParaRPr lang="en-US"/>
                  </a:p>
                </c:rich>
              </c:tx>
              <c:showVal val="1"/>
            </c:dLbl>
            <c:spPr>
              <a:noFill/>
            </c:spPr>
            <c:txPr>
              <a:bodyPr/>
              <a:lstStyle/>
              <a:p>
                <a:pPr>
                  <a:defRPr sz="800" b="1" i="0" baseline="0">
                    <a:latin typeface="Arial" pitchFamily="34" charset="0"/>
                  </a:defRPr>
                </a:pPr>
                <a:endParaRPr lang="ru-RU"/>
              </a:p>
            </c:txPr>
            <c:showVal val="1"/>
          </c:dLbls>
          <c:trendline>
            <c:spPr>
              <a:ln w="25400" cmpd="thinThick">
                <a:solidFill>
                  <a:schemeClr val="bg1">
                    <a:lumMod val="50000"/>
                  </a:schemeClr>
                </a:solidFill>
                <a:prstDash val="solid"/>
                <a:round/>
              </a:ln>
            </c:spPr>
            <c:trendlineType val="linear"/>
          </c:trendline>
          <c:cat>
            <c:numRef>
              <c:f>Лист1!$A$2:$A$17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Лист1!$B$2:$B$17</c:f>
              <c:numCache>
                <c:formatCode>General</c:formatCode>
                <c:ptCount val="16"/>
                <c:pt idx="0">
                  <c:v>19.8</c:v>
                </c:pt>
                <c:pt idx="1">
                  <c:v>18.600000000000001</c:v>
                </c:pt>
                <c:pt idx="2">
                  <c:v>17.8</c:v>
                </c:pt>
                <c:pt idx="3">
                  <c:v>17.7</c:v>
                </c:pt>
                <c:pt idx="4">
                  <c:v>16.899999999999999</c:v>
                </c:pt>
                <c:pt idx="5">
                  <c:v>17</c:v>
                </c:pt>
                <c:pt idx="6">
                  <c:v>16.100000000000001</c:v>
                </c:pt>
                <c:pt idx="7">
                  <c:v>16.100000000000001</c:v>
                </c:pt>
                <c:pt idx="8">
                  <c:v>15.9</c:v>
                </c:pt>
                <c:pt idx="9">
                  <c:v>16</c:v>
                </c:pt>
                <c:pt idx="10">
                  <c:v>15.9</c:v>
                </c:pt>
                <c:pt idx="11">
                  <c:v>15.6</c:v>
                </c:pt>
                <c:pt idx="12">
                  <c:v>15.3</c:v>
                </c:pt>
                <c:pt idx="13">
                  <c:v>15.2</c:v>
                </c:pt>
                <c:pt idx="14">
                  <c:v>14.7</c:v>
                </c:pt>
                <c:pt idx="15">
                  <c:v>16.899999999999999</c:v>
                </c:pt>
              </c:numCache>
            </c:numRef>
          </c:val>
        </c:ser>
        <c:ser>
          <c:idx val="1"/>
          <c:order val="1"/>
          <c:tx>
            <c:strRef>
              <c:f>Лист1!$C$1</c:f>
              <c:strCache>
                <c:ptCount val="1"/>
                <c:pt idx="0">
                  <c:v>Российская Федерация</c:v>
                </c:pt>
              </c:strCache>
            </c:strRef>
          </c:tx>
          <c:spPr>
            <a:solidFill>
              <a:srgbClr val="808080"/>
            </a:solidFill>
          </c:spPr>
          <c:dLbls>
            <c:dLbl>
              <c:idx val="0"/>
              <c:layout>
                <c:manualLayout>
                  <c:x val="1.0128744932241618E-2"/>
                  <c:y val="1.4253031945148599E-2"/>
                </c:manualLayout>
              </c:layout>
              <c:tx>
                <c:rich>
                  <a:bodyPr/>
                  <a:lstStyle/>
                  <a:p>
                    <a:r>
                      <a:rPr lang="ru-RU" sz="800" baseline="0"/>
                      <a:t>16,1</a:t>
                    </a:r>
                    <a:endParaRPr lang="en-US" sz="800" baseline="0"/>
                  </a:p>
                </c:rich>
              </c:tx>
              <c:showVal val="1"/>
            </c:dLbl>
            <c:dLbl>
              <c:idx val="1"/>
              <c:layout>
                <c:manualLayout>
                  <c:x val="1.0278043157075298E-2"/>
                  <c:y val="6.2344843004538113E-3"/>
                </c:manualLayout>
              </c:layout>
              <c:showVal val="1"/>
            </c:dLbl>
            <c:dLbl>
              <c:idx val="2"/>
              <c:layout>
                <c:manualLayout>
                  <c:x val="1.0278043157075298E-2"/>
                  <c:y val="1.3897823183256163E-3"/>
                </c:manualLayout>
              </c:layout>
              <c:showVal val="1"/>
            </c:dLbl>
            <c:dLbl>
              <c:idx val="3"/>
              <c:layout>
                <c:manualLayout>
                  <c:x val="1.2262638084374958E-2"/>
                  <c:y val="5.7845063724016434E-3"/>
                </c:manualLayout>
              </c:layout>
              <c:showVal val="1"/>
            </c:dLbl>
            <c:dLbl>
              <c:idx val="4"/>
              <c:layout>
                <c:manualLayout>
                  <c:x val="1.0275609990512347E-2"/>
                  <c:y val="1.7877501465856805E-2"/>
                </c:manualLayout>
              </c:layout>
              <c:showVal val="1"/>
            </c:dLbl>
            <c:dLbl>
              <c:idx val="5"/>
              <c:layout>
                <c:manualLayout>
                  <c:x val="1.0278204089290038E-2"/>
                  <c:y val="1.5211639419466481E-2"/>
                </c:manualLayout>
              </c:layout>
              <c:showVal val="1"/>
            </c:dLbl>
            <c:dLbl>
              <c:idx val="6"/>
              <c:layout>
                <c:manualLayout>
                  <c:x val="1.0304955317631781E-2"/>
                  <c:y val="4.5638910814677124E-3"/>
                </c:manualLayout>
              </c:layout>
              <c:showVal val="1"/>
            </c:dLbl>
            <c:dLbl>
              <c:idx val="7"/>
              <c:layout>
                <c:manualLayout>
                  <c:x val="1.1025327680833781E-2"/>
                  <c:y val="5.0705464731554493E-3"/>
                </c:manualLayout>
              </c:layout>
              <c:tx>
                <c:rich>
                  <a:bodyPr/>
                  <a:lstStyle/>
                  <a:p>
                    <a:r>
                      <a:rPr lang="en-US" sz="800" baseline="0"/>
                      <a:t>1</a:t>
                    </a:r>
                    <a:r>
                      <a:rPr lang="ru-RU" sz="800" baseline="0"/>
                      <a:t>1</a:t>
                    </a:r>
                    <a:r>
                      <a:rPr lang="en-US" sz="800" baseline="0"/>
                      <a:t>,4</a:t>
                    </a:r>
                  </a:p>
                </c:rich>
              </c:tx>
              <c:showVal val="1"/>
            </c:dLbl>
            <c:dLbl>
              <c:idx val="8"/>
              <c:layout>
                <c:manualLayout>
                  <c:x val="8.8207832724917726E-3"/>
                  <c:y val="1.01410929463109E-2"/>
                </c:manualLayout>
              </c:layout>
              <c:tx>
                <c:rich>
                  <a:bodyPr/>
                  <a:lstStyle/>
                  <a:p>
                    <a:r>
                      <a:rPr lang="en-US" sz="800" baseline="0"/>
                      <a:t>13</a:t>
                    </a:r>
                    <a:r>
                      <a:rPr lang="ru-RU" sz="800" baseline="0"/>
                      <a:t>,0</a:t>
                    </a:r>
                    <a:endParaRPr lang="en-US" sz="800" baseline="0"/>
                  </a:p>
                </c:rich>
              </c:tx>
              <c:showVal val="1"/>
            </c:dLbl>
            <c:dLbl>
              <c:idx val="9"/>
              <c:layout>
                <c:manualLayout>
                  <c:x val="8.8289186712338184E-3"/>
                  <c:y val="6.5724205707448904E-3"/>
                </c:manualLayout>
              </c:layout>
              <c:dLblPos val="outEnd"/>
              <c:showVal val="1"/>
            </c:dLbl>
            <c:dLbl>
              <c:idx val="10"/>
              <c:layout>
                <c:manualLayout>
                  <c:x val="8.8202287906519131E-3"/>
                  <c:y val="1.1925320741886994E-2"/>
                </c:manualLayout>
              </c:layout>
              <c:showVal val="1"/>
            </c:dLbl>
            <c:dLbl>
              <c:idx val="11"/>
              <c:layout>
                <c:manualLayout>
                  <c:x val="8.8202287906519131E-3"/>
                  <c:y val="1.1925320741886994E-2"/>
                </c:manualLayout>
              </c:layout>
              <c:showVal val="1"/>
            </c:dLbl>
            <c:dLbl>
              <c:idx val="12"/>
              <c:layout>
                <c:manualLayout>
                  <c:x val="8.8233571476614061E-3"/>
                  <c:y val="1.0889258853490395E-2"/>
                </c:manualLayout>
              </c:layout>
              <c:showVal val="1"/>
            </c:dLbl>
            <c:dLbl>
              <c:idx val="13"/>
              <c:layout>
                <c:manualLayout>
                  <c:x val="1.5450607674659217E-2"/>
                  <c:y val="1.3144841141489763E-2"/>
                </c:manualLayout>
              </c:layout>
              <c:showVal val="1"/>
            </c:dLbl>
            <c:dLbl>
              <c:idx val="14"/>
              <c:layout>
                <c:manualLayout>
                  <c:x val="1.3235917903958632E-2"/>
                  <c:y val="9.5216341023448246E-3"/>
                </c:manualLayout>
              </c:layout>
              <c:showVal val="1"/>
            </c:dLbl>
            <c:dLbl>
              <c:idx val="15"/>
              <c:layout>
                <c:manualLayout>
                  <c:x val="1.1032037558267841E-2"/>
                  <c:y val="0"/>
                </c:manualLayout>
              </c:layout>
              <c:showVal val="1"/>
            </c:dLbl>
            <c:spPr>
              <a:noFill/>
            </c:spPr>
            <c:txPr>
              <a:bodyPr/>
              <a:lstStyle/>
              <a:p>
                <a:pPr>
                  <a:defRPr sz="800" b="1" i="0" baseline="0">
                    <a:latin typeface="Arial" pitchFamily="34" charset="0"/>
                  </a:defRPr>
                </a:pPr>
                <a:endParaRPr lang="ru-RU"/>
              </a:p>
            </c:txPr>
            <c:showVal val="1"/>
          </c:dLbls>
          <c:cat>
            <c:numRef>
              <c:f>Лист1!$A$2:$A$17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Лист1!$C$2:$C$17</c:f>
              <c:numCache>
                <c:formatCode>General</c:formatCode>
                <c:ptCount val="16"/>
                <c:pt idx="0">
                  <c:v>16.100000000000001</c:v>
                </c:pt>
                <c:pt idx="1">
                  <c:v>15.2</c:v>
                </c:pt>
                <c:pt idx="2">
                  <c:v>14.6</c:v>
                </c:pt>
                <c:pt idx="3">
                  <c:v>14.6</c:v>
                </c:pt>
                <c:pt idx="4">
                  <c:v>14.2</c:v>
                </c:pt>
                <c:pt idx="5">
                  <c:v>14.2</c:v>
                </c:pt>
                <c:pt idx="6">
                  <c:v>13.5</c:v>
                </c:pt>
                <c:pt idx="7">
                  <c:v>13.3</c:v>
                </c:pt>
                <c:pt idx="8">
                  <c:v>13</c:v>
                </c:pt>
                <c:pt idx="9">
                  <c:v>13.1</c:v>
                </c:pt>
                <c:pt idx="10">
                  <c:v>13.3</c:v>
                </c:pt>
                <c:pt idx="11">
                  <c:v>12.9</c:v>
                </c:pt>
                <c:pt idx="12">
                  <c:v>12.4</c:v>
                </c:pt>
                <c:pt idx="13">
                  <c:v>12.5</c:v>
                </c:pt>
                <c:pt idx="14">
                  <c:v>12.3</c:v>
                </c:pt>
                <c:pt idx="15">
                  <c:v>14.5</c:v>
                </c:pt>
              </c:numCache>
            </c:numRef>
          </c:val>
        </c:ser>
        <c:dLbls>
          <c:showVal val="1"/>
        </c:dLbls>
        <c:axId val="141786112"/>
        <c:axId val="141796096"/>
      </c:barChart>
      <c:catAx>
        <c:axId val="141786112"/>
        <c:scaling>
          <c:orientation val="minMax"/>
        </c:scaling>
        <c:axPos val="b"/>
        <c:numFmt formatCode="General" sourceLinked="1"/>
        <c:tickLblPos val="low"/>
        <c:txPr>
          <a:bodyPr rot="0" vert="horz" anchor="ctr" anchorCtr="0"/>
          <a:lstStyle/>
          <a:p>
            <a:pPr>
              <a:defRPr sz="900" b="1" i="0" baseline="0">
                <a:latin typeface="Arial" pitchFamily="34" charset="0"/>
              </a:defRPr>
            </a:pPr>
            <a:endParaRPr lang="ru-RU"/>
          </a:p>
        </c:txPr>
        <c:crossAx val="141796096"/>
        <c:crosses val="autoZero"/>
        <c:auto val="1"/>
        <c:lblAlgn val="ctr"/>
        <c:lblOffset val="100"/>
      </c:catAx>
      <c:valAx>
        <c:axId val="141796096"/>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141786112"/>
        <c:crosses val="autoZero"/>
        <c:crossBetween val="between"/>
      </c:valAx>
    </c:plotArea>
    <c:legend>
      <c:legendPos val="b"/>
      <c:txPr>
        <a:bodyPr/>
        <a:lstStyle/>
        <a:p>
          <a:pPr>
            <a:defRPr sz="900" baseline="0">
              <a:latin typeface="Arial" pitchFamily="34" charset="0"/>
            </a:defRPr>
          </a:pPr>
          <a:endParaRPr lang="ru-RU"/>
        </a:p>
      </c:txPr>
    </c:legend>
    <c:plotVisOnly val="1"/>
  </c:chart>
  <c:spPr>
    <a:ln>
      <a:noFill/>
    </a:ln>
  </c:sp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manualLayout>
          <c:layoutTarget val="inner"/>
          <c:xMode val="edge"/>
          <c:yMode val="edge"/>
          <c:x val="6.6510067114093963E-2"/>
          <c:y val="2.8420437829886649E-2"/>
          <c:w val="0.90806760732089764"/>
          <c:h val="0.7860932768019383"/>
        </c:manualLayout>
      </c:layout>
      <c:barChart>
        <c:barDir val="col"/>
        <c:grouping val="clustered"/>
        <c:varyColors val="1"/>
        <c:ser>
          <c:idx val="0"/>
          <c:order val="0"/>
          <c:dLbls>
            <c:dLbl>
              <c:idx val="0"/>
              <c:layout>
                <c:manualLayout>
                  <c:x val="1.0216843699906681E-5"/>
                  <c:y val="1.4870698269315518E-2"/>
                </c:manualLayout>
              </c:layout>
              <c:showVal val="1"/>
            </c:dLbl>
            <c:dLbl>
              <c:idx val="1"/>
              <c:layout>
                <c:manualLayout>
                  <c:x val="3.466801843216649E-4"/>
                  <c:y val="7.2256820941902916E-3"/>
                </c:manualLayout>
              </c:layout>
              <c:showVal val="1"/>
            </c:dLbl>
            <c:dLbl>
              <c:idx val="2"/>
              <c:layout>
                <c:manualLayout>
                  <c:x val="2.1649139495147102E-4"/>
                  <c:y val="-9.2589631879771359E-3"/>
                </c:manualLayout>
              </c:layout>
              <c:showVal val="1"/>
            </c:dLbl>
            <c:dLbl>
              <c:idx val="3"/>
              <c:layout>
                <c:manualLayout>
                  <c:x val="-3.6886331615821996E-3"/>
                  <c:y val="1.6020191630327599E-2"/>
                </c:manualLayout>
              </c:layout>
              <c:showVal val="1"/>
            </c:dLbl>
            <c:dLbl>
              <c:idx val="4"/>
              <c:layout>
                <c:manualLayout>
                  <c:x val="-5.1193534992057194E-3"/>
                  <c:y val="8.3104636036355328E-3"/>
                </c:manualLayout>
              </c:layout>
              <c:showVal val="1"/>
            </c:dLbl>
            <c:dLbl>
              <c:idx val="5"/>
              <c:layout>
                <c:manualLayout>
                  <c:x val="-4.0958127963670998E-3"/>
                  <c:y val="1.4728826231832446E-2"/>
                </c:manualLayout>
              </c:layout>
              <c:showVal val="1"/>
            </c:dLbl>
            <c:txPr>
              <a:bodyPr/>
              <a:lstStyle/>
              <a:p>
                <a:pPr>
                  <a:defRPr sz="859" b="1" baseline="0">
                    <a:latin typeface="Arial" pitchFamily="34" charset="0"/>
                  </a:defRPr>
                </a:pPr>
                <a:endParaRPr lang="ru-RU"/>
              </a:p>
            </c:txPr>
            <c:showVal val="1"/>
          </c:dLbls>
          <c:cat>
            <c:strRef>
              <c:f>Sheet1!$B$1:$G$1</c:f>
              <c:strCache>
                <c:ptCount val="6"/>
                <c:pt idx="0">
                  <c:v>дети до 1 года</c:v>
                </c:pt>
                <c:pt idx="1">
                  <c:v>дети от 1 до 2 лет</c:v>
                </c:pt>
                <c:pt idx="2">
                  <c:v>дети 3-6 лет</c:v>
                </c:pt>
                <c:pt idx="3">
                  <c:v>дети 7-14 лет</c:v>
                </c:pt>
                <c:pt idx="4">
                  <c:v>подростки 15-17 лет</c:v>
                </c:pt>
                <c:pt idx="5">
                  <c:v>взрослые</c:v>
                </c:pt>
              </c:strCache>
            </c:strRef>
          </c:cat>
          <c:val>
            <c:numRef>
              <c:f>Sheet1!$B$2:$G$2</c:f>
              <c:numCache>
                <c:formatCode>General</c:formatCode>
                <c:ptCount val="6"/>
                <c:pt idx="0">
                  <c:v>392.9</c:v>
                </c:pt>
                <c:pt idx="1">
                  <c:v>526.70000000000005</c:v>
                </c:pt>
                <c:pt idx="2">
                  <c:v>181.1</c:v>
                </c:pt>
                <c:pt idx="3">
                  <c:v>159.1</c:v>
                </c:pt>
                <c:pt idx="4">
                  <c:v>22.82</c:v>
                </c:pt>
                <c:pt idx="5">
                  <c:v>2.46</c:v>
                </c:pt>
              </c:numCache>
            </c:numRef>
          </c:val>
        </c:ser>
        <c:dLbls>
          <c:showVal val="1"/>
        </c:dLbls>
        <c:axId val="226278784"/>
        <c:axId val="226280576"/>
      </c:barChart>
      <c:catAx>
        <c:axId val="226278784"/>
        <c:scaling>
          <c:orientation val="minMax"/>
        </c:scaling>
        <c:axPos val="b"/>
        <c:numFmt formatCode="General" sourceLinked="1"/>
        <c:tickLblPos val="nextTo"/>
        <c:txPr>
          <a:bodyPr rot="0" vert="horz"/>
          <a:lstStyle/>
          <a:p>
            <a:pPr>
              <a:defRPr sz="750" b="1" i="0" baseline="0">
                <a:latin typeface="Arial" pitchFamily="34" charset="0"/>
              </a:defRPr>
            </a:pPr>
            <a:endParaRPr lang="ru-RU"/>
          </a:p>
        </c:txPr>
        <c:crossAx val="226280576"/>
        <c:crosses val="autoZero"/>
        <c:auto val="1"/>
        <c:lblAlgn val="ctr"/>
        <c:lblOffset val="100"/>
        <c:tickLblSkip val="1"/>
        <c:tickMarkSkip val="1"/>
      </c:catAx>
      <c:valAx>
        <c:axId val="226280576"/>
        <c:scaling>
          <c:orientation val="minMax"/>
        </c:scaling>
        <c:axPos val="l"/>
        <c:majorGridlines>
          <c:spPr>
            <a:ln>
              <a:solidFill>
                <a:schemeClr val="bg1">
                  <a:lumMod val="75000"/>
                </a:schemeClr>
              </a:solidFill>
            </a:ln>
          </c:spPr>
        </c:majorGridlines>
        <c:numFmt formatCode="General" sourceLinked="1"/>
        <c:tickLblPos val="nextTo"/>
        <c:txPr>
          <a:bodyPr rot="0" vert="horz"/>
          <a:lstStyle/>
          <a:p>
            <a:pPr>
              <a:defRPr sz="900" b="1" i="0" baseline="0">
                <a:latin typeface="Arial" pitchFamily="34" charset="0"/>
              </a:defRPr>
            </a:pPr>
            <a:endParaRPr lang="ru-RU"/>
          </a:p>
        </c:txPr>
        <c:crossAx val="226278784"/>
        <c:crosses val="autoZero"/>
        <c:crossBetween val="between"/>
        <c:minorUnit val="10"/>
      </c:valAx>
    </c:plotArea>
    <c:plotVisOnly val="1"/>
    <c:dispBlanksAs val="gap"/>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4.8025215812693929E-2"/>
          <c:y val="3.1957543670347595E-2"/>
          <c:w val="0.9251857637354135"/>
          <c:h val="0.81321345747726548"/>
        </c:manualLayout>
      </c:layout>
      <c:bar3DChart>
        <c:barDir val="col"/>
        <c:grouping val="clustered"/>
        <c:ser>
          <c:idx val="0"/>
          <c:order val="0"/>
          <c:tx>
            <c:strRef>
              <c:f>Лист1!$B$1</c:f>
              <c:strCache>
                <c:ptCount val="1"/>
                <c:pt idx="0">
                  <c:v>Ряд 1</c:v>
                </c:pt>
              </c:strCache>
            </c:strRef>
          </c:tx>
          <c:dLbls>
            <c:dLbl>
              <c:idx val="0"/>
              <c:layout>
                <c:manualLayout>
                  <c:x val="1.4129913901200192E-2"/>
                  <c:y val="-9.6946298619702258E-3"/>
                </c:manualLayout>
              </c:layout>
              <c:showVal val="1"/>
            </c:dLbl>
            <c:dLbl>
              <c:idx val="1"/>
              <c:layout>
                <c:manualLayout>
                  <c:x val="1.1621564925529683E-2"/>
                  <c:y val="-2.8081890583135046E-3"/>
                </c:manualLayout>
              </c:layout>
              <c:showVal val="1"/>
            </c:dLbl>
            <c:dLbl>
              <c:idx val="2"/>
              <c:layout>
                <c:manualLayout>
                  <c:x val="1.1574074074074073E-2"/>
                  <c:y val="-7.9365079365079413E-3"/>
                </c:manualLayout>
              </c:layout>
              <c:showVal val="1"/>
            </c:dLbl>
            <c:dLbl>
              <c:idx val="3"/>
              <c:layout>
                <c:manualLayout>
                  <c:x val="9.2592592592597844E-3"/>
                  <c:y val="-3.9682539682539802E-3"/>
                </c:manualLayout>
              </c:layout>
              <c:showVal val="1"/>
            </c:dLbl>
            <c:dLbl>
              <c:idx val="4"/>
              <c:layout>
                <c:manualLayout>
                  <c:x val="1.3888678484389703E-2"/>
                  <c:y val="-5.7263894071282514E-3"/>
                </c:manualLayout>
              </c:layout>
              <c:showVal val="1"/>
            </c:dLbl>
            <c:dLbl>
              <c:idx val="5"/>
              <c:layout>
                <c:manualLayout>
                  <c:x val="1.1574122458231089E-2"/>
                  <c:y val="-3.5167843874038002E-3"/>
                </c:manualLayout>
              </c:layout>
              <c:showVal val="1"/>
            </c:dLbl>
            <c:dLbl>
              <c:idx val="6"/>
              <c:layout>
                <c:manualLayout>
                  <c:x val="1.3604166945623502E-2"/>
                  <c:y val="-3.2819632859430042E-2"/>
                </c:manualLayout>
              </c:layout>
              <c:showVal val="1"/>
            </c:dLbl>
            <c:dLbl>
              <c:idx val="7"/>
              <c:layout>
                <c:manualLayout>
                  <c:x val="1.1336805788019651E-2"/>
                  <c:y val="-1.6409816429714948E-2"/>
                </c:manualLayout>
              </c:layout>
              <c:showVal val="1"/>
            </c:dLbl>
            <c:txPr>
              <a:bodyPr/>
              <a:lstStyle/>
              <a:p>
                <a:pPr>
                  <a:defRPr sz="850" b="1" i="0" baseline="0">
                    <a:latin typeface="Arial" pitchFamily="34" charset="0"/>
                  </a:defRPr>
                </a:pPr>
                <a:endParaRPr lang="ru-RU"/>
              </a:p>
            </c:txPr>
            <c:showVal val="1"/>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7.53</c:v>
                </c:pt>
                <c:pt idx="1">
                  <c:v>3.7600000000000002</c:v>
                </c:pt>
                <c:pt idx="2">
                  <c:v>4.7699999999999996</c:v>
                </c:pt>
                <c:pt idx="3">
                  <c:v>5.59</c:v>
                </c:pt>
                <c:pt idx="4">
                  <c:v>2.3199999999999967</c:v>
                </c:pt>
                <c:pt idx="5">
                  <c:v>7.56</c:v>
                </c:pt>
                <c:pt idx="6">
                  <c:v>0.93</c:v>
                </c:pt>
                <c:pt idx="7">
                  <c:v>1.25</c:v>
                </c:pt>
              </c:numCache>
            </c:numRef>
          </c:val>
        </c:ser>
        <c:shape val="cylinder"/>
        <c:axId val="226636160"/>
        <c:axId val="226637696"/>
        <c:axId val="0"/>
      </c:bar3DChart>
      <c:catAx>
        <c:axId val="226636160"/>
        <c:scaling>
          <c:orientation val="minMax"/>
        </c:scaling>
        <c:axPos val="b"/>
        <c:numFmt formatCode="General" sourceLinked="1"/>
        <c:tickLblPos val="nextTo"/>
        <c:txPr>
          <a:bodyPr/>
          <a:lstStyle/>
          <a:p>
            <a:pPr>
              <a:defRPr sz="900" b="1" i="0" baseline="0">
                <a:latin typeface="Arial" pitchFamily="34" charset="0"/>
              </a:defRPr>
            </a:pPr>
            <a:endParaRPr lang="ru-RU"/>
          </a:p>
        </c:txPr>
        <c:crossAx val="226637696"/>
        <c:crosses val="autoZero"/>
        <c:auto val="1"/>
        <c:lblAlgn val="ctr"/>
        <c:lblOffset val="100"/>
      </c:catAx>
      <c:valAx>
        <c:axId val="226637696"/>
        <c:scaling>
          <c:orientation val="minMax"/>
        </c:scaling>
        <c:axPos val="l"/>
        <c:majorGridlines>
          <c:spPr>
            <a:ln>
              <a:solidFill>
                <a:schemeClr val="bg1">
                  <a:lumMod val="75000"/>
                </a:schemeClr>
              </a:solidFill>
            </a:ln>
          </c:spPr>
        </c:majorGridlines>
        <c:numFmt formatCode="General" sourceLinked="1"/>
        <c:tickLblPos val="nextTo"/>
        <c:txPr>
          <a:bodyPr/>
          <a:lstStyle/>
          <a:p>
            <a:pPr>
              <a:defRPr sz="900" b="1" i="0" baseline="0">
                <a:latin typeface="Arial" pitchFamily="34" charset="0"/>
              </a:defRPr>
            </a:pPr>
            <a:endParaRPr lang="ru-RU"/>
          </a:p>
        </c:txPr>
        <c:crossAx val="226636160"/>
        <c:crosses val="autoZero"/>
        <c:crossBetween val="between"/>
      </c:valAx>
      <c:spPr>
        <a:ln>
          <a:noFill/>
        </a:ln>
      </c:spPr>
    </c:plotArea>
    <c:plotVisOnly val="1"/>
    <c:dispBlanksAs val="gap"/>
  </c:chart>
  <c:spPr>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960105241730083E-2"/>
          <c:y val="6.2243215173324568E-2"/>
          <c:w val="0.93023255813953487"/>
          <c:h val="0.74885440204938936"/>
        </c:manualLayout>
      </c:layout>
      <c:lineChart>
        <c:grouping val="standard"/>
        <c:ser>
          <c:idx val="0"/>
          <c:order val="0"/>
          <c:tx>
            <c:strRef>
              <c:f>Sheet1!$A$2</c:f>
              <c:strCache>
                <c:ptCount val="1"/>
                <c:pt idx="0">
                  <c:v>Брянская область</c:v>
                </c:pt>
              </c:strCache>
            </c:strRef>
          </c:tx>
          <c:spPr>
            <a:ln w="34904" cmpd="sng">
              <a:solidFill>
                <a:srgbClr val="FF0000"/>
              </a:solidFill>
              <a:prstDash val="solid"/>
            </a:ln>
          </c:spPr>
          <c:marker>
            <c:symbol val="circle"/>
            <c:size val="5"/>
            <c:spPr>
              <a:solidFill>
                <a:srgbClr val="FF0000"/>
              </a:solidFill>
              <a:ln>
                <a:solidFill>
                  <a:sysClr val="windowText" lastClr="000000">
                    <a:lumMod val="65000"/>
                    <a:lumOff val="35000"/>
                  </a:sysClr>
                </a:solidFill>
                <a:prstDash val="solid"/>
              </a:ln>
            </c:spPr>
          </c:marker>
          <c:dLbls>
            <c:dLbl>
              <c:idx val="0"/>
              <c:layout>
                <c:manualLayout>
                  <c:x val="8.8202866593165268E-3"/>
                  <c:y val="-3.3282841253950701E-2"/>
                </c:manualLayout>
              </c:layout>
              <c:dLblPos val="l"/>
              <c:showVal val="1"/>
            </c:dLbl>
            <c:dLbl>
              <c:idx val="1"/>
              <c:layout>
                <c:manualLayout>
                  <c:x val="3.0871003307607496E-2"/>
                  <c:y val="4.9924261880927134E-2"/>
                </c:manualLayout>
              </c:layout>
              <c:dLblPos val="l"/>
              <c:showVal val="1"/>
            </c:dLbl>
            <c:dLbl>
              <c:idx val="2"/>
              <c:layout>
                <c:manualLayout>
                  <c:x val="4.8511576626240394E-2"/>
                  <c:y val="4.5763906724182332E-2"/>
                </c:manualLayout>
              </c:layout>
              <c:tx>
                <c:rich>
                  <a:bodyPr/>
                  <a:lstStyle/>
                  <a:p>
                    <a:r>
                      <a:rPr lang="en-US"/>
                      <a:t>3,6</a:t>
                    </a:r>
                    <a:r>
                      <a:rPr lang="ru-RU"/>
                      <a:t>0</a:t>
                    </a:r>
                    <a:endParaRPr lang="en-US"/>
                  </a:p>
                </c:rich>
              </c:tx>
              <c:dLblPos val="l"/>
              <c:showVal val="1"/>
            </c:dLbl>
            <c:dLbl>
              <c:idx val="3"/>
              <c:layout>
                <c:manualLayout>
                  <c:x val="3.0871003307607496E-2"/>
                  <c:y val="4.1603551567438377E-2"/>
                </c:manualLayout>
              </c:layout>
              <c:dLblPos val="l"/>
              <c:showVal val="1"/>
            </c:dLbl>
            <c:dLbl>
              <c:idx val="4"/>
              <c:layout>
                <c:manualLayout>
                  <c:x val="3.5281146637267016E-2"/>
                  <c:y val="5.8244972194413727E-2"/>
                </c:manualLayout>
              </c:layout>
              <c:dLblPos val="l"/>
              <c:showVal val="1"/>
            </c:dLbl>
            <c:dLbl>
              <c:idx val="5"/>
              <c:layout>
                <c:manualLayout>
                  <c:x val="4.1896361631753032E-2"/>
                  <c:y val="4.5763906724182332E-2"/>
                </c:manualLayout>
              </c:layout>
              <c:dLblPos val="l"/>
              <c:showVal val="1"/>
            </c:dLbl>
            <c:dLbl>
              <c:idx val="6"/>
              <c:layout>
                <c:manualLayout>
                  <c:x val="-4.7442203682643423E-2"/>
                  <c:y val="-4.1603551567438377E-2"/>
                </c:manualLayout>
              </c:layout>
              <c:dLblPos val="r"/>
              <c:showVal val="1"/>
            </c:dLbl>
            <c:dLbl>
              <c:idx val="7"/>
              <c:layout>
                <c:manualLayout>
                  <c:x val="1.0693729435970504E-3"/>
                  <c:y val="-2.080210337073941E-2"/>
                </c:manualLayout>
              </c:layout>
              <c:dLblPos val="r"/>
              <c:showVal val="1"/>
            </c:dLbl>
            <c:dLbl>
              <c:idx val="8"/>
              <c:layout>
                <c:manualLayout>
                  <c:x val="-1.6571200375035809E-2"/>
                  <c:y val="-4.9924261880926427E-2"/>
                </c:manualLayout>
              </c:layout>
              <c:dLblPos val="r"/>
              <c:showVal val="1"/>
            </c:dLbl>
            <c:txPr>
              <a:bodyPr/>
              <a:lstStyle/>
              <a:p>
                <a:pPr>
                  <a:defRPr sz="900" baseline="0"/>
                </a:pPr>
                <a:endParaRPr lang="ru-RU"/>
              </a:p>
            </c:txPr>
            <c:dLblPos val="l"/>
            <c:showVal val="1"/>
          </c:dLbls>
          <c:cat>
            <c:numRef>
              <c:f>Sheet1!$B$1:$J$1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Sheet1!$B$2:$J$2</c:f>
              <c:numCache>
                <c:formatCode>General</c:formatCode>
                <c:ptCount val="9"/>
                <c:pt idx="0">
                  <c:v>1.36</c:v>
                </c:pt>
                <c:pt idx="1">
                  <c:v>1.04</c:v>
                </c:pt>
                <c:pt idx="2">
                  <c:v>3.6</c:v>
                </c:pt>
                <c:pt idx="3">
                  <c:v>3.05</c:v>
                </c:pt>
                <c:pt idx="4">
                  <c:v>4.4400000000000004</c:v>
                </c:pt>
                <c:pt idx="5">
                  <c:v>3.14</c:v>
                </c:pt>
                <c:pt idx="6">
                  <c:v>6.6499999999999995</c:v>
                </c:pt>
                <c:pt idx="7">
                  <c:v>4.38</c:v>
                </c:pt>
                <c:pt idx="8">
                  <c:v>2.92</c:v>
                </c:pt>
              </c:numCache>
            </c:numRef>
          </c:val>
        </c:ser>
        <c:ser>
          <c:idx val="1"/>
          <c:order val="1"/>
          <c:tx>
            <c:strRef>
              <c:f>Sheet1!$A$3</c:f>
              <c:strCache>
                <c:ptCount val="1"/>
                <c:pt idx="0">
                  <c:v>РФ</c:v>
                </c:pt>
              </c:strCache>
            </c:strRef>
          </c:tx>
          <c:spPr>
            <a:ln w="31731">
              <a:solidFill>
                <a:srgbClr val="0070C0"/>
              </a:solidFill>
              <a:prstDash val="solid"/>
            </a:ln>
          </c:spPr>
          <c:marker>
            <c:symbol val="circle"/>
            <c:size val="5"/>
            <c:spPr>
              <a:solidFill>
                <a:srgbClr val="0070C0"/>
              </a:solidFill>
              <a:ln>
                <a:solidFill>
                  <a:sysClr val="windowText" lastClr="000000">
                    <a:lumMod val="65000"/>
                    <a:lumOff val="35000"/>
                  </a:sysClr>
                </a:solidFill>
                <a:prstDash val="solid"/>
              </a:ln>
            </c:spPr>
          </c:marker>
          <c:dLbls>
            <c:dLbl>
              <c:idx val="0"/>
              <c:layout>
                <c:manualLayout>
                  <c:x val="1.9845644983461964E-2"/>
                  <c:y val="-4.1603551567438377E-2"/>
                </c:manualLayout>
              </c:layout>
              <c:dLblPos val="l"/>
              <c:showVal val="1"/>
            </c:dLbl>
            <c:dLbl>
              <c:idx val="1"/>
              <c:layout>
                <c:manualLayout>
                  <c:x val="1.5435501653803843E-2"/>
                  <c:y val="-3.7443196410696371E-2"/>
                </c:manualLayout>
              </c:layout>
              <c:dLblPos val="l"/>
              <c:showVal val="1"/>
            </c:dLbl>
            <c:dLbl>
              <c:idx val="2"/>
              <c:layout>
                <c:manualLayout>
                  <c:x val="3.3076074972436642E-2"/>
                  <c:y val="-4.5763906724182332E-2"/>
                </c:manualLayout>
              </c:layout>
              <c:dLblPos val="l"/>
              <c:showVal val="1"/>
            </c:dLbl>
            <c:dLbl>
              <c:idx val="3"/>
              <c:layout>
                <c:manualLayout>
                  <c:x val="4.1896361631753032E-2"/>
                  <c:y val="-4.5763906724182332E-2"/>
                </c:manualLayout>
              </c:layout>
              <c:dLblPos val="l"/>
              <c:showVal val="1"/>
            </c:dLbl>
            <c:dLbl>
              <c:idx val="4"/>
              <c:layout>
                <c:manualLayout>
                  <c:x val="3.5281146637267016E-2"/>
                  <c:y val="-3.3282841253950701E-2"/>
                </c:manualLayout>
              </c:layout>
              <c:dLblPos val="l"/>
              <c:showVal val="1"/>
            </c:dLbl>
            <c:dLbl>
              <c:idx val="5"/>
              <c:layout>
                <c:manualLayout>
                  <c:x val="3.5281146637266295E-2"/>
                  <c:y val="-4.1603551567438377E-2"/>
                </c:manualLayout>
              </c:layout>
              <c:dLblPos val="l"/>
              <c:showVal val="1"/>
            </c:dLbl>
            <c:dLbl>
              <c:idx val="6"/>
              <c:layout>
                <c:manualLayout>
                  <c:x val="3.9691289966924052E-2"/>
                  <c:y val="-3.7443196410695351E-2"/>
                </c:manualLayout>
              </c:layout>
              <c:dLblPos val="l"/>
              <c:showVal val="1"/>
            </c:dLbl>
            <c:dLbl>
              <c:idx val="7"/>
              <c:layout>
                <c:manualLayout>
                  <c:x val="8.8202866593165268E-3"/>
                  <c:y val="3.3282841253950701E-2"/>
                </c:manualLayout>
              </c:layout>
              <c:dLblPos val="l"/>
              <c:showVal val="1"/>
            </c:dLbl>
            <c:dLbl>
              <c:idx val="8"/>
              <c:layout>
                <c:manualLayout>
                  <c:x val="-3.4211773693668672E-2"/>
                  <c:y val="3.7443196410694803E-2"/>
                </c:manualLayout>
              </c:layout>
              <c:dLblPos val="r"/>
              <c:showVal val="1"/>
            </c:dLbl>
            <c:txPr>
              <a:bodyPr/>
              <a:lstStyle/>
              <a:p>
                <a:pPr>
                  <a:defRPr sz="900" baseline="0"/>
                </a:pPr>
                <a:endParaRPr lang="ru-RU"/>
              </a:p>
            </c:txPr>
            <c:dLblPos val="l"/>
            <c:showVal val="1"/>
          </c:dLbls>
          <c:cat>
            <c:numRef>
              <c:f>Sheet1!$B$1:$J$1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Sheet1!$B$3:$J$3</c:f>
              <c:numCache>
                <c:formatCode>General</c:formatCode>
                <c:ptCount val="9"/>
                <c:pt idx="0">
                  <c:v>4.01</c:v>
                </c:pt>
                <c:pt idx="1">
                  <c:v>4.45</c:v>
                </c:pt>
                <c:pt idx="2">
                  <c:v>5.05</c:v>
                </c:pt>
                <c:pt idx="3">
                  <c:v>4.18</c:v>
                </c:pt>
                <c:pt idx="4">
                  <c:v>4.59</c:v>
                </c:pt>
                <c:pt idx="5">
                  <c:v>4.42</c:v>
                </c:pt>
                <c:pt idx="6">
                  <c:v>5.46</c:v>
                </c:pt>
                <c:pt idx="7">
                  <c:v>2.8499999999999988</c:v>
                </c:pt>
                <c:pt idx="8">
                  <c:v>2.62</c:v>
                </c:pt>
              </c:numCache>
            </c:numRef>
          </c:val>
        </c:ser>
        <c:dLbls>
          <c:showVal val="1"/>
        </c:dLbls>
        <c:marker val="1"/>
        <c:axId val="226769152"/>
        <c:axId val="226779136"/>
      </c:lineChart>
      <c:catAx>
        <c:axId val="226769152"/>
        <c:scaling>
          <c:orientation val="minMax"/>
        </c:scaling>
        <c:axPos val="b"/>
        <c:numFmt formatCode="General" sourceLinked="1"/>
        <c:tickLblPos val="nextTo"/>
        <c:spPr>
          <a:ln w="2886">
            <a:solidFill>
              <a:srgbClr val="000000"/>
            </a:solidFill>
            <a:prstDash val="solid"/>
          </a:ln>
        </c:spPr>
        <c:txPr>
          <a:bodyPr rot="0" vert="horz"/>
          <a:lstStyle/>
          <a:p>
            <a:pPr>
              <a:defRPr sz="899" baseline="0"/>
            </a:pPr>
            <a:endParaRPr lang="ru-RU"/>
          </a:p>
        </c:txPr>
        <c:crossAx val="226779136"/>
        <c:crosses val="autoZero"/>
        <c:auto val="1"/>
        <c:lblAlgn val="ctr"/>
        <c:lblOffset val="100"/>
        <c:tickLblSkip val="1"/>
        <c:tickMarkSkip val="1"/>
      </c:catAx>
      <c:valAx>
        <c:axId val="226779136"/>
        <c:scaling>
          <c:orientation val="minMax"/>
        </c:scaling>
        <c:axPos val="l"/>
        <c:majorGridlines>
          <c:spPr>
            <a:ln w="2886">
              <a:solidFill>
                <a:sysClr val="window" lastClr="FFFFFF">
                  <a:lumMod val="75000"/>
                </a:sysClr>
              </a:solidFill>
              <a:prstDash val="solid"/>
            </a:ln>
          </c:spPr>
        </c:majorGridlines>
        <c:numFmt formatCode="General" sourceLinked="1"/>
        <c:tickLblPos val="nextTo"/>
        <c:spPr>
          <a:ln w="2886">
            <a:solidFill>
              <a:srgbClr val="000000"/>
            </a:solidFill>
            <a:prstDash val="solid"/>
          </a:ln>
        </c:spPr>
        <c:txPr>
          <a:bodyPr rot="0" vert="horz"/>
          <a:lstStyle/>
          <a:p>
            <a:pPr>
              <a:defRPr sz="899" baseline="0"/>
            </a:pPr>
            <a:endParaRPr lang="ru-RU"/>
          </a:p>
        </c:txPr>
        <c:crossAx val="226769152"/>
        <c:crosses val="autoZero"/>
        <c:crossBetween val="between"/>
      </c:valAx>
      <c:spPr>
        <a:solidFill>
          <a:srgbClr val="FFFFFF"/>
        </a:solidFill>
        <a:ln w="2886">
          <a:noFill/>
          <a:prstDash val="solid"/>
        </a:ln>
      </c:spPr>
    </c:plotArea>
    <c:legend>
      <c:legendPos val="b"/>
      <c:layout>
        <c:manualLayout>
          <c:xMode val="edge"/>
          <c:yMode val="edge"/>
          <c:x val="0.18033245844271328"/>
          <c:y val="0.91171701998788612"/>
          <c:w val="0.60292272644663214"/>
          <c:h val="6.2998586715123733E-2"/>
        </c:manualLayout>
      </c:layout>
      <c:txPr>
        <a:bodyPr/>
        <a:lstStyle/>
        <a:p>
          <a:pPr>
            <a:defRPr sz="899" b="0" i="0" baseline="0"/>
          </a:pPr>
          <a:endParaRPr lang="ru-RU"/>
        </a:p>
      </c:txPr>
    </c:legend>
    <c:plotVisOnly val="1"/>
    <c:dispBlanksAs val="gap"/>
  </c:chart>
  <c:spPr>
    <a:noFill/>
    <a:ln>
      <a:noFill/>
    </a:ln>
  </c:spPr>
  <c:txPr>
    <a:bodyPr/>
    <a:lstStyle/>
    <a:p>
      <a:pPr>
        <a:defRPr sz="1091" b="1" i="0" u="none" strike="noStrike" baseline="0">
          <a:solidFill>
            <a:srgbClr val="000000"/>
          </a:solidFill>
          <a:latin typeface="Arial" pitchFamily="34" charset="0"/>
          <a:ea typeface="Calibri"/>
          <a:cs typeface="Calibri"/>
        </a:defRPr>
      </a:pPr>
      <a:endParaRPr lang="ru-RU"/>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248817161360695E-2"/>
          <c:y val="5.2132701421802534E-2"/>
          <c:w val="0.91371398310602558"/>
          <c:h val="0.82317495541410302"/>
        </c:manualLayout>
      </c:layout>
      <c:barChart>
        <c:barDir val="col"/>
        <c:grouping val="clustered"/>
        <c:ser>
          <c:idx val="0"/>
          <c:order val="0"/>
          <c:tx>
            <c:strRef>
              <c:f>Sheet1!$A$2:$D$2</c:f>
              <c:strCache>
                <c:ptCount val="1"/>
                <c:pt idx="0">
                  <c:v>на 100 тыс. нас.</c:v>
                </c:pt>
              </c:strCache>
            </c:strRef>
          </c:tx>
          <c:dLbls>
            <c:dLbl>
              <c:idx val="0"/>
              <c:layout>
                <c:manualLayout>
                  <c:x val="2.5277409291605802E-3"/>
                  <c:y val="4.5573417246894824E-3"/>
                </c:manualLayout>
              </c:layout>
              <c:tx>
                <c:rich>
                  <a:bodyPr/>
                  <a:lstStyle/>
                  <a:p>
                    <a:r>
                      <a:rPr lang="ru-RU" sz="800" baseline="0"/>
                      <a:t>84,0</a:t>
                    </a:r>
                  </a:p>
                </c:rich>
              </c:tx>
              <c:dLblPos val="outEnd"/>
            </c:dLbl>
            <c:dLbl>
              <c:idx val="1"/>
              <c:layout>
                <c:manualLayout>
                  <c:x val="1.9439356188525202E-3"/>
                  <c:y val="-1.3558738994568225E-2"/>
                </c:manualLayout>
              </c:layout>
              <c:dLblPos val="outEnd"/>
              <c:showVal val="1"/>
            </c:dLbl>
            <c:dLbl>
              <c:idx val="2"/>
              <c:layout>
                <c:manualLayout>
                  <c:x val="8.9527645868964952E-3"/>
                  <c:y val="-3.3843367905042242E-2"/>
                </c:manualLayout>
              </c:layout>
              <c:dLblPos val="outEnd"/>
              <c:showVal val="1"/>
            </c:dLbl>
            <c:dLbl>
              <c:idx val="3"/>
              <c:layout>
                <c:manualLayout>
                  <c:x val="3.3452847060049321E-3"/>
                  <c:y val="-1.0334292439671834E-2"/>
                </c:manualLayout>
              </c:layout>
              <c:dLblPos val="outEnd"/>
              <c:showVal val="1"/>
            </c:dLbl>
            <c:dLbl>
              <c:idx val="4"/>
              <c:layout>
                <c:manualLayout>
                  <c:x val="-3.4906110826555246E-3"/>
                  <c:y val="1.2753606835356538E-2"/>
                </c:manualLayout>
              </c:layout>
              <c:dLblPos val="outEnd"/>
              <c:showVal val="1"/>
            </c:dLbl>
            <c:dLbl>
              <c:idx val="5"/>
              <c:layout>
                <c:manualLayout>
                  <c:x val="-2.2050716648291092E-3"/>
                  <c:y val="-4.9757559231085133E-3"/>
                </c:manualLayout>
              </c:layout>
              <c:showVal val="1"/>
            </c:dLbl>
            <c:dLbl>
              <c:idx val="6"/>
              <c:layout>
                <c:manualLayout>
                  <c:x val="2.2050716648291092E-3"/>
                  <c:y val="9.9511200544120468E-3"/>
                </c:manualLayout>
              </c:layout>
              <c:tx>
                <c:rich>
                  <a:bodyPr/>
                  <a:lstStyle/>
                  <a:p>
                    <a:r>
                      <a:rPr lang="en-US"/>
                      <a:t>55,</a:t>
                    </a:r>
                    <a:r>
                      <a:rPr lang="ru-RU"/>
                      <a:t>5</a:t>
                    </a:r>
                    <a:endParaRPr lang="en-US"/>
                  </a:p>
                </c:rich>
              </c:tx>
              <c:showVal val="1"/>
            </c:dLbl>
            <c:dLbl>
              <c:idx val="7"/>
              <c:layout>
                <c:manualLayout>
                  <c:x val="-8.0851693704748301E-17"/>
                  <c:y val="1.4927267769325523E-2"/>
                </c:manualLayout>
              </c:layout>
              <c:showVal val="1"/>
            </c:dLbl>
            <c:dLbl>
              <c:idx val="8"/>
              <c:layout>
                <c:manualLayout>
                  <c:x val="2.2050716648291092E-3"/>
                  <c:y val="4.9757559231085133E-3"/>
                </c:manualLayout>
              </c:layout>
              <c:tx>
                <c:rich>
                  <a:bodyPr/>
                  <a:lstStyle/>
                  <a:p>
                    <a:r>
                      <a:rPr lang="en-US"/>
                      <a:t>41</a:t>
                    </a:r>
                    <a:r>
                      <a:rPr lang="ru-RU"/>
                      <a:t>,0</a:t>
                    </a:r>
                    <a:endParaRPr lang="en-US"/>
                  </a:p>
                </c:rich>
              </c:tx>
              <c:showVal val="1"/>
            </c:dLbl>
            <c:dLbl>
              <c:idx val="9"/>
              <c:layout>
                <c:manualLayout>
                  <c:x val="8.8202866593165268E-3"/>
                  <c:y val="4.9757559231085133E-3"/>
                </c:manualLayout>
              </c:layout>
              <c:tx>
                <c:rich>
                  <a:bodyPr/>
                  <a:lstStyle/>
                  <a:p>
                    <a:r>
                      <a:rPr lang="en-US"/>
                      <a:t>35,7</a:t>
                    </a:r>
                  </a:p>
                </c:rich>
              </c:tx>
              <c:showVal val="1"/>
            </c:dLbl>
            <c:dLbl>
              <c:idx val="10"/>
              <c:layout>
                <c:manualLayout>
                  <c:x val="-2.2050716648291092E-3"/>
                  <c:y val="9.9515118462170267E-3"/>
                </c:manualLayout>
              </c:layout>
              <c:showVal val="1"/>
            </c:dLbl>
            <c:dLbl>
              <c:idx val="11"/>
              <c:layout>
                <c:manualLayout>
                  <c:x val="4.4101433296582174E-3"/>
                  <c:y val="-9.9515118462170267E-3"/>
                </c:manualLayout>
              </c:layout>
              <c:showVal val="1"/>
            </c:dLbl>
            <c:txPr>
              <a:bodyPr/>
              <a:lstStyle/>
              <a:p>
                <a:pPr>
                  <a:defRPr sz="800" baseline="0"/>
                </a:pPr>
                <a:endParaRPr lang="ru-RU"/>
              </a:p>
            </c:txPr>
            <c:showVal val="1"/>
          </c:dLbls>
          <c:trendline>
            <c:spPr>
              <a:ln w="19050" cmpd="tri">
                <a:solidFill>
                  <a:sysClr val="window" lastClr="FFFFFF">
                    <a:lumMod val="65000"/>
                  </a:sysClr>
                </a:solidFill>
              </a:ln>
            </c:spPr>
            <c:trendlineType val="linear"/>
          </c:trendline>
          <c:cat>
            <c:numRef>
              <c:f>Sheet1!$E$1:$Q$1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Sheet1!$E$2:$Q$2</c:f>
              <c:numCache>
                <c:formatCode>General</c:formatCode>
                <c:ptCount val="13"/>
                <c:pt idx="0">
                  <c:v>88.2</c:v>
                </c:pt>
                <c:pt idx="1">
                  <c:v>74.400000000000006</c:v>
                </c:pt>
                <c:pt idx="2">
                  <c:v>65.5</c:v>
                </c:pt>
                <c:pt idx="3">
                  <c:v>64.5</c:v>
                </c:pt>
                <c:pt idx="4">
                  <c:v>64.8</c:v>
                </c:pt>
                <c:pt idx="5">
                  <c:v>56.8</c:v>
                </c:pt>
                <c:pt idx="6">
                  <c:v>55.48</c:v>
                </c:pt>
                <c:pt idx="7">
                  <c:v>48.9</c:v>
                </c:pt>
                <c:pt idx="8">
                  <c:v>41</c:v>
                </c:pt>
                <c:pt idx="9">
                  <c:v>35.74</c:v>
                </c:pt>
                <c:pt idx="10">
                  <c:v>32.800000000000004</c:v>
                </c:pt>
                <c:pt idx="11">
                  <c:v>24.3</c:v>
                </c:pt>
                <c:pt idx="12">
                  <c:v>21.4</c:v>
                </c:pt>
              </c:numCache>
            </c:numRef>
          </c:val>
        </c:ser>
        <c:dLbls>
          <c:showVal val="1"/>
        </c:dLbls>
        <c:gapWidth val="190"/>
        <c:axId val="226832768"/>
        <c:axId val="226834304"/>
      </c:barChart>
      <c:catAx>
        <c:axId val="226832768"/>
        <c:scaling>
          <c:orientation val="minMax"/>
        </c:scaling>
        <c:axPos val="b"/>
        <c:numFmt formatCode="General" sourceLinked="1"/>
        <c:tickLblPos val="nextTo"/>
        <c:spPr>
          <a:ln>
            <a:solidFill>
              <a:schemeClr val="tx1"/>
            </a:solidFill>
          </a:ln>
        </c:spPr>
        <c:txPr>
          <a:bodyPr rot="0" vert="horz"/>
          <a:lstStyle/>
          <a:p>
            <a:pPr>
              <a:defRPr/>
            </a:pPr>
            <a:endParaRPr lang="ru-RU"/>
          </a:p>
        </c:txPr>
        <c:crossAx val="226834304"/>
        <c:crosses val="autoZero"/>
        <c:auto val="1"/>
        <c:lblAlgn val="ctr"/>
        <c:lblOffset val="100"/>
        <c:tickLblSkip val="1"/>
        <c:tickMarkSkip val="1"/>
      </c:catAx>
      <c:valAx>
        <c:axId val="226834304"/>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lumMod val="65000"/>
                <a:lumOff val="35000"/>
              </a:sysClr>
            </a:solidFill>
          </a:ln>
        </c:spPr>
        <c:txPr>
          <a:bodyPr rot="0" vert="horz"/>
          <a:lstStyle/>
          <a:p>
            <a:pPr>
              <a:defRPr/>
            </a:pPr>
            <a:endParaRPr lang="ru-RU"/>
          </a:p>
        </c:txPr>
        <c:crossAx val="226832768"/>
        <c:crosses val="autoZero"/>
        <c:crossBetween val="between"/>
        <c:majorUnit val="15"/>
      </c:valAx>
    </c:plotArea>
    <c:plotVisOnly val="1"/>
    <c:dispBlanksAs val="gap"/>
  </c:chart>
  <c:spPr>
    <a:ln>
      <a:noFill/>
    </a:ln>
  </c:spPr>
  <c:txPr>
    <a:bodyPr/>
    <a:lstStyle/>
    <a:p>
      <a:pPr>
        <a:defRPr sz="900" b="1" i="0" baseline="0">
          <a:latin typeface="Arial" pitchFamily="34" charset="0"/>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31943725693633E-2"/>
          <c:y val="2.308639007913775E-2"/>
          <c:w val="0.92438962360122079"/>
          <c:h val="0.79365726849099161"/>
        </c:manualLayout>
      </c:layout>
      <c:lineChart>
        <c:grouping val="standard"/>
        <c:ser>
          <c:idx val="0"/>
          <c:order val="0"/>
          <c:tx>
            <c:strRef>
              <c:f>Sheet1!$A$2:$G$2</c:f>
              <c:strCache>
                <c:ptCount val="1"/>
                <c:pt idx="0">
                  <c:v>заболеваемость</c:v>
                </c:pt>
              </c:strCache>
            </c:strRef>
          </c:tx>
          <c:spPr>
            <a:ln w="19050" cap="sq" cmpd="sng">
              <a:solidFill>
                <a:srgbClr val="0839C2"/>
              </a:solidFill>
              <a:prstDash val="sysDash"/>
              <a:headEnd type="none" w="med" len="sm"/>
            </a:ln>
          </c:spPr>
          <c:marker>
            <c:symbol val="circle"/>
            <c:size val="4"/>
            <c:spPr>
              <a:solidFill>
                <a:srgbClr val="0839C2"/>
              </a:solidFill>
              <a:ln>
                <a:solidFill>
                  <a:srgbClr val="000000"/>
                </a:solidFill>
                <a:prstDash val="solid"/>
              </a:ln>
            </c:spPr>
          </c:marker>
          <c:dLbls>
            <c:dLbl>
              <c:idx val="9"/>
              <c:tx>
                <c:rich>
                  <a:bodyPr/>
                  <a:lstStyle/>
                  <a:p>
                    <a:r>
                      <a:rPr lang="en-US" sz="800"/>
                      <a:t>14</a:t>
                    </a:r>
                    <a:r>
                      <a:rPr lang="ru-RU" sz="800"/>
                      <a:t>,0</a:t>
                    </a:r>
                    <a:endParaRPr lang="en-US" sz="800"/>
                  </a:p>
                </c:rich>
              </c:tx>
              <c:dLblPos val="t"/>
              <c:showVal val="1"/>
            </c:dLbl>
            <c:dLbl>
              <c:idx val="12"/>
              <c:tx>
                <c:rich>
                  <a:bodyPr/>
                  <a:lstStyle/>
                  <a:p>
                    <a:r>
                      <a:rPr lang="en-US" sz="800"/>
                      <a:t>29</a:t>
                    </a:r>
                    <a:r>
                      <a:rPr lang="ru-RU" sz="800"/>
                      <a:t>,0</a:t>
                    </a:r>
                    <a:endParaRPr lang="en-US" sz="800"/>
                  </a:p>
                </c:rich>
              </c:tx>
              <c:dLblPos val="t"/>
              <c:showVal val="1"/>
            </c:dLbl>
            <c:dLbl>
              <c:idx val="13"/>
              <c:layout>
                <c:manualLayout>
                  <c:x val="-9.1794377702784768E-3"/>
                  <c:y val="9.1794410876844604E-3"/>
                </c:manualLayout>
              </c:layout>
              <c:tx>
                <c:rich>
                  <a:bodyPr/>
                  <a:lstStyle/>
                  <a:p>
                    <a:r>
                      <a:rPr lang="en-US" sz="800"/>
                      <a:t>33</a:t>
                    </a:r>
                    <a:r>
                      <a:rPr lang="ru-RU" sz="800"/>
                      <a:t>,0</a:t>
                    </a:r>
                    <a:endParaRPr lang="en-US" sz="800"/>
                  </a:p>
                </c:rich>
              </c:tx>
              <c:dLblPos val="t"/>
              <c:showVal val="1"/>
            </c:dLbl>
            <c:txPr>
              <a:bodyPr/>
              <a:lstStyle/>
              <a:p>
                <a:pPr>
                  <a:defRPr sz="800" baseline="0">
                    <a:latin typeface="Arial" pitchFamily="34" charset="0"/>
                  </a:defRPr>
                </a:pPr>
                <a:endParaRPr lang="ru-RU"/>
              </a:p>
            </c:txPr>
            <c:dLblPos val="t"/>
            <c:showVal val="1"/>
          </c:dLbls>
          <c:cat>
            <c:numRef>
              <c:f>Sheet1!$H$1:$X$1</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Sheet1!$H$2:$X$2</c:f>
              <c:numCache>
                <c:formatCode>General</c:formatCode>
                <c:ptCount val="17"/>
                <c:pt idx="0">
                  <c:v>9.9</c:v>
                </c:pt>
                <c:pt idx="1">
                  <c:v>10.200000000000001</c:v>
                </c:pt>
                <c:pt idx="2">
                  <c:v>11.7</c:v>
                </c:pt>
                <c:pt idx="3">
                  <c:v>15.8</c:v>
                </c:pt>
                <c:pt idx="4">
                  <c:v>13.7</c:v>
                </c:pt>
                <c:pt idx="5">
                  <c:v>16.2</c:v>
                </c:pt>
                <c:pt idx="6">
                  <c:v>15.2</c:v>
                </c:pt>
                <c:pt idx="7">
                  <c:v>15.7</c:v>
                </c:pt>
                <c:pt idx="8">
                  <c:v>18.399999999999999</c:v>
                </c:pt>
                <c:pt idx="9">
                  <c:v>14</c:v>
                </c:pt>
                <c:pt idx="10">
                  <c:v>20.5</c:v>
                </c:pt>
                <c:pt idx="11">
                  <c:v>24.3</c:v>
                </c:pt>
                <c:pt idx="12">
                  <c:v>29</c:v>
                </c:pt>
                <c:pt idx="13">
                  <c:v>33</c:v>
                </c:pt>
                <c:pt idx="14">
                  <c:v>24.4</c:v>
                </c:pt>
                <c:pt idx="15">
                  <c:v>21.9</c:v>
                </c:pt>
                <c:pt idx="16">
                  <c:v>20.399999999999999</c:v>
                </c:pt>
              </c:numCache>
            </c:numRef>
          </c:val>
        </c:ser>
        <c:ser>
          <c:idx val="1"/>
          <c:order val="1"/>
          <c:tx>
            <c:strRef>
              <c:f>Sheet1!$A$3:$G$3</c:f>
              <c:strCache>
                <c:ptCount val="1"/>
                <c:pt idx="0">
                  <c:v>поражённость</c:v>
                </c:pt>
              </c:strCache>
            </c:strRef>
          </c:tx>
          <c:spPr>
            <a:ln w="25400">
              <a:solidFill>
                <a:srgbClr val="E72D19"/>
              </a:solidFill>
              <a:prstDash val="solid"/>
            </a:ln>
          </c:spPr>
          <c:marker>
            <c:symbol val="square"/>
            <c:size val="4"/>
            <c:spPr>
              <a:solidFill>
                <a:srgbClr val="C00000"/>
              </a:solidFill>
              <a:ln>
                <a:solidFill>
                  <a:srgbClr val="E72D19"/>
                </a:solidFill>
                <a:prstDash val="solid"/>
              </a:ln>
            </c:spPr>
          </c:marker>
          <c:dLbls>
            <c:dLbl>
              <c:idx val="0"/>
              <c:tx>
                <c:rich>
                  <a:bodyPr/>
                  <a:lstStyle/>
                  <a:p>
                    <a:r>
                      <a:rPr lang="en-US" sz="800"/>
                      <a:t>60</a:t>
                    </a:r>
                    <a:r>
                      <a:rPr lang="ru-RU" sz="800"/>
                      <a:t>,0</a:t>
                    </a:r>
                    <a:endParaRPr lang="en-US" sz="800"/>
                  </a:p>
                </c:rich>
              </c:tx>
              <c:dLblPos val="t"/>
              <c:showVal val="1"/>
            </c:dLbl>
            <c:dLbl>
              <c:idx val="16"/>
              <c:layout>
                <c:manualLayout>
                  <c:x val="-1.4739502734677401E-3"/>
                  <c:y val="-4.7606605294513833E-2"/>
                </c:manualLayout>
              </c:layout>
              <c:dLblPos val="r"/>
              <c:showVal val="1"/>
            </c:dLbl>
            <c:txPr>
              <a:bodyPr/>
              <a:lstStyle/>
              <a:p>
                <a:pPr>
                  <a:defRPr sz="800" baseline="0">
                    <a:latin typeface="Arial" pitchFamily="34" charset="0"/>
                  </a:defRPr>
                </a:pPr>
                <a:endParaRPr lang="ru-RU"/>
              </a:p>
            </c:txPr>
            <c:dLblPos val="t"/>
            <c:showVal val="1"/>
          </c:dLbls>
          <c:cat>
            <c:numRef>
              <c:f>Sheet1!$H$1:$X$1</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Sheet1!$H$3:$X$3</c:f>
              <c:numCache>
                <c:formatCode>General</c:formatCode>
                <c:ptCount val="17"/>
                <c:pt idx="0">
                  <c:v>60</c:v>
                </c:pt>
                <c:pt idx="1">
                  <c:v>67.8</c:v>
                </c:pt>
                <c:pt idx="2">
                  <c:v>75.900000000000006</c:v>
                </c:pt>
                <c:pt idx="3">
                  <c:v>85.6</c:v>
                </c:pt>
                <c:pt idx="4">
                  <c:v>94.9</c:v>
                </c:pt>
                <c:pt idx="5">
                  <c:v>102.6</c:v>
                </c:pt>
                <c:pt idx="6">
                  <c:v>109.3</c:v>
                </c:pt>
                <c:pt idx="7">
                  <c:v>121.6</c:v>
                </c:pt>
                <c:pt idx="8">
                  <c:v>130.80000000000001</c:v>
                </c:pt>
                <c:pt idx="9">
                  <c:v>143.5</c:v>
                </c:pt>
                <c:pt idx="10">
                  <c:v>162.1</c:v>
                </c:pt>
                <c:pt idx="11">
                  <c:v>181.1</c:v>
                </c:pt>
                <c:pt idx="12">
                  <c:v>205.2</c:v>
                </c:pt>
                <c:pt idx="13">
                  <c:v>233.9</c:v>
                </c:pt>
                <c:pt idx="14">
                  <c:v>252.2</c:v>
                </c:pt>
                <c:pt idx="15">
                  <c:v>267.10000000000002</c:v>
                </c:pt>
                <c:pt idx="16">
                  <c:v>280.39999999999969</c:v>
                </c:pt>
              </c:numCache>
            </c:numRef>
          </c:val>
        </c:ser>
        <c:dLbls>
          <c:showVal val="1"/>
        </c:dLbls>
        <c:marker val="1"/>
        <c:axId val="226543872"/>
        <c:axId val="228130816"/>
      </c:lineChart>
      <c:catAx>
        <c:axId val="226543872"/>
        <c:scaling>
          <c:orientation val="minMax"/>
        </c:scaling>
        <c:axPos val="b"/>
        <c:numFmt formatCode="General" sourceLinked="1"/>
        <c:tickLblPos val="nextTo"/>
        <c:spPr>
          <a:ln w="3162">
            <a:solidFill>
              <a:srgbClr val="000000"/>
            </a:solidFill>
            <a:prstDash val="solid"/>
          </a:ln>
        </c:spPr>
        <c:txPr>
          <a:bodyPr rot="0" vert="horz"/>
          <a:lstStyle/>
          <a:p>
            <a:pPr>
              <a:defRPr sz="850" b="1" i="0" u="none" strike="noStrike" baseline="0">
                <a:solidFill>
                  <a:srgbClr val="000000"/>
                </a:solidFill>
                <a:latin typeface="Arial" pitchFamily="34" charset="0"/>
                <a:ea typeface="Arial Cyr"/>
                <a:cs typeface="Arial Cyr"/>
              </a:defRPr>
            </a:pPr>
            <a:endParaRPr lang="ru-RU"/>
          </a:p>
        </c:txPr>
        <c:crossAx val="228130816"/>
        <c:crosses val="autoZero"/>
        <c:auto val="1"/>
        <c:lblAlgn val="ctr"/>
        <c:lblOffset val="100"/>
        <c:tickLblSkip val="1"/>
        <c:tickMarkSkip val="1"/>
      </c:catAx>
      <c:valAx>
        <c:axId val="228130816"/>
        <c:scaling>
          <c:orientation val="minMax"/>
        </c:scaling>
        <c:axPos val="l"/>
        <c:majorGridlines>
          <c:spPr>
            <a:ln>
              <a:solidFill>
                <a:sysClr val="window" lastClr="FFFFFF">
                  <a:lumMod val="75000"/>
                </a:sysClr>
              </a:solidFill>
            </a:ln>
          </c:spPr>
        </c:majorGridlines>
        <c:numFmt formatCode="General" sourceLinked="1"/>
        <c:tickLblPos val="nextTo"/>
        <c:spPr>
          <a:ln>
            <a:solidFill>
              <a:srgbClr val="000000"/>
            </a:solidFill>
          </a:ln>
        </c:spPr>
        <c:txPr>
          <a:bodyPr/>
          <a:lstStyle/>
          <a:p>
            <a:pPr>
              <a:defRPr sz="900" baseline="0">
                <a:latin typeface="Arial" pitchFamily="34" charset="0"/>
              </a:defRPr>
            </a:pPr>
            <a:endParaRPr lang="ru-RU"/>
          </a:p>
        </c:txPr>
        <c:crossAx val="226543872"/>
        <c:crosses val="autoZero"/>
        <c:crossBetween val="between"/>
      </c:valAx>
      <c:spPr>
        <a:solidFill>
          <a:srgbClr val="FFFFFF"/>
        </a:solidFill>
        <a:ln w="25297">
          <a:noFill/>
        </a:ln>
      </c:spPr>
    </c:plotArea>
    <c:legend>
      <c:legendPos val="b"/>
      <c:layout>
        <c:manualLayout>
          <c:xMode val="edge"/>
          <c:yMode val="edge"/>
          <c:x val="0.21725181366175"/>
          <c:y val="0.93458150693455389"/>
          <c:w val="0.58575853597363836"/>
          <c:h val="3.9162697873976741E-2"/>
        </c:manualLayout>
      </c:layout>
      <c:txPr>
        <a:bodyPr/>
        <a:lstStyle/>
        <a:p>
          <a:pPr>
            <a:defRPr sz="900" b="0" i="0" baseline="0">
              <a:latin typeface="Arial" pitchFamily="34" charset="0"/>
            </a:defRPr>
          </a:pPr>
          <a:endParaRPr lang="ru-RU"/>
        </a:p>
      </c:txPr>
    </c:legend>
    <c:plotVisOnly val="1"/>
    <c:dispBlanksAs val="gap"/>
  </c:chart>
  <c:spPr>
    <a:solidFill>
      <a:srgbClr val="FFFFFF"/>
    </a:solidFill>
    <a:ln w="3162">
      <a:noFill/>
      <a:prstDash val="solid"/>
    </a:ln>
  </c:spPr>
  <c:txPr>
    <a:bodyPr/>
    <a:lstStyle/>
    <a:p>
      <a:pPr>
        <a:defRPr sz="1098" b="1" i="0" u="none" strike="noStrike" baseline="0">
          <a:solidFill>
            <a:srgbClr val="000000"/>
          </a:solidFill>
          <a:latin typeface="Arial Cyr"/>
          <a:ea typeface="Arial Cyr"/>
          <a:cs typeface="Arial Cyr"/>
        </a:defRPr>
      </a:pPr>
      <a:endParaRPr lang="ru-RU"/>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4406410334320733E-2"/>
          <c:y val="1.8428305005860537E-2"/>
          <c:w val="0.93523513529937763"/>
          <c:h val="0.79756276194404285"/>
        </c:manualLayout>
      </c:layout>
      <c:barChart>
        <c:barDir val="col"/>
        <c:grouping val="clustered"/>
        <c:ser>
          <c:idx val="0"/>
          <c:order val="0"/>
          <c:tx>
            <c:strRef>
              <c:f>Лист1!$B$1</c:f>
              <c:strCache>
                <c:ptCount val="1"/>
                <c:pt idx="0">
                  <c:v>кол.-во</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t" anchorCtr="1">
                <a:spAutoFit/>
              </a:bodyPr>
              <a:lstStyle/>
              <a:p>
                <a:pPr>
                  <a:defRPr sz="850" b="1" i="0" u="none" strike="noStrike" kern="1200" baseline="0">
                    <a:solidFill>
                      <a:schemeClr val="tx1">
                        <a:lumMod val="75000"/>
                        <a:lumOff val="25000"/>
                      </a:schemeClr>
                    </a:solidFill>
                    <a:latin typeface="Arial" pitchFamily="34" charset="0"/>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1989-1997</c:v>
                </c:pt>
                <c:pt idx="1">
                  <c:v>1998</c:v>
                </c:pt>
                <c:pt idx="2">
                  <c:v>199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strCache>
            </c:strRef>
          </c:cat>
          <c:val>
            <c:numRef>
              <c:f>Лист1!$B$2:$B$26</c:f>
              <c:numCache>
                <c:formatCode>General</c:formatCode>
                <c:ptCount val="25"/>
                <c:pt idx="0">
                  <c:v>8</c:v>
                </c:pt>
                <c:pt idx="1">
                  <c:v>21</c:v>
                </c:pt>
                <c:pt idx="2">
                  <c:v>32</c:v>
                </c:pt>
                <c:pt idx="3">
                  <c:v>85</c:v>
                </c:pt>
                <c:pt idx="4">
                  <c:v>286</c:v>
                </c:pt>
                <c:pt idx="5">
                  <c:v>122</c:v>
                </c:pt>
                <c:pt idx="6">
                  <c:v>91</c:v>
                </c:pt>
                <c:pt idx="7">
                  <c:v>108</c:v>
                </c:pt>
                <c:pt idx="8">
                  <c:v>132</c:v>
                </c:pt>
                <c:pt idx="9">
                  <c:v>133</c:v>
                </c:pt>
                <c:pt idx="10">
                  <c:v>151</c:v>
                </c:pt>
                <c:pt idx="11">
                  <c:v>168</c:v>
                </c:pt>
                <c:pt idx="12">
                  <c:v>138</c:v>
                </c:pt>
                <c:pt idx="13">
                  <c:v>165</c:v>
                </c:pt>
                <c:pt idx="14">
                  <c:v>174</c:v>
                </c:pt>
                <c:pt idx="15">
                  <c:v>192</c:v>
                </c:pt>
                <c:pt idx="16">
                  <c:v>182</c:v>
                </c:pt>
                <c:pt idx="17">
                  <c:v>177</c:v>
                </c:pt>
                <c:pt idx="18">
                  <c:v>252</c:v>
                </c:pt>
                <c:pt idx="19">
                  <c:v>304</c:v>
                </c:pt>
                <c:pt idx="20">
                  <c:v>353</c:v>
                </c:pt>
                <c:pt idx="21">
                  <c:v>400</c:v>
                </c:pt>
                <c:pt idx="22">
                  <c:v>291</c:v>
                </c:pt>
                <c:pt idx="23">
                  <c:v>261</c:v>
                </c:pt>
                <c:pt idx="24">
                  <c:v>241</c:v>
                </c:pt>
              </c:numCache>
            </c:numRef>
          </c:val>
          <c:extLst xmlns:c16r2="http://schemas.microsoft.com/office/drawing/2015/06/chart">
            <c:ext xmlns:c16="http://schemas.microsoft.com/office/drawing/2014/chart" uri="{C3380CC4-5D6E-409C-BE32-E72D297353CC}">
              <c16:uniqueId val="{00000000-84F8-4B17-913B-5D30BBF49910}"/>
            </c:ext>
          </c:extLst>
        </c:ser>
        <c:dLbls>
          <c:showVal val="1"/>
        </c:dLbls>
        <c:gapWidth val="77"/>
        <c:axId val="228196352"/>
        <c:axId val="228197888"/>
      </c:barChart>
      <c:catAx>
        <c:axId val="228196352"/>
        <c:scaling>
          <c:orientation val="minMax"/>
        </c:scaling>
        <c:axPos val="b"/>
        <c:numFmt formatCode="General" sourceLinked="1"/>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itchFamily="34" charset="0"/>
                <a:ea typeface="+mn-ea"/>
                <a:cs typeface="+mn-cs"/>
              </a:defRPr>
            </a:pPr>
            <a:endParaRPr lang="ru-RU"/>
          </a:p>
        </c:txPr>
        <c:crossAx val="228197888"/>
        <c:crosses val="autoZero"/>
        <c:auto val="1"/>
        <c:lblAlgn val="ctr"/>
        <c:lblOffset val="100"/>
      </c:catAx>
      <c:valAx>
        <c:axId val="228197888"/>
        <c:scaling>
          <c:orientation val="minMax"/>
        </c:scaling>
        <c:delete val="1"/>
        <c:axPos val="l"/>
        <c:numFmt formatCode="General" sourceLinked="1"/>
        <c:majorTickMark val="none"/>
        <c:tickLblPos val="none"/>
        <c:crossAx val="228196352"/>
        <c:crosses val="autoZero"/>
        <c:crossBetween val="between"/>
      </c:valAx>
      <c:spPr>
        <a:noFill/>
        <a:ln>
          <a:noFill/>
        </a:ln>
        <a:effectLst/>
      </c:spPr>
    </c:plotArea>
    <c:plotVisOnly val="1"/>
    <c:dispBlanksAs val="zero"/>
  </c:chart>
  <c:spPr>
    <a:solidFill>
      <a:schemeClr val="bg1"/>
    </a:solidFill>
    <a:ln w="3175" cap="flat" cmpd="sng" algn="ctr">
      <a:noFill/>
      <a:round/>
    </a:ln>
    <a:effectLst/>
  </c:spPr>
  <c:txPr>
    <a:bodyPr/>
    <a:lstStyle/>
    <a:p>
      <a:pPr>
        <a:defRPr/>
      </a:pPr>
      <a:endParaRPr lang="ru-RU"/>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298681901864375"/>
          <c:y val="3.9166486894617568E-2"/>
          <c:w val="0.75858388722265857"/>
          <c:h val="0.93737546256760662"/>
        </c:manualLayout>
      </c:layout>
      <c:barChart>
        <c:barDir val="bar"/>
        <c:grouping val="clustered"/>
        <c:ser>
          <c:idx val="0"/>
          <c:order val="0"/>
          <c:spPr>
            <a:ln>
              <a:noFill/>
            </a:ln>
          </c:spPr>
          <c:dPt>
            <c:idx val="0"/>
            <c:spPr>
              <a:solidFill>
                <a:srgbClr val="00CC00"/>
              </a:solidFill>
              <a:ln>
                <a:noFill/>
              </a:ln>
            </c:spPr>
            <c:extLst xmlns:c16r2="http://schemas.microsoft.com/office/drawing/2015/06/chart">
              <c:ext xmlns:c16="http://schemas.microsoft.com/office/drawing/2014/chart" uri="{C3380CC4-5D6E-409C-BE32-E72D297353CC}">
                <c16:uniqueId val="{00000000-1E86-4FD1-9BC7-95426E78599F}"/>
              </c:ext>
            </c:extLst>
          </c:dPt>
          <c:dPt>
            <c:idx val="1"/>
            <c:spPr>
              <a:solidFill>
                <a:srgbClr val="00CC00"/>
              </a:solidFill>
              <a:ln>
                <a:noFill/>
              </a:ln>
            </c:spPr>
            <c:extLst xmlns:c16r2="http://schemas.microsoft.com/office/drawing/2015/06/chart">
              <c:ext xmlns:c16="http://schemas.microsoft.com/office/drawing/2014/chart" uri="{C3380CC4-5D6E-409C-BE32-E72D297353CC}">
                <c16:uniqueId val="{00000001-1E86-4FD1-9BC7-95426E78599F}"/>
              </c:ext>
            </c:extLst>
          </c:dPt>
          <c:dPt>
            <c:idx val="2"/>
            <c:spPr>
              <a:solidFill>
                <a:srgbClr val="00CC00"/>
              </a:solidFill>
              <a:ln>
                <a:noFill/>
              </a:ln>
            </c:spPr>
            <c:extLst xmlns:c16r2="http://schemas.microsoft.com/office/drawing/2015/06/chart">
              <c:ext xmlns:c16="http://schemas.microsoft.com/office/drawing/2014/chart" uri="{C3380CC4-5D6E-409C-BE32-E72D297353CC}">
                <c16:uniqueId val="{00000002-1E86-4FD1-9BC7-95426E78599F}"/>
              </c:ext>
            </c:extLst>
          </c:dPt>
          <c:dPt>
            <c:idx val="3"/>
            <c:spPr>
              <a:solidFill>
                <a:srgbClr val="00CC00"/>
              </a:solidFill>
              <a:ln>
                <a:noFill/>
              </a:ln>
            </c:spPr>
            <c:extLst xmlns:c16r2="http://schemas.microsoft.com/office/drawing/2015/06/chart">
              <c:ext xmlns:c16="http://schemas.microsoft.com/office/drawing/2014/chart" uri="{C3380CC4-5D6E-409C-BE32-E72D297353CC}">
                <c16:uniqueId val="{00000003-1E86-4FD1-9BC7-95426E78599F}"/>
              </c:ext>
            </c:extLst>
          </c:dPt>
          <c:dPt>
            <c:idx val="4"/>
            <c:spPr>
              <a:solidFill>
                <a:srgbClr val="00CC00"/>
              </a:solidFill>
              <a:ln>
                <a:noFill/>
              </a:ln>
            </c:spPr>
            <c:extLst xmlns:c16r2="http://schemas.microsoft.com/office/drawing/2015/06/chart">
              <c:ext xmlns:c16="http://schemas.microsoft.com/office/drawing/2014/chart" uri="{C3380CC4-5D6E-409C-BE32-E72D297353CC}">
                <c16:uniqueId val="{00000004-1E86-4FD1-9BC7-95426E78599F}"/>
              </c:ext>
            </c:extLst>
          </c:dPt>
          <c:dPt>
            <c:idx val="5"/>
            <c:spPr>
              <a:solidFill>
                <a:srgbClr val="00CC00"/>
              </a:solidFill>
              <a:ln>
                <a:noFill/>
              </a:ln>
            </c:spPr>
            <c:extLst xmlns:c16r2="http://schemas.microsoft.com/office/drawing/2015/06/chart">
              <c:ext xmlns:c16="http://schemas.microsoft.com/office/drawing/2014/chart" uri="{C3380CC4-5D6E-409C-BE32-E72D297353CC}">
                <c16:uniqueId val="{00000005-1E86-4FD1-9BC7-95426E78599F}"/>
              </c:ext>
            </c:extLst>
          </c:dPt>
          <c:dPt>
            <c:idx val="6"/>
            <c:spPr>
              <a:solidFill>
                <a:srgbClr val="00CC00"/>
              </a:solidFill>
              <a:ln>
                <a:noFill/>
              </a:ln>
            </c:spPr>
            <c:extLst xmlns:c16r2="http://schemas.microsoft.com/office/drawing/2015/06/chart">
              <c:ext xmlns:c16="http://schemas.microsoft.com/office/drawing/2014/chart" uri="{C3380CC4-5D6E-409C-BE32-E72D297353CC}">
                <c16:uniqueId val="{00000006-1E86-4FD1-9BC7-95426E78599F}"/>
              </c:ext>
            </c:extLst>
          </c:dPt>
          <c:dPt>
            <c:idx val="7"/>
            <c:spPr>
              <a:solidFill>
                <a:srgbClr val="00CC00"/>
              </a:solidFill>
              <a:ln>
                <a:noFill/>
              </a:ln>
            </c:spPr>
            <c:extLst xmlns:c16r2="http://schemas.microsoft.com/office/drawing/2015/06/chart">
              <c:ext xmlns:c16="http://schemas.microsoft.com/office/drawing/2014/chart" uri="{C3380CC4-5D6E-409C-BE32-E72D297353CC}">
                <c16:uniqueId val="{00000007-1E86-4FD1-9BC7-95426E78599F}"/>
              </c:ext>
            </c:extLst>
          </c:dPt>
          <c:dPt>
            <c:idx val="8"/>
            <c:spPr>
              <a:solidFill>
                <a:srgbClr val="00CC00"/>
              </a:solidFill>
              <a:ln>
                <a:noFill/>
              </a:ln>
            </c:spPr>
            <c:extLst xmlns:c16r2="http://schemas.microsoft.com/office/drawing/2015/06/chart">
              <c:ext xmlns:c16="http://schemas.microsoft.com/office/drawing/2014/chart" uri="{C3380CC4-5D6E-409C-BE32-E72D297353CC}">
                <c16:uniqueId val="{00000008-1E86-4FD1-9BC7-95426E78599F}"/>
              </c:ext>
            </c:extLst>
          </c:dPt>
          <c:dPt>
            <c:idx val="9"/>
            <c:spPr>
              <a:solidFill>
                <a:srgbClr val="00CC00"/>
              </a:solidFill>
              <a:ln>
                <a:noFill/>
              </a:ln>
            </c:spPr>
            <c:extLst xmlns:c16r2="http://schemas.microsoft.com/office/drawing/2015/06/chart">
              <c:ext xmlns:c16="http://schemas.microsoft.com/office/drawing/2014/chart" uri="{C3380CC4-5D6E-409C-BE32-E72D297353CC}">
                <c16:uniqueId val="{00000009-1E86-4FD1-9BC7-95426E78599F}"/>
              </c:ext>
            </c:extLst>
          </c:dPt>
          <c:dPt>
            <c:idx val="10"/>
            <c:spPr>
              <a:solidFill>
                <a:srgbClr val="00CC00"/>
              </a:solidFill>
              <a:ln>
                <a:noFill/>
              </a:ln>
            </c:spPr>
            <c:extLst xmlns:c16r2="http://schemas.microsoft.com/office/drawing/2015/06/chart">
              <c:ext xmlns:c16="http://schemas.microsoft.com/office/drawing/2014/chart" uri="{C3380CC4-5D6E-409C-BE32-E72D297353CC}">
                <c16:uniqueId val="{0000000A-1E86-4FD1-9BC7-95426E78599F}"/>
              </c:ext>
            </c:extLst>
          </c:dPt>
          <c:dPt>
            <c:idx val="11"/>
            <c:spPr>
              <a:solidFill>
                <a:srgbClr val="00CC00"/>
              </a:solidFill>
              <a:ln>
                <a:noFill/>
              </a:ln>
            </c:spPr>
            <c:extLst xmlns:c16r2="http://schemas.microsoft.com/office/drawing/2015/06/chart">
              <c:ext xmlns:c16="http://schemas.microsoft.com/office/drawing/2014/chart" uri="{C3380CC4-5D6E-409C-BE32-E72D297353CC}">
                <c16:uniqueId val="{0000000B-1E86-4FD1-9BC7-95426E78599F}"/>
              </c:ext>
            </c:extLst>
          </c:dPt>
          <c:dPt>
            <c:idx val="12"/>
            <c:spPr>
              <a:solidFill>
                <a:srgbClr val="00CC00"/>
              </a:solidFill>
              <a:ln>
                <a:noFill/>
              </a:ln>
            </c:spPr>
            <c:extLst xmlns:c16r2="http://schemas.microsoft.com/office/drawing/2015/06/chart">
              <c:ext xmlns:c16="http://schemas.microsoft.com/office/drawing/2014/chart" uri="{C3380CC4-5D6E-409C-BE32-E72D297353CC}">
                <c16:uniqueId val="{0000000C-1E86-4FD1-9BC7-95426E78599F}"/>
              </c:ext>
            </c:extLst>
          </c:dPt>
          <c:dPt>
            <c:idx val="13"/>
            <c:spPr>
              <a:solidFill>
                <a:srgbClr val="00CC00"/>
              </a:solidFill>
              <a:ln>
                <a:noFill/>
              </a:ln>
            </c:spPr>
            <c:extLst xmlns:c16r2="http://schemas.microsoft.com/office/drawing/2015/06/chart">
              <c:ext xmlns:c16="http://schemas.microsoft.com/office/drawing/2014/chart" uri="{C3380CC4-5D6E-409C-BE32-E72D297353CC}">
                <c16:uniqueId val="{0000000D-1E86-4FD1-9BC7-95426E78599F}"/>
              </c:ext>
            </c:extLst>
          </c:dPt>
          <c:dPt>
            <c:idx val="14"/>
            <c:spPr>
              <a:solidFill>
                <a:srgbClr val="00CC00"/>
              </a:solidFill>
              <a:ln>
                <a:noFill/>
              </a:ln>
            </c:spPr>
            <c:extLst xmlns:c16r2="http://schemas.microsoft.com/office/drawing/2015/06/chart">
              <c:ext xmlns:c16="http://schemas.microsoft.com/office/drawing/2014/chart" uri="{C3380CC4-5D6E-409C-BE32-E72D297353CC}">
                <c16:uniqueId val="{0000000E-1E86-4FD1-9BC7-95426E78599F}"/>
              </c:ext>
            </c:extLst>
          </c:dPt>
          <c:dPt>
            <c:idx val="15"/>
            <c:spPr>
              <a:solidFill>
                <a:srgbClr val="00CC00"/>
              </a:solidFill>
              <a:ln>
                <a:noFill/>
              </a:ln>
            </c:spPr>
            <c:extLst xmlns:c16r2="http://schemas.microsoft.com/office/drawing/2015/06/chart">
              <c:ext xmlns:c16="http://schemas.microsoft.com/office/drawing/2014/chart" uri="{C3380CC4-5D6E-409C-BE32-E72D297353CC}">
                <c16:uniqueId val="{0000000F-1E86-4FD1-9BC7-95426E78599F}"/>
              </c:ext>
            </c:extLst>
          </c:dPt>
          <c:dPt>
            <c:idx val="16"/>
            <c:spPr>
              <a:solidFill>
                <a:srgbClr val="00CC00"/>
              </a:solidFill>
              <a:ln>
                <a:noFill/>
              </a:ln>
            </c:spPr>
            <c:extLst xmlns:c16r2="http://schemas.microsoft.com/office/drawing/2015/06/chart">
              <c:ext xmlns:c16="http://schemas.microsoft.com/office/drawing/2014/chart" uri="{C3380CC4-5D6E-409C-BE32-E72D297353CC}">
                <c16:uniqueId val="{00000010-1E86-4FD1-9BC7-95426E78599F}"/>
              </c:ext>
            </c:extLst>
          </c:dPt>
          <c:dPt>
            <c:idx val="17"/>
            <c:spPr>
              <a:solidFill>
                <a:srgbClr val="00CC00"/>
              </a:solidFill>
              <a:ln>
                <a:noFill/>
              </a:ln>
            </c:spPr>
            <c:extLst xmlns:c16r2="http://schemas.microsoft.com/office/drawing/2015/06/chart">
              <c:ext xmlns:c16="http://schemas.microsoft.com/office/drawing/2014/chart" uri="{C3380CC4-5D6E-409C-BE32-E72D297353CC}">
                <c16:uniqueId val="{00000011-1E86-4FD1-9BC7-95426E78599F}"/>
              </c:ext>
            </c:extLst>
          </c:dPt>
          <c:dPt>
            <c:idx val="18"/>
            <c:spPr>
              <a:solidFill>
                <a:srgbClr val="00CC00"/>
              </a:solidFill>
              <a:ln>
                <a:noFill/>
              </a:ln>
            </c:spPr>
            <c:extLst xmlns:c16r2="http://schemas.microsoft.com/office/drawing/2015/06/chart">
              <c:ext xmlns:c16="http://schemas.microsoft.com/office/drawing/2014/chart" uri="{C3380CC4-5D6E-409C-BE32-E72D297353CC}">
                <c16:uniqueId val="{00000012-1E86-4FD1-9BC7-95426E78599F}"/>
              </c:ext>
            </c:extLst>
          </c:dPt>
          <c:dPt>
            <c:idx val="19"/>
            <c:spPr>
              <a:solidFill>
                <a:srgbClr val="00CC00"/>
              </a:solidFill>
              <a:ln>
                <a:noFill/>
              </a:ln>
            </c:spPr>
            <c:extLst xmlns:c16r2="http://schemas.microsoft.com/office/drawing/2015/06/chart">
              <c:ext xmlns:c16="http://schemas.microsoft.com/office/drawing/2014/chart" uri="{C3380CC4-5D6E-409C-BE32-E72D297353CC}">
                <c16:uniqueId val="{00000013-1E86-4FD1-9BC7-95426E78599F}"/>
              </c:ext>
            </c:extLst>
          </c:dPt>
          <c:dPt>
            <c:idx val="20"/>
            <c:spPr>
              <a:solidFill>
                <a:srgbClr val="00CC00"/>
              </a:solidFill>
              <a:ln>
                <a:noFill/>
              </a:ln>
            </c:spPr>
            <c:extLst xmlns:c16r2="http://schemas.microsoft.com/office/drawing/2015/06/chart">
              <c:ext xmlns:c16="http://schemas.microsoft.com/office/drawing/2014/chart" uri="{C3380CC4-5D6E-409C-BE32-E72D297353CC}">
                <c16:uniqueId val="{00000014-1E86-4FD1-9BC7-95426E78599F}"/>
              </c:ext>
            </c:extLst>
          </c:dPt>
          <c:dPt>
            <c:idx val="21"/>
            <c:spPr>
              <a:solidFill>
                <a:srgbClr val="0070C0"/>
              </a:solidFill>
              <a:ln>
                <a:noFill/>
              </a:ln>
            </c:spPr>
            <c:extLst xmlns:c16r2="http://schemas.microsoft.com/office/drawing/2015/06/chart">
              <c:ext xmlns:c16="http://schemas.microsoft.com/office/drawing/2014/chart" uri="{C3380CC4-5D6E-409C-BE32-E72D297353CC}">
                <c16:uniqueId val="{00000015-1E86-4FD1-9BC7-95426E78599F}"/>
              </c:ext>
            </c:extLst>
          </c:dPt>
          <c:dPt>
            <c:idx val="22"/>
            <c:spPr>
              <a:solidFill>
                <a:srgbClr val="FF0000"/>
              </a:solidFill>
              <a:ln>
                <a:noFill/>
              </a:ln>
            </c:spPr>
            <c:extLst xmlns:c16r2="http://schemas.microsoft.com/office/drawing/2015/06/chart">
              <c:ext xmlns:c16="http://schemas.microsoft.com/office/drawing/2014/chart" uri="{C3380CC4-5D6E-409C-BE32-E72D297353CC}">
                <c16:uniqueId val="{00000016-1E86-4FD1-9BC7-95426E78599F}"/>
              </c:ext>
            </c:extLst>
          </c:dPt>
          <c:dPt>
            <c:idx val="23"/>
            <c:spPr>
              <a:solidFill>
                <a:srgbClr val="FF0000"/>
              </a:solidFill>
              <a:ln>
                <a:noFill/>
              </a:ln>
            </c:spPr>
            <c:extLst xmlns:c16r2="http://schemas.microsoft.com/office/drawing/2015/06/chart">
              <c:ext xmlns:c16="http://schemas.microsoft.com/office/drawing/2014/chart" uri="{C3380CC4-5D6E-409C-BE32-E72D297353CC}">
                <c16:uniqueId val="{00000017-1E86-4FD1-9BC7-95426E78599F}"/>
              </c:ext>
            </c:extLst>
          </c:dPt>
          <c:dPt>
            <c:idx val="24"/>
            <c:spPr>
              <a:solidFill>
                <a:srgbClr val="FF0000"/>
              </a:solidFill>
              <a:ln>
                <a:noFill/>
              </a:ln>
            </c:spPr>
            <c:extLst xmlns:c16r2="http://schemas.microsoft.com/office/drawing/2015/06/chart">
              <c:ext xmlns:c16="http://schemas.microsoft.com/office/drawing/2014/chart" uri="{C3380CC4-5D6E-409C-BE32-E72D297353CC}">
                <c16:uniqueId val="{00000018-1E86-4FD1-9BC7-95426E78599F}"/>
              </c:ext>
            </c:extLst>
          </c:dPt>
          <c:dPt>
            <c:idx val="25"/>
            <c:spPr>
              <a:solidFill>
                <a:srgbClr val="FF0000"/>
              </a:solidFill>
              <a:ln>
                <a:noFill/>
              </a:ln>
            </c:spPr>
            <c:extLst xmlns:c16r2="http://schemas.microsoft.com/office/drawing/2015/06/chart">
              <c:ext xmlns:c16="http://schemas.microsoft.com/office/drawing/2014/chart" uri="{C3380CC4-5D6E-409C-BE32-E72D297353CC}">
                <c16:uniqueId val="{00000019-1E86-4FD1-9BC7-95426E78599F}"/>
              </c:ext>
            </c:extLst>
          </c:dPt>
          <c:dPt>
            <c:idx val="26"/>
            <c:spPr>
              <a:solidFill>
                <a:srgbClr val="FF0000"/>
              </a:solidFill>
              <a:ln>
                <a:noFill/>
              </a:ln>
            </c:spPr>
            <c:extLst xmlns:c16r2="http://schemas.microsoft.com/office/drawing/2015/06/chart">
              <c:ext xmlns:c16="http://schemas.microsoft.com/office/drawing/2014/chart" uri="{C3380CC4-5D6E-409C-BE32-E72D297353CC}">
                <c16:uniqueId val="{0000001A-1E86-4FD1-9BC7-95426E78599F}"/>
              </c:ext>
            </c:extLst>
          </c:dPt>
          <c:dPt>
            <c:idx val="27"/>
            <c:spPr>
              <a:solidFill>
                <a:srgbClr val="FF0000"/>
              </a:solidFill>
              <a:ln>
                <a:noFill/>
              </a:ln>
            </c:spPr>
            <c:extLst xmlns:c16r2="http://schemas.microsoft.com/office/drawing/2015/06/chart">
              <c:ext xmlns:c16="http://schemas.microsoft.com/office/drawing/2014/chart" uri="{C3380CC4-5D6E-409C-BE32-E72D297353CC}">
                <c16:uniqueId val="{0000001B-1E86-4FD1-9BC7-95426E78599F}"/>
              </c:ext>
            </c:extLst>
          </c:dPt>
          <c:dPt>
            <c:idx val="28"/>
            <c:spPr>
              <a:solidFill>
                <a:srgbClr val="FF0000"/>
              </a:solidFill>
              <a:ln>
                <a:noFill/>
              </a:ln>
            </c:spPr>
            <c:extLst xmlns:c16r2="http://schemas.microsoft.com/office/drawing/2015/06/chart">
              <c:ext xmlns:c16="http://schemas.microsoft.com/office/drawing/2014/chart" uri="{C3380CC4-5D6E-409C-BE32-E72D297353CC}">
                <c16:uniqueId val="{0000001C-1E86-4FD1-9BC7-95426E78599F}"/>
              </c:ext>
            </c:extLst>
          </c:dPt>
          <c:dPt>
            <c:idx val="29"/>
            <c:spPr>
              <a:solidFill>
                <a:srgbClr val="FF0000"/>
              </a:solidFill>
              <a:ln>
                <a:noFill/>
              </a:ln>
            </c:spPr>
            <c:extLst xmlns:c16r2="http://schemas.microsoft.com/office/drawing/2015/06/chart">
              <c:ext xmlns:c16="http://schemas.microsoft.com/office/drawing/2014/chart" uri="{C3380CC4-5D6E-409C-BE32-E72D297353CC}">
                <c16:uniqueId val="{0000001D-1E86-4FD1-9BC7-95426E78599F}"/>
              </c:ext>
            </c:extLst>
          </c:dPt>
          <c:dPt>
            <c:idx val="30"/>
            <c:spPr>
              <a:solidFill>
                <a:srgbClr val="FF0000"/>
              </a:solidFill>
              <a:ln>
                <a:noFill/>
              </a:ln>
            </c:spPr>
            <c:extLst xmlns:c16r2="http://schemas.microsoft.com/office/drawing/2015/06/chart">
              <c:ext xmlns:c16="http://schemas.microsoft.com/office/drawing/2014/chart" uri="{C3380CC4-5D6E-409C-BE32-E72D297353CC}">
                <c16:uniqueId val="{0000001E-1E86-4FD1-9BC7-95426E78599F}"/>
              </c:ext>
            </c:extLst>
          </c:dPt>
          <c:dPt>
            <c:idx val="31"/>
            <c:spPr>
              <a:solidFill>
                <a:srgbClr val="FF0000"/>
              </a:solidFill>
              <a:ln>
                <a:noFill/>
              </a:ln>
            </c:spPr>
            <c:extLst xmlns:c16r2="http://schemas.microsoft.com/office/drawing/2015/06/chart">
              <c:ext xmlns:c16="http://schemas.microsoft.com/office/drawing/2014/chart" uri="{C3380CC4-5D6E-409C-BE32-E72D297353CC}">
                <c16:uniqueId val="{0000001F-1E86-4FD1-9BC7-95426E78599F}"/>
              </c:ext>
            </c:extLst>
          </c:dPt>
          <c:dLbls>
            <c:dLbl>
              <c:idx val="0"/>
              <c:tx>
                <c:rich>
                  <a:bodyPr/>
                  <a:lstStyle/>
                  <a:p>
                    <a:r>
                      <a:rPr lang="en-US"/>
                      <a:t>0</a:t>
                    </a:r>
                  </a:p>
                </c:rich>
              </c:tx>
              <c:showVal val="1"/>
            </c:dLbl>
            <c:dLbl>
              <c:idx val="1"/>
              <c:tx>
                <c:rich>
                  <a:bodyPr/>
                  <a:lstStyle/>
                  <a:p>
                    <a:r>
                      <a:rPr lang="en-US"/>
                      <a:t>0</a:t>
                    </a:r>
                  </a:p>
                </c:rich>
              </c:tx>
              <c:showVal val="1"/>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Лист1!$A$2:$A$33</c:f>
              <c:strCache>
                <c:ptCount val="32"/>
                <c:pt idx="0">
                  <c:v>Брасовский р-н</c:v>
                </c:pt>
                <c:pt idx="1">
                  <c:v>Жирятинский р-н</c:v>
                </c:pt>
                <c:pt idx="2">
                  <c:v>Погарский р-н</c:v>
                </c:pt>
                <c:pt idx="3">
                  <c:v>Выгоничский р-н</c:v>
                </c:pt>
                <c:pt idx="4">
                  <c:v>Мглинский р-н</c:v>
                </c:pt>
                <c:pt idx="5">
                  <c:v>Севский р-н</c:v>
                </c:pt>
                <c:pt idx="6">
                  <c:v>Климовский р-н</c:v>
                </c:pt>
                <c:pt idx="7">
                  <c:v>Стародубский р-н</c:v>
                </c:pt>
                <c:pt idx="8">
                  <c:v>Красногорский р-н</c:v>
                </c:pt>
                <c:pt idx="9">
                  <c:v>Жуковский р-н</c:v>
                </c:pt>
                <c:pt idx="10">
                  <c:v>Суражский р-н</c:v>
                </c:pt>
                <c:pt idx="11">
                  <c:v>Гордеевский р-н</c:v>
                </c:pt>
                <c:pt idx="12">
                  <c:v>Клетнянский р-н</c:v>
                </c:pt>
                <c:pt idx="13">
                  <c:v>Новозыбковский р-н</c:v>
                </c:pt>
                <c:pt idx="14">
                  <c:v>г. Клинцы</c:v>
                </c:pt>
                <c:pt idx="15">
                  <c:v>Трубчевский р-н</c:v>
                </c:pt>
                <c:pt idx="16">
                  <c:v>г. Фокино</c:v>
                </c:pt>
                <c:pt idx="17">
                  <c:v>Злынковский р-н</c:v>
                </c:pt>
                <c:pt idx="18">
                  <c:v>Унечский р-н</c:v>
                </c:pt>
                <c:pt idx="19">
                  <c:v>Комаричский р-н</c:v>
                </c:pt>
                <c:pt idx="20">
                  <c:v>Карачевский р-н</c:v>
                </c:pt>
                <c:pt idx="21">
                  <c:v>Брянская область</c:v>
                </c:pt>
                <c:pt idx="22">
                  <c:v>Дубровский р-н</c:v>
                </c:pt>
                <c:pt idx="23">
                  <c:v>Почепский р-н</c:v>
                </c:pt>
                <c:pt idx="24">
                  <c:v>г. Брянск  </c:v>
                </c:pt>
                <c:pt idx="25">
                  <c:v>Дятьковский р-н</c:v>
                </c:pt>
                <c:pt idx="26">
                  <c:v>Суземский р-н</c:v>
                </c:pt>
                <c:pt idx="27">
                  <c:v>Брянский р-н</c:v>
                </c:pt>
                <c:pt idx="28">
                  <c:v>Навлинский р-н</c:v>
                </c:pt>
                <c:pt idx="29">
                  <c:v>г. Сельцо</c:v>
                </c:pt>
                <c:pt idx="30">
                  <c:v>Рогнединский р-н</c:v>
                </c:pt>
                <c:pt idx="31">
                  <c:v>Клинцовский р-н</c:v>
                </c:pt>
              </c:strCache>
            </c:strRef>
          </c:cat>
          <c:val>
            <c:numRef>
              <c:f>Лист1!$B$2:$B$33</c:f>
              <c:numCache>
                <c:formatCode>0.0</c:formatCode>
                <c:ptCount val="32"/>
                <c:pt idx="0">
                  <c:v>0</c:v>
                </c:pt>
                <c:pt idx="1">
                  <c:v>0</c:v>
                </c:pt>
                <c:pt idx="2">
                  <c:v>4.4000000000000004</c:v>
                </c:pt>
                <c:pt idx="3">
                  <c:v>5.0999999999999996</c:v>
                </c:pt>
                <c:pt idx="4">
                  <c:v>6.2</c:v>
                </c:pt>
                <c:pt idx="5">
                  <c:v>6.9</c:v>
                </c:pt>
                <c:pt idx="6">
                  <c:v>8</c:v>
                </c:pt>
                <c:pt idx="7">
                  <c:v>8.3000000000000007</c:v>
                </c:pt>
                <c:pt idx="8">
                  <c:v>8.8000000000000007</c:v>
                </c:pt>
                <c:pt idx="9">
                  <c:v>9.1</c:v>
                </c:pt>
                <c:pt idx="10">
                  <c:v>9.2000000000000011</c:v>
                </c:pt>
                <c:pt idx="11">
                  <c:v>9.9</c:v>
                </c:pt>
                <c:pt idx="12">
                  <c:v>11.4</c:v>
                </c:pt>
                <c:pt idx="13">
                  <c:v>13.9</c:v>
                </c:pt>
                <c:pt idx="14">
                  <c:v>14.4</c:v>
                </c:pt>
                <c:pt idx="15">
                  <c:v>15</c:v>
                </c:pt>
                <c:pt idx="16">
                  <c:v>15.9</c:v>
                </c:pt>
                <c:pt idx="17">
                  <c:v>16.8</c:v>
                </c:pt>
                <c:pt idx="18">
                  <c:v>18</c:v>
                </c:pt>
                <c:pt idx="19">
                  <c:v>18.7</c:v>
                </c:pt>
                <c:pt idx="20">
                  <c:v>19.399999999999999</c:v>
                </c:pt>
                <c:pt idx="21">
                  <c:v>20.399999999999999</c:v>
                </c:pt>
                <c:pt idx="22">
                  <c:v>24.2</c:v>
                </c:pt>
                <c:pt idx="23">
                  <c:v>24.3</c:v>
                </c:pt>
                <c:pt idx="24">
                  <c:v>25.2</c:v>
                </c:pt>
                <c:pt idx="25">
                  <c:v>26.4</c:v>
                </c:pt>
                <c:pt idx="26">
                  <c:v>26.9</c:v>
                </c:pt>
                <c:pt idx="27">
                  <c:v>28.2</c:v>
                </c:pt>
                <c:pt idx="28">
                  <c:v>34</c:v>
                </c:pt>
                <c:pt idx="29">
                  <c:v>37</c:v>
                </c:pt>
                <c:pt idx="30">
                  <c:v>47.8</c:v>
                </c:pt>
                <c:pt idx="31">
                  <c:v>53.5</c:v>
                </c:pt>
              </c:numCache>
            </c:numRef>
          </c:val>
          <c:extLst xmlns:c16r2="http://schemas.microsoft.com/office/drawing/2015/06/chart">
            <c:ext xmlns:c16="http://schemas.microsoft.com/office/drawing/2014/chart" uri="{C3380CC4-5D6E-409C-BE32-E72D297353CC}">
              <c16:uniqueId val="{00000020-1E86-4FD1-9BC7-95426E78599F}"/>
            </c:ext>
          </c:extLst>
        </c:ser>
        <c:dLbls>
          <c:showVal val="1"/>
        </c:dLbls>
        <c:gapWidth val="60"/>
        <c:axId val="228355072"/>
        <c:axId val="228360960"/>
      </c:barChart>
      <c:catAx>
        <c:axId val="228355072"/>
        <c:scaling>
          <c:orientation val="minMax"/>
        </c:scaling>
        <c:axPos val="l"/>
        <c:majorGridlines>
          <c:spPr>
            <a:ln>
              <a:solidFill>
                <a:sysClr val="window" lastClr="FFFFFF">
                  <a:lumMod val="65000"/>
                </a:sysClr>
              </a:solidFill>
            </a:ln>
          </c:spPr>
        </c:majorGridlines>
        <c:numFmt formatCode="General" sourceLinked="1"/>
        <c:tickLblPos val="nextTo"/>
        <c:spPr>
          <a:ln>
            <a:solidFill>
              <a:schemeClr val="tx1"/>
            </a:solidFill>
          </a:ln>
        </c:spPr>
        <c:txPr>
          <a:bodyPr/>
          <a:lstStyle/>
          <a:p>
            <a:pPr>
              <a:defRPr sz="800" baseline="0"/>
            </a:pPr>
            <a:endParaRPr lang="ru-RU"/>
          </a:p>
        </c:txPr>
        <c:crossAx val="228360960"/>
        <c:crosses val="autoZero"/>
        <c:lblAlgn val="ctr"/>
        <c:lblOffset val="100"/>
      </c:catAx>
      <c:valAx>
        <c:axId val="228360960"/>
        <c:scaling>
          <c:orientation val="minMax"/>
        </c:scaling>
        <c:axPos val="b"/>
        <c:numFmt formatCode="0" sourceLinked="0"/>
        <c:tickLblPos val="nextTo"/>
        <c:crossAx val="228355072"/>
        <c:crosses val="autoZero"/>
        <c:crossBetween val="between"/>
      </c:valAx>
      <c:spPr>
        <a:noFill/>
        <a:ln w="25400">
          <a:noFill/>
        </a:ln>
      </c:spPr>
    </c:plotArea>
    <c:plotVisOnly val="1"/>
    <c:dispBlanksAs val="gap"/>
  </c:chart>
  <c:spPr>
    <a:noFill/>
    <a:ln w="6350">
      <a:noFill/>
    </a:ln>
  </c:spPr>
  <c:txPr>
    <a:bodyPr/>
    <a:lstStyle/>
    <a:p>
      <a:pPr>
        <a:defRPr sz="900" b="1" i="0" baseline="0">
          <a:latin typeface="Arial" pitchFamily="34" charset="0"/>
        </a:defRPr>
      </a:pPr>
      <a:endParaRPr lang="ru-RU"/>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062898778706449"/>
          <c:y val="1.8748575654269069E-2"/>
          <c:w val="0.77395161499434384"/>
          <c:h val="0.93973428297493489"/>
        </c:manualLayout>
      </c:layout>
      <c:barChart>
        <c:barDir val="bar"/>
        <c:grouping val="clustered"/>
        <c:ser>
          <c:idx val="0"/>
          <c:order val="0"/>
          <c:spPr>
            <a:ln>
              <a:noFill/>
            </a:ln>
          </c:spPr>
          <c:dPt>
            <c:idx val="0"/>
            <c:spPr>
              <a:solidFill>
                <a:srgbClr val="00CC00"/>
              </a:solidFill>
              <a:ln>
                <a:noFill/>
              </a:ln>
            </c:spPr>
            <c:extLst xmlns:c16r2="http://schemas.microsoft.com/office/drawing/2015/06/chart">
              <c:ext xmlns:c16="http://schemas.microsoft.com/office/drawing/2014/chart" uri="{C3380CC4-5D6E-409C-BE32-E72D297353CC}">
                <c16:uniqueId val="{00000000-7E07-49A8-8E90-C760EA8F9F3A}"/>
              </c:ext>
            </c:extLst>
          </c:dPt>
          <c:dPt>
            <c:idx val="1"/>
            <c:spPr>
              <a:solidFill>
                <a:srgbClr val="00CC00"/>
              </a:solidFill>
              <a:ln>
                <a:noFill/>
              </a:ln>
            </c:spPr>
            <c:extLst xmlns:c16r2="http://schemas.microsoft.com/office/drawing/2015/06/chart">
              <c:ext xmlns:c16="http://schemas.microsoft.com/office/drawing/2014/chart" uri="{C3380CC4-5D6E-409C-BE32-E72D297353CC}">
                <c16:uniqueId val="{00000001-7E07-49A8-8E90-C760EA8F9F3A}"/>
              </c:ext>
            </c:extLst>
          </c:dPt>
          <c:dPt>
            <c:idx val="2"/>
            <c:spPr>
              <a:solidFill>
                <a:srgbClr val="00CC00"/>
              </a:solidFill>
              <a:ln>
                <a:noFill/>
              </a:ln>
            </c:spPr>
            <c:extLst xmlns:c16r2="http://schemas.microsoft.com/office/drawing/2015/06/chart">
              <c:ext xmlns:c16="http://schemas.microsoft.com/office/drawing/2014/chart" uri="{C3380CC4-5D6E-409C-BE32-E72D297353CC}">
                <c16:uniqueId val="{00000002-7E07-49A8-8E90-C760EA8F9F3A}"/>
              </c:ext>
            </c:extLst>
          </c:dPt>
          <c:dPt>
            <c:idx val="3"/>
            <c:spPr>
              <a:solidFill>
                <a:srgbClr val="00CC00"/>
              </a:solidFill>
              <a:ln>
                <a:noFill/>
              </a:ln>
            </c:spPr>
            <c:extLst xmlns:c16r2="http://schemas.microsoft.com/office/drawing/2015/06/chart">
              <c:ext xmlns:c16="http://schemas.microsoft.com/office/drawing/2014/chart" uri="{C3380CC4-5D6E-409C-BE32-E72D297353CC}">
                <c16:uniqueId val="{00000003-7E07-49A8-8E90-C760EA8F9F3A}"/>
              </c:ext>
            </c:extLst>
          </c:dPt>
          <c:dPt>
            <c:idx val="4"/>
            <c:spPr>
              <a:solidFill>
                <a:srgbClr val="00CC00"/>
              </a:solidFill>
              <a:ln>
                <a:noFill/>
              </a:ln>
            </c:spPr>
            <c:extLst xmlns:c16r2="http://schemas.microsoft.com/office/drawing/2015/06/chart">
              <c:ext xmlns:c16="http://schemas.microsoft.com/office/drawing/2014/chart" uri="{C3380CC4-5D6E-409C-BE32-E72D297353CC}">
                <c16:uniqueId val="{00000004-7E07-49A8-8E90-C760EA8F9F3A}"/>
              </c:ext>
            </c:extLst>
          </c:dPt>
          <c:dPt>
            <c:idx val="5"/>
            <c:spPr>
              <a:solidFill>
                <a:srgbClr val="00CC00"/>
              </a:solidFill>
              <a:ln>
                <a:noFill/>
              </a:ln>
            </c:spPr>
            <c:extLst xmlns:c16r2="http://schemas.microsoft.com/office/drawing/2015/06/chart">
              <c:ext xmlns:c16="http://schemas.microsoft.com/office/drawing/2014/chart" uri="{C3380CC4-5D6E-409C-BE32-E72D297353CC}">
                <c16:uniqueId val="{00000005-7E07-49A8-8E90-C760EA8F9F3A}"/>
              </c:ext>
            </c:extLst>
          </c:dPt>
          <c:dPt>
            <c:idx val="6"/>
            <c:spPr>
              <a:solidFill>
                <a:srgbClr val="00CC00"/>
              </a:solidFill>
              <a:ln>
                <a:noFill/>
              </a:ln>
            </c:spPr>
            <c:extLst xmlns:c16r2="http://schemas.microsoft.com/office/drawing/2015/06/chart">
              <c:ext xmlns:c16="http://schemas.microsoft.com/office/drawing/2014/chart" uri="{C3380CC4-5D6E-409C-BE32-E72D297353CC}">
                <c16:uniqueId val="{00000006-7E07-49A8-8E90-C760EA8F9F3A}"/>
              </c:ext>
            </c:extLst>
          </c:dPt>
          <c:dPt>
            <c:idx val="7"/>
            <c:spPr>
              <a:solidFill>
                <a:srgbClr val="00CC00"/>
              </a:solidFill>
              <a:ln>
                <a:noFill/>
              </a:ln>
            </c:spPr>
            <c:extLst xmlns:c16r2="http://schemas.microsoft.com/office/drawing/2015/06/chart">
              <c:ext xmlns:c16="http://schemas.microsoft.com/office/drawing/2014/chart" uri="{C3380CC4-5D6E-409C-BE32-E72D297353CC}">
                <c16:uniqueId val="{00000007-7E07-49A8-8E90-C760EA8F9F3A}"/>
              </c:ext>
            </c:extLst>
          </c:dPt>
          <c:dPt>
            <c:idx val="8"/>
            <c:spPr>
              <a:solidFill>
                <a:srgbClr val="00CC00"/>
              </a:solidFill>
              <a:ln>
                <a:noFill/>
              </a:ln>
            </c:spPr>
            <c:extLst xmlns:c16r2="http://schemas.microsoft.com/office/drawing/2015/06/chart">
              <c:ext xmlns:c16="http://schemas.microsoft.com/office/drawing/2014/chart" uri="{C3380CC4-5D6E-409C-BE32-E72D297353CC}">
                <c16:uniqueId val="{00000008-7E07-49A8-8E90-C760EA8F9F3A}"/>
              </c:ext>
            </c:extLst>
          </c:dPt>
          <c:dPt>
            <c:idx val="9"/>
            <c:spPr>
              <a:solidFill>
                <a:srgbClr val="00CC00"/>
              </a:solidFill>
              <a:ln>
                <a:noFill/>
              </a:ln>
            </c:spPr>
            <c:extLst xmlns:c16r2="http://schemas.microsoft.com/office/drawing/2015/06/chart">
              <c:ext xmlns:c16="http://schemas.microsoft.com/office/drawing/2014/chart" uri="{C3380CC4-5D6E-409C-BE32-E72D297353CC}">
                <c16:uniqueId val="{00000009-7E07-49A8-8E90-C760EA8F9F3A}"/>
              </c:ext>
            </c:extLst>
          </c:dPt>
          <c:dPt>
            <c:idx val="10"/>
            <c:spPr>
              <a:solidFill>
                <a:srgbClr val="00CC00"/>
              </a:solidFill>
              <a:ln>
                <a:noFill/>
              </a:ln>
            </c:spPr>
            <c:extLst xmlns:c16r2="http://schemas.microsoft.com/office/drawing/2015/06/chart">
              <c:ext xmlns:c16="http://schemas.microsoft.com/office/drawing/2014/chart" uri="{C3380CC4-5D6E-409C-BE32-E72D297353CC}">
                <c16:uniqueId val="{0000000A-7E07-49A8-8E90-C760EA8F9F3A}"/>
              </c:ext>
            </c:extLst>
          </c:dPt>
          <c:dPt>
            <c:idx val="11"/>
            <c:spPr>
              <a:solidFill>
                <a:srgbClr val="00CC00"/>
              </a:solidFill>
              <a:ln>
                <a:noFill/>
              </a:ln>
            </c:spPr>
            <c:extLst xmlns:c16r2="http://schemas.microsoft.com/office/drawing/2015/06/chart">
              <c:ext xmlns:c16="http://schemas.microsoft.com/office/drawing/2014/chart" uri="{C3380CC4-5D6E-409C-BE32-E72D297353CC}">
                <c16:uniqueId val="{0000000B-7E07-49A8-8E90-C760EA8F9F3A}"/>
              </c:ext>
            </c:extLst>
          </c:dPt>
          <c:dPt>
            <c:idx val="12"/>
            <c:spPr>
              <a:solidFill>
                <a:srgbClr val="00CC00"/>
              </a:solidFill>
              <a:ln>
                <a:noFill/>
              </a:ln>
            </c:spPr>
            <c:extLst xmlns:c16r2="http://schemas.microsoft.com/office/drawing/2015/06/chart">
              <c:ext xmlns:c16="http://schemas.microsoft.com/office/drawing/2014/chart" uri="{C3380CC4-5D6E-409C-BE32-E72D297353CC}">
                <c16:uniqueId val="{0000000C-7E07-49A8-8E90-C760EA8F9F3A}"/>
              </c:ext>
            </c:extLst>
          </c:dPt>
          <c:dPt>
            <c:idx val="13"/>
            <c:spPr>
              <a:solidFill>
                <a:srgbClr val="00CC00"/>
              </a:solidFill>
              <a:ln>
                <a:noFill/>
              </a:ln>
            </c:spPr>
            <c:extLst xmlns:c16r2="http://schemas.microsoft.com/office/drawing/2015/06/chart">
              <c:ext xmlns:c16="http://schemas.microsoft.com/office/drawing/2014/chart" uri="{C3380CC4-5D6E-409C-BE32-E72D297353CC}">
                <c16:uniqueId val="{0000000D-7E07-49A8-8E90-C760EA8F9F3A}"/>
              </c:ext>
            </c:extLst>
          </c:dPt>
          <c:dPt>
            <c:idx val="14"/>
            <c:spPr>
              <a:solidFill>
                <a:srgbClr val="00CC00"/>
              </a:solidFill>
              <a:ln>
                <a:noFill/>
              </a:ln>
            </c:spPr>
            <c:extLst xmlns:c16r2="http://schemas.microsoft.com/office/drawing/2015/06/chart">
              <c:ext xmlns:c16="http://schemas.microsoft.com/office/drawing/2014/chart" uri="{C3380CC4-5D6E-409C-BE32-E72D297353CC}">
                <c16:uniqueId val="{0000000E-7E07-49A8-8E90-C760EA8F9F3A}"/>
              </c:ext>
            </c:extLst>
          </c:dPt>
          <c:dPt>
            <c:idx val="15"/>
            <c:spPr>
              <a:solidFill>
                <a:srgbClr val="00CC00"/>
              </a:solidFill>
              <a:ln>
                <a:noFill/>
              </a:ln>
            </c:spPr>
            <c:extLst xmlns:c16r2="http://schemas.microsoft.com/office/drawing/2015/06/chart">
              <c:ext xmlns:c16="http://schemas.microsoft.com/office/drawing/2014/chart" uri="{C3380CC4-5D6E-409C-BE32-E72D297353CC}">
                <c16:uniqueId val="{0000000F-7E07-49A8-8E90-C760EA8F9F3A}"/>
              </c:ext>
            </c:extLst>
          </c:dPt>
          <c:dPt>
            <c:idx val="16"/>
            <c:spPr>
              <a:solidFill>
                <a:srgbClr val="00CC00"/>
              </a:solidFill>
              <a:ln>
                <a:noFill/>
              </a:ln>
            </c:spPr>
            <c:extLst xmlns:c16r2="http://schemas.microsoft.com/office/drawing/2015/06/chart">
              <c:ext xmlns:c16="http://schemas.microsoft.com/office/drawing/2014/chart" uri="{C3380CC4-5D6E-409C-BE32-E72D297353CC}">
                <c16:uniqueId val="{00000010-7E07-49A8-8E90-C760EA8F9F3A}"/>
              </c:ext>
            </c:extLst>
          </c:dPt>
          <c:dPt>
            <c:idx val="17"/>
            <c:spPr>
              <a:solidFill>
                <a:srgbClr val="00CC00"/>
              </a:solidFill>
              <a:ln>
                <a:noFill/>
              </a:ln>
            </c:spPr>
            <c:extLst xmlns:c16r2="http://schemas.microsoft.com/office/drawing/2015/06/chart">
              <c:ext xmlns:c16="http://schemas.microsoft.com/office/drawing/2014/chart" uri="{C3380CC4-5D6E-409C-BE32-E72D297353CC}">
                <c16:uniqueId val="{00000011-7E07-49A8-8E90-C760EA8F9F3A}"/>
              </c:ext>
            </c:extLst>
          </c:dPt>
          <c:dPt>
            <c:idx val="18"/>
            <c:spPr>
              <a:solidFill>
                <a:srgbClr val="00CC00"/>
              </a:solidFill>
              <a:ln>
                <a:noFill/>
              </a:ln>
            </c:spPr>
            <c:extLst xmlns:c16r2="http://schemas.microsoft.com/office/drawing/2015/06/chart">
              <c:ext xmlns:c16="http://schemas.microsoft.com/office/drawing/2014/chart" uri="{C3380CC4-5D6E-409C-BE32-E72D297353CC}">
                <c16:uniqueId val="{00000012-7E07-49A8-8E90-C760EA8F9F3A}"/>
              </c:ext>
            </c:extLst>
          </c:dPt>
          <c:dPt>
            <c:idx val="19"/>
            <c:spPr>
              <a:solidFill>
                <a:srgbClr val="00CC00"/>
              </a:solidFill>
              <a:ln>
                <a:noFill/>
              </a:ln>
            </c:spPr>
            <c:extLst xmlns:c16r2="http://schemas.microsoft.com/office/drawing/2015/06/chart">
              <c:ext xmlns:c16="http://schemas.microsoft.com/office/drawing/2014/chart" uri="{C3380CC4-5D6E-409C-BE32-E72D297353CC}">
                <c16:uniqueId val="{00000013-7E07-49A8-8E90-C760EA8F9F3A}"/>
              </c:ext>
            </c:extLst>
          </c:dPt>
          <c:dPt>
            <c:idx val="20"/>
            <c:spPr>
              <a:solidFill>
                <a:srgbClr val="00CC00"/>
              </a:solidFill>
              <a:ln>
                <a:noFill/>
              </a:ln>
            </c:spPr>
            <c:extLst xmlns:c16r2="http://schemas.microsoft.com/office/drawing/2015/06/chart">
              <c:ext xmlns:c16="http://schemas.microsoft.com/office/drawing/2014/chart" uri="{C3380CC4-5D6E-409C-BE32-E72D297353CC}">
                <c16:uniqueId val="{00000014-7E07-49A8-8E90-C760EA8F9F3A}"/>
              </c:ext>
            </c:extLst>
          </c:dPt>
          <c:dPt>
            <c:idx val="21"/>
            <c:spPr>
              <a:solidFill>
                <a:srgbClr val="00CC00"/>
              </a:solidFill>
              <a:ln>
                <a:noFill/>
              </a:ln>
            </c:spPr>
            <c:extLst xmlns:c16r2="http://schemas.microsoft.com/office/drawing/2015/06/chart">
              <c:ext xmlns:c16="http://schemas.microsoft.com/office/drawing/2014/chart" uri="{C3380CC4-5D6E-409C-BE32-E72D297353CC}">
                <c16:uniqueId val="{00000015-7E07-49A8-8E90-C760EA8F9F3A}"/>
              </c:ext>
            </c:extLst>
          </c:dPt>
          <c:dPt>
            <c:idx val="22"/>
            <c:spPr>
              <a:solidFill>
                <a:srgbClr val="00CC00"/>
              </a:solidFill>
              <a:ln>
                <a:noFill/>
              </a:ln>
            </c:spPr>
            <c:extLst xmlns:c16r2="http://schemas.microsoft.com/office/drawing/2015/06/chart">
              <c:ext xmlns:c16="http://schemas.microsoft.com/office/drawing/2014/chart" uri="{C3380CC4-5D6E-409C-BE32-E72D297353CC}">
                <c16:uniqueId val="{00000016-7E07-49A8-8E90-C760EA8F9F3A}"/>
              </c:ext>
            </c:extLst>
          </c:dPt>
          <c:dPt>
            <c:idx val="23"/>
            <c:spPr>
              <a:solidFill>
                <a:srgbClr val="00CC00"/>
              </a:solidFill>
              <a:ln>
                <a:noFill/>
              </a:ln>
            </c:spPr>
            <c:extLst xmlns:c16r2="http://schemas.microsoft.com/office/drawing/2015/06/chart">
              <c:ext xmlns:c16="http://schemas.microsoft.com/office/drawing/2014/chart" uri="{C3380CC4-5D6E-409C-BE32-E72D297353CC}">
                <c16:uniqueId val="{00000017-7E07-49A8-8E90-C760EA8F9F3A}"/>
              </c:ext>
            </c:extLst>
          </c:dPt>
          <c:dPt>
            <c:idx val="24"/>
            <c:spPr>
              <a:solidFill>
                <a:srgbClr val="0066CC"/>
              </a:solidFill>
              <a:ln>
                <a:noFill/>
              </a:ln>
            </c:spPr>
            <c:extLst xmlns:c16r2="http://schemas.microsoft.com/office/drawing/2015/06/chart">
              <c:ext xmlns:c16="http://schemas.microsoft.com/office/drawing/2014/chart" uri="{C3380CC4-5D6E-409C-BE32-E72D297353CC}">
                <c16:uniqueId val="{00000018-7E07-49A8-8E90-C760EA8F9F3A}"/>
              </c:ext>
            </c:extLst>
          </c:dPt>
          <c:dPt>
            <c:idx val="25"/>
            <c:spPr>
              <a:solidFill>
                <a:srgbClr val="FF0000"/>
              </a:solidFill>
              <a:ln>
                <a:noFill/>
              </a:ln>
            </c:spPr>
            <c:extLst xmlns:c16r2="http://schemas.microsoft.com/office/drawing/2015/06/chart">
              <c:ext xmlns:c16="http://schemas.microsoft.com/office/drawing/2014/chart" uri="{C3380CC4-5D6E-409C-BE32-E72D297353CC}">
                <c16:uniqueId val="{00000019-7E07-49A8-8E90-C760EA8F9F3A}"/>
              </c:ext>
            </c:extLst>
          </c:dPt>
          <c:dPt>
            <c:idx val="26"/>
            <c:spPr>
              <a:solidFill>
                <a:srgbClr val="FF0000"/>
              </a:solidFill>
              <a:ln>
                <a:noFill/>
              </a:ln>
            </c:spPr>
            <c:extLst xmlns:c16r2="http://schemas.microsoft.com/office/drawing/2015/06/chart">
              <c:ext xmlns:c16="http://schemas.microsoft.com/office/drawing/2014/chart" uri="{C3380CC4-5D6E-409C-BE32-E72D297353CC}">
                <c16:uniqueId val="{0000001A-7E07-49A8-8E90-C760EA8F9F3A}"/>
              </c:ext>
            </c:extLst>
          </c:dPt>
          <c:dPt>
            <c:idx val="27"/>
            <c:spPr>
              <a:solidFill>
                <a:srgbClr val="FF0000"/>
              </a:solidFill>
              <a:ln>
                <a:noFill/>
              </a:ln>
            </c:spPr>
            <c:extLst xmlns:c16r2="http://schemas.microsoft.com/office/drawing/2015/06/chart">
              <c:ext xmlns:c16="http://schemas.microsoft.com/office/drawing/2014/chart" uri="{C3380CC4-5D6E-409C-BE32-E72D297353CC}">
                <c16:uniqueId val="{0000001B-7E07-49A8-8E90-C760EA8F9F3A}"/>
              </c:ext>
            </c:extLst>
          </c:dPt>
          <c:dPt>
            <c:idx val="28"/>
            <c:spPr>
              <a:solidFill>
                <a:srgbClr val="FF0000"/>
              </a:solidFill>
              <a:ln>
                <a:noFill/>
              </a:ln>
            </c:spPr>
            <c:extLst xmlns:c16r2="http://schemas.microsoft.com/office/drawing/2015/06/chart">
              <c:ext xmlns:c16="http://schemas.microsoft.com/office/drawing/2014/chart" uri="{C3380CC4-5D6E-409C-BE32-E72D297353CC}">
                <c16:uniqueId val="{0000001C-7E07-49A8-8E90-C760EA8F9F3A}"/>
              </c:ext>
            </c:extLst>
          </c:dPt>
          <c:dPt>
            <c:idx val="29"/>
            <c:spPr>
              <a:solidFill>
                <a:srgbClr val="FF0000"/>
              </a:solidFill>
              <a:ln>
                <a:noFill/>
              </a:ln>
            </c:spPr>
            <c:extLst xmlns:c16r2="http://schemas.microsoft.com/office/drawing/2015/06/chart">
              <c:ext xmlns:c16="http://schemas.microsoft.com/office/drawing/2014/chart" uri="{C3380CC4-5D6E-409C-BE32-E72D297353CC}">
                <c16:uniqueId val="{0000001D-7E07-49A8-8E90-C760EA8F9F3A}"/>
              </c:ext>
            </c:extLst>
          </c:dPt>
          <c:dPt>
            <c:idx val="30"/>
            <c:spPr>
              <a:solidFill>
                <a:srgbClr val="FF0000"/>
              </a:solidFill>
              <a:ln>
                <a:noFill/>
              </a:ln>
            </c:spPr>
            <c:extLst xmlns:c16r2="http://schemas.microsoft.com/office/drawing/2015/06/chart">
              <c:ext xmlns:c16="http://schemas.microsoft.com/office/drawing/2014/chart" uri="{C3380CC4-5D6E-409C-BE32-E72D297353CC}">
                <c16:uniqueId val="{0000001E-7E07-49A8-8E90-C760EA8F9F3A}"/>
              </c:ext>
            </c:extLst>
          </c:dPt>
          <c:dPt>
            <c:idx val="31"/>
            <c:spPr>
              <a:solidFill>
                <a:srgbClr val="FF0000"/>
              </a:solidFill>
              <a:ln>
                <a:noFill/>
              </a:ln>
            </c:spPr>
            <c:extLst xmlns:c16r2="http://schemas.microsoft.com/office/drawing/2015/06/chart">
              <c:ext xmlns:c16="http://schemas.microsoft.com/office/drawing/2014/chart" uri="{C3380CC4-5D6E-409C-BE32-E72D297353CC}">
                <c16:uniqueId val="{0000001F-7E07-49A8-8E90-C760EA8F9F3A}"/>
              </c:ext>
            </c:extLst>
          </c:dPt>
          <c:dLbls>
            <c:dLbl>
              <c:idx val="24"/>
              <c:spPr/>
              <c:txPr>
                <a:bodyPr/>
                <a:lstStyle/>
                <a:p>
                  <a:pPr>
                    <a:defRPr sz="900" b="1" i="0" baseline="0">
                      <a:solidFill>
                        <a:srgbClr val="000000"/>
                      </a:solidFill>
                      <a:latin typeface="Arial" pitchFamily="34" charset="0"/>
                    </a:defRPr>
                  </a:pPr>
                  <a:endParaRPr lang="ru-RU"/>
                </a:p>
              </c:txPr>
            </c:dLbl>
            <c:spPr>
              <a:noFill/>
              <a:ln>
                <a:noFill/>
              </a:ln>
              <a:effectLst/>
            </c:spPr>
            <c:txPr>
              <a:bodyPr/>
              <a:lstStyle/>
              <a:p>
                <a:pPr>
                  <a:defRPr sz="900" b="1" i="0" baseline="0">
                    <a:solidFill>
                      <a:srgbClr val="000000"/>
                    </a:solidFill>
                    <a:latin typeface="Arial"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Лист1!$A$2:$A$33</c:f>
              <c:strCache>
                <c:ptCount val="32"/>
                <c:pt idx="0">
                  <c:v>Комаричский р-н</c:v>
                </c:pt>
                <c:pt idx="1">
                  <c:v>Красногорский р-н</c:v>
                </c:pt>
                <c:pt idx="2">
                  <c:v>Мглинский р-н</c:v>
                </c:pt>
                <c:pt idx="3">
                  <c:v>Унечский р-н</c:v>
                </c:pt>
                <c:pt idx="4">
                  <c:v>Суражский р-н</c:v>
                </c:pt>
                <c:pt idx="5">
                  <c:v>Севский р-н</c:v>
                </c:pt>
                <c:pt idx="6">
                  <c:v>Злынковский р-н</c:v>
                </c:pt>
                <c:pt idx="7">
                  <c:v>Клетнянский р-н</c:v>
                </c:pt>
                <c:pt idx="8">
                  <c:v>Трубчевский р-н</c:v>
                </c:pt>
                <c:pt idx="9">
                  <c:v>Жирятинский р-н</c:v>
                </c:pt>
                <c:pt idx="10">
                  <c:v>Новозыбковский р-н</c:v>
                </c:pt>
                <c:pt idx="11">
                  <c:v>Рогнединский р-н</c:v>
                </c:pt>
                <c:pt idx="12">
                  <c:v>Климовский р-н</c:v>
                </c:pt>
                <c:pt idx="13">
                  <c:v>Гордеевский р-н</c:v>
                </c:pt>
                <c:pt idx="14">
                  <c:v>Карачевский р-н</c:v>
                </c:pt>
                <c:pt idx="15">
                  <c:v>г. Фокино</c:v>
                </c:pt>
                <c:pt idx="16">
                  <c:v>Погарский р-н</c:v>
                </c:pt>
                <c:pt idx="17">
                  <c:v>Брянский р-н</c:v>
                </c:pt>
                <c:pt idx="18">
                  <c:v>Почепский р-н</c:v>
                </c:pt>
                <c:pt idx="19">
                  <c:v>Суземский р-н</c:v>
                </c:pt>
                <c:pt idx="20">
                  <c:v>Брасовский р-н</c:v>
                </c:pt>
                <c:pt idx="21">
                  <c:v>Выгоничский р-н</c:v>
                </c:pt>
                <c:pt idx="22">
                  <c:v>Навлинский р-н</c:v>
                </c:pt>
                <c:pt idx="23">
                  <c:v>Стародубский р-н</c:v>
                </c:pt>
                <c:pt idx="24">
                  <c:v>Брянская область</c:v>
                </c:pt>
                <c:pt idx="25">
                  <c:v>г. Клинцы</c:v>
                </c:pt>
                <c:pt idx="26">
                  <c:v>г. Брянск  </c:v>
                </c:pt>
                <c:pt idx="27">
                  <c:v>Дятьковский р-н</c:v>
                </c:pt>
                <c:pt idx="28">
                  <c:v>Жуковский р-н</c:v>
                </c:pt>
                <c:pt idx="29">
                  <c:v>Дубровский р-н</c:v>
                </c:pt>
                <c:pt idx="30">
                  <c:v>Клинцовский р-н</c:v>
                </c:pt>
                <c:pt idx="31">
                  <c:v>г. Сельцо</c:v>
                </c:pt>
              </c:strCache>
            </c:strRef>
          </c:cat>
          <c:val>
            <c:numRef>
              <c:f>Лист1!$B$2:$B$33</c:f>
              <c:numCache>
                <c:formatCode>0.0</c:formatCode>
                <c:ptCount val="32"/>
                <c:pt idx="0">
                  <c:v>112.2</c:v>
                </c:pt>
                <c:pt idx="1">
                  <c:v>132.1</c:v>
                </c:pt>
                <c:pt idx="2">
                  <c:v>167.2</c:v>
                </c:pt>
                <c:pt idx="3">
                  <c:v>173.7</c:v>
                </c:pt>
                <c:pt idx="4">
                  <c:v>175.3</c:v>
                </c:pt>
                <c:pt idx="5">
                  <c:v>180.3</c:v>
                </c:pt>
                <c:pt idx="6">
                  <c:v>182.2</c:v>
                </c:pt>
                <c:pt idx="7">
                  <c:v>193.6</c:v>
                </c:pt>
                <c:pt idx="8">
                  <c:v>207.1</c:v>
                </c:pt>
                <c:pt idx="9">
                  <c:v>210.2</c:v>
                </c:pt>
                <c:pt idx="10">
                  <c:v>220.3</c:v>
                </c:pt>
                <c:pt idx="11">
                  <c:v>223</c:v>
                </c:pt>
                <c:pt idx="12">
                  <c:v>228</c:v>
                </c:pt>
                <c:pt idx="13">
                  <c:v>229.7</c:v>
                </c:pt>
                <c:pt idx="14">
                  <c:v>235.6</c:v>
                </c:pt>
                <c:pt idx="15">
                  <c:v>237.8</c:v>
                </c:pt>
                <c:pt idx="16">
                  <c:v>238.3</c:v>
                </c:pt>
                <c:pt idx="17">
                  <c:v>239.8</c:v>
                </c:pt>
                <c:pt idx="18">
                  <c:v>242.7</c:v>
                </c:pt>
                <c:pt idx="19">
                  <c:v>248.4</c:v>
                </c:pt>
                <c:pt idx="20">
                  <c:v>252.3</c:v>
                </c:pt>
                <c:pt idx="21">
                  <c:v>252.3</c:v>
                </c:pt>
                <c:pt idx="22">
                  <c:v>256.2</c:v>
                </c:pt>
                <c:pt idx="23">
                  <c:v>263.2</c:v>
                </c:pt>
                <c:pt idx="24">
                  <c:v>280.39999999999969</c:v>
                </c:pt>
                <c:pt idx="25">
                  <c:v>295</c:v>
                </c:pt>
                <c:pt idx="26">
                  <c:v>319.39999999999969</c:v>
                </c:pt>
                <c:pt idx="27">
                  <c:v>329.4</c:v>
                </c:pt>
                <c:pt idx="28">
                  <c:v>339.3</c:v>
                </c:pt>
                <c:pt idx="29">
                  <c:v>368.8</c:v>
                </c:pt>
                <c:pt idx="30">
                  <c:v>386.6</c:v>
                </c:pt>
                <c:pt idx="31">
                  <c:v>965.4</c:v>
                </c:pt>
              </c:numCache>
            </c:numRef>
          </c:val>
          <c:extLst xmlns:c16r2="http://schemas.microsoft.com/office/drawing/2015/06/chart">
            <c:ext xmlns:c16="http://schemas.microsoft.com/office/drawing/2014/chart" uri="{C3380CC4-5D6E-409C-BE32-E72D297353CC}">
              <c16:uniqueId val="{00000020-7E07-49A8-8E90-C760EA8F9F3A}"/>
            </c:ext>
          </c:extLst>
        </c:ser>
        <c:dLbls>
          <c:showVal val="1"/>
        </c:dLbls>
        <c:gapWidth val="60"/>
        <c:axId val="228649216"/>
        <c:axId val="228655104"/>
      </c:barChart>
      <c:catAx>
        <c:axId val="228649216"/>
        <c:scaling>
          <c:orientation val="minMax"/>
        </c:scaling>
        <c:axPos val="l"/>
        <c:majorGridlines/>
        <c:numFmt formatCode="General" sourceLinked="1"/>
        <c:tickLblPos val="nextTo"/>
        <c:spPr>
          <a:noFill/>
          <a:ln>
            <a:solidFill>
              <a:schemeClr val="tx1"/>
            </a:solidFill>
          </a:ln>
        </c:spPr>
        <c:txPr>
          <a:bodyPr/>
          <a:lstStyle/>
          <a:p>
            <a:pPr>
              <a:defRPr sz="800" b="1" i="0" baseline="0">
                <a:solidFill>
                  <a:srgbClr val="000000"/>
                </a:solidFill>
                <a:latin typeface="Arial" pitchFamily="34" charset="0"/>
                <a:cs typeface="Arial" pitchFamily="34" charset="0"/>
              </a:defRPr>
            </a:pPr>
            <a:endParaRPr lang="ru-RU"/>
          </a:p>
        </c:txPr>
        <c:crossAx val="228655104"/>
        <c:crosses val="autoZero"/>
        <c:lblAlgn val="ctr"/>
        <c:lblOffset val="100"/>
      </c:catAx>
      <c:valAx>
        <c:axId val="228655104"/>
        <c:scaling>
          <c:orientation val="minMax"/>
          <c:max val="1000"/>
        </c:scaling>
        <c:axPos val="b"/>
        <c:numFmt formatCode="0" sourceLinked="0"/>
        <c:tickLblPos val="nextTo"/>
        <c:txPr>
          <a:bodyPr/>
          <a:lstStyle/>
          <a:p>
            <a:pPr>
              <a:defRPr sz="900" b="1" i="0" baseline="0">
                <a:latin typeface="Arial" pitchFamily="34" charset="0"/>
              </a:defRPr>
            </a:pPr>
            <a:endParaRPr lang="ru-RU"/>
          </a:p>
        </c:txPr>
        <c:crossAx val="228649216"/>
        <c:crosses val="autoZero"/>
        <c:crossBetween val="between"/>
      </c:valAx>
      <c:spPr>
        <a:solidFill>
          <a:schemeClr val="bg1"/>
        </a:solidFill>
        <a:ln w="25394">
          <a:noFill/>
        </a:ln>
      </c:spPr>
    </c:plotArea>
    <c:plotVisOnly val="1"/>
    <c:dispBlanksAs val="gap"/>
  </c:chart>
  <c:spPr>
    <a:noFill/>
    <a:ln w="6350">
      <a:noFill/>
    </a:ln>
  </c:spPr>
  <c:txPr>
    <a:bodyPr/>
    <a:lstStyle/>
    <a:p>
      <a:pPr>
        <a:defRPr sz="4431"/>
      </a:pPr>
      <a:endParaRPr lang="ru-RU"/>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5.0077357234846194E-2"/>
          <c:y val="2.1566234802263232E-2"/>
          <c:w val="0.92954545454546722"/>
          <c:h val="0.90431601525916649"/>
        </c:manualLayout>
      </c:layout>
      <c:barChart>
        <c:barDir val="bar"/>
        <c:grouping val="clustered"/>
        <c:ser>
          <c:idx val="0"/>
          <c:order val="0"/>
          <c:tx>
            <c:strRef>
              <c:f>Sheet1!$A$2</c:f>
              <c:strCache>
                <c:ptCount val="1"/>
                <c:pt idx="0">
                  <c:v>половой контакт</c:v>
                </c:pt>
              </c:strCache>
            </c:strRef>
          </c:tx>
          <c:spPr>
            <a:solidFill>
              <a:srgbClr val="0088EE"/>
            </a:solidFill>
          </c:spPr>
          <c:dLbls>
            <c:dLbl>
              <c:idx val="2"/>
              <c:layout>
                <c:manualLayout>
                  <c:x val="0"/>
                  <c:y val="0"/>
                </c:manualLayout>
              </c:layout>
              <c:tx>
                <c:rich>
                  <a:bodyPr/>
                  <a:lstStyle/>
                  <a:p>
                    <a:r>
                      <a:rPr lang="en-US"/>
                      <a:t>34</a:t>
                    </a:r>
                    <a:r>
                      <a:rPr lang="ru-RU"/>
                      <a:t>,0</a:t>
                    </a:r>
                    <a:endParaRPr lang="en-US"/>
                  </a:p>
                </c:rich>
              </c:tx>
              <c:showVal val="1"/>
            </c:dLbl>
            <c:dLbl>
              <c:idx val="3"/>
              <c:layout>
                <c:manualLayout>
                  <c:x val="-4.0794371518185534E-3"/>
                  <c:y val="-3.8104228797013998E-4"/>
                </c:manualLayout>
              </c:layout>
              <c:tx>
                <c:rich>
                  <a:bodyPr/>
                  <a:lstStyle/>
                  <a:p>
                    <a:r>
                      <a:rPr lang="en-US" sz="900" b="1">
                        <a:latin typeface="Arial" pitchFamily="34" charset="0"/>
                        <a:cs typeface="Arial" pitchFamily="34" charset="0"/>
                      </a:rPr>
                      <a:t>48,0</a:t>
                    </a:r>
                  </a:p>
                </c:rich>
              </c:tx>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62-4072-839C-5566205CD1C0}"/>
                </c:ext>
              </c:extLst>
            </c:dLbl>
            <c:dLbl>
              <c:idx val="10"/>
              <c:tx>
                <c:rich>
                  <a:bodyPr/>
                  <a:lstStyle/>
                  <a:p>
                    <a:r>
                      <a:rPr lang="en-US" sz="900" b="1">
                        <a:latin typeface="Arial" pitchFamily="34" charset="0"/>
                        <a:cs typeface="Arial" pitchFamily="34" charset="0"/>
                      </a:rPr>
                      <a:t>75,0</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62-4072-839C-5566205CD1C0}"/>
                </c:ext>
              </c:extLst>
            </c:dLbl>
            <c:dLbl>
              <c:idx val="20"/>
              <c:tx>
                <c:rich>
                  <a:bodyPr/>
                  <a:lstStyle/>
                  <a:p>
                    <a:r>
                      <a:rPr lang="en-US" sz="900" b="1">
                        <a:latin typeface="Arial" pitchFamily="34" charset="0"/>
                        <a:cs typeface="Arial" pitchFamily="34" charset="0"/>
                      </a:rPr>
                      <a:t>49,0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CC-4477-822D-BAF9E91721E8}"/>
                </c:ext>
              </c:extLst>
            </c:dLbl>
            <c:txPr>
              <a:bodyPr/>
              <a:lstStyle/>
              <a:p>
                <a:pPr>
                  <a:defRPr sz="900" b="1">
                    <a:latin typeface="Arial" pitchFamily="34" charset="0"/>
                    <a:cs typeface="Arial"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Sheet1!$B$2:$W$2</c:f>
              <c:numCache>
                <c:formatCode>General</c:formatCode>
                <c:ptCount val="22"/>
                <c:pt idx="0">
                  <c:v>15.5</c:v>
                </c:pt>
                <c:pt idx="1">
                  <c:v>12.3</c:v>
                </c:pt>
                <c:pt idx="2">
                  <c:v>34</c:v>
                </c:pt>
                <c:pt idx="3">
                  <c:v>48</c:v>
                </c:pt>
                <c:pt idx="4">
                  <c:v>45.9</c:v>
                </c:pt>
                <c:pt idx="5">
                  <c:v>62.1</c:v>
                </c:pt>
                <c:pt idx="6">
                  <c:v>57.5</c:v>
                </c:pt>
                <c:pt idx="7">
                  <c:v>72.8</c:v>
                </c:pt>
                <c:pt idx="8">
                  <c:v>71.099999999999994</c:v>
                </c:pt>
                <c:pt idx="9">
                  <c:v>83.8</c:v>
                </c:pt>
                <c:pt idx="10">
                  <c:v>75</c:v>
                </c:pt>
                <c:pt idx="11">
                  <c:v>74.7</c:v>
                </c:pt>
                <c:pt idx="12">
                  <c:v>73.8</c:v>
                </c:pt>
                <c:pt idx="13">
                  <c:v>81.3</c:v>
                </c:pt>
                <c:pt idx="14">
                  <c:v>79.3</c:v>
                </c:pt>
                <c:pt idx="15">
                  <c:v>60.1</c:v>
                </c:pt>
                <c:pt idx="16">
                  <c:v>64.5</c:v>
                </c:pt>
                <c:pt idx="17" formatCode="0.0">
                  <c:v>56</c:v>
                </c:pt>
                <c:pt idx="18" formatCode="0.0">
                  <c:v>66</c:v>
                </c:pt>
                <c:pt idx="19">
                  <c:v>61.1</c:v>
                </c:pt>
                <c:pt idx="20">
                  <c:v>49</c:v>
                </c:pt>
                <c:pt idx="21">
                  <c:v>66.400000000000006</c:v>
                </c:pt>
              </c:numCache>
            </c:numRef>
          </c:val>
          <c:extLst xmlns:c16r2="http://schemas.microsoft.com/office/drawing/2015/06/chart">
            <c:ext xmlns:c16="http://schemas.microsoft.com/office/drawing/2014/chart" uri="{C3380CC4-5D6E-409C-BE32-E72D297353CC}">
              <c16:uniqueId val="{00000002-B262-4072-839C-5566205CD1C0}"/>
            </c:ext>
          </c:extLst>
        </c:ser>
        <c:ser>
          <c:idx val="1"/>
          <c:order val="1"/>
          <c:tx>
            <c:strRef>
              <c:f>Sheet1!$A$3</c:f>
              <c:strCache>
                <c:ptCount val="1"/>
                <c:pt idx="0">
                  <c:v>в/в введение наркотиков</c:v>
                </c:pt>
              </c:strCache>
            </c:strRef>
          </c:tx>
          <c:spPr>
            <a:solidFill>
              <a:srgbClr val="FF2F83"/>
            </a:solidFill>
          </c:spPr>
          <c:dLbls>
            <c:dLbl>
              <c:idx val="3"/>
              <c:layout>
                <c:manualLayout>
                  <c:x val="-2.9903414093764256E-3"/>
                  <c:y val="-2.497228718344819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62-4072-839C-5566205CD1C0}"/>
                </c:ext>
              </c:extLst>
            </c:dLbl>
            <c:dLbl>
              <c:idx val="4"/>
              <c:layout>
                <c:manualLayout>
                  <c:x val="1.9434620436110838E-2"/>
                  <c:y val="-2.8080090097257087E-3"/>
                </c:manualLayout>
              </c:layout>
              <c:tx>
                <c:rich>
                  <a:bodyPr/>
                  <a:lstStyle/>
                  <a:p>
                    <a:r>
                      <a:rPr lang="en-US" sz="900" b="1">
                        <a:latin typeface="Arial" pitchFamily="34" charset="0"/>
                        <a:cs typeface="Arial" pitchFamily="34" charset="0"/>
                      </a:rPr>
                      <a:t>50,0</a:t>
                    </a:r>
                  </a:p>
                </c:rich>
              </c:tx>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62-4072-839C-5566205CD1C0}"/>
                </c:ext>
              </c:extLst>
            </c:dLbl>
            <c:dLbl>
              <c:idx val="10"/>
              <c:layout>
                <c:manualLayout>
                  <c:x val="-3.1427036982789422E-3"/>
                  <c:y val="-1.1328284236949945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62-4072-839C-5566205CD1C0}"/>
                </c:ext>
              </c:extLst>
            </c:dLbl>
            <c:dLbl>
              <c:idx val="11"/>
              <c:layout>
                <c:manualLayout>
                  <c:x val="-3.6630924662320553E-3"/>
                  <c:y val="-2.6701566936285551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62-4072-839C-5566205CD1C0}"/>
                </c:ext>
              </c:extLst>
            </c:dLbl>
            <c:dLbl>
              <c:idx val="12"/>
              <c:layout>
                <c:manualLayout>
                  <c:x val="-3.2147601177820099E-3"/>
                  <c:y val="-6.1224227080606914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62-4072-839C-5566205CD1C0}"/>
                </c:ext>
              </c:extLst>
            </c:dLbl>
            <c:txPr>
              <a:bodyPr/>
              <a:lstStyle/>
              <a:p>
                <a:pPr>
                  <a:defRPr sz="900" b="1">
                    <a:latin typeface="Arial" pitchFamily="34" charset="0"/>
                    <a:cs typeface="Arial"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Sheet1!$B$3:$W$3</c:f>
              <c:numCache>
                <c:formatCode>General</c:formatCode>
                <c:ptCount val="22"/>
                <c:pt idx="0">
                  <c:v>77.599999999999994</c:v>
                </c:pt>
                <c:pt idx="1">
                  <c:v>80.599999999999994</c:v>
                </c:pt>
                <c:pt idx="2">
                  <c:v>60.6</c:v>
                </c:pt>
                <c:pt idx="3">
                  <c:v>46.3</c:v>
                </c:pt>
                <c:pt idx="4">
                  <c:v>50</c:v>
                </c:pt>
                <c:pt idx="5">
                  <c:v>32.300000000000004</c:v>
                </c:pt>
                <c:pt idx="6">
                  <c:v>35.6</c:v>
                </c:pt>
                <c:pt idx="7">
                  <c:v>21.3</c:v>
                </c:pt>
                <c:pt idx="8">
                  <c:v>22.1</c:v>
                </c:pt>
                <c:pt idx="9">
                  <c:v>14.7</c:v>
                </c:pt>
                <c:pt idx="10">
                  <c:v>22.6</c:v>
                </c:pt>
                <c:pt idx="11">
                  <c:v>20.7</c:v>
                </c:pt>
                <c:pt idx="12">
                  <c:v>22.5</c:v>
                </c:pt>
                <c:pt idx="13">
                  <c:v>17.600000000000001</c:v>
                </c:pt>
                <c:pt idx="14">
                  <c:v>18.2</c:v>
                </c:pt>
                <c:pt idx="15">
                  <c:v>39.1</c:v>
                </c:pt>
                <c:pt idx="16">
                  <c:v>34.5</c:v>
                </c:pt>
                <c:pt idx="17">
                  <c:v>42.9</c:v>
                </c:pt>
                <c:pt idx="18">
                  <c:v>33.300000000000004</c:v>
                </c:pt>
                <c:pt idx="19">
                  <c:v>37.9</c:v>
                </c:pt>
                <c:pt idx="20">
                  <c:v>49.8</c:v>
                </c:pt>
                <c:pt idx="21">
                  <c:v>33.6</c:v>
                </c:pt>
              </c:numCache>
            </c:numRef>
          </c:val>
          <c:extLst xmlns:c16r2="http://schemas.microsoft.com/office/drawing/2015/06/chart">
            <c:ext xmlns:c16="http://schemas.microsoft.com/office/drawing/2014/chart" uri="{C3380CC4-5D6E-409C-BE32-E72D297353CC}">
              <c16:uniqueId val="{00000008-B262-4072-839C-5566205CD1C0}"/>
            </c:ext>
          </c:extLst>
        </c:ser>
        <c:gapWidth val="53"/>
        <c:overlap val="-3"/>
        <c:axId val="228705792"/>
        <c:axId val="228707328"/>
      </c:barChart>
      <c:catAx>
        <c:axId val="228705792"/>
        <c:scaling>
          <c:orientation val="minMax"/>
        </c:scaling>
        <c:axPos val="l"/>
        <c:numFmt formatCode="General" sourceLinked="1"/>
        <c:tickLblPos val="nextTo"/>
        <c:txPr>
          <a:bodyPr rot="0" vert="horz"/>
          <a:lstStyle/>
          <a:p>
            <a:pPr>
              <a:defRPr sz="900" b="1">
                <a:latin typeface="Arial" pitchFamily="34" charset="0"/>
                <a:cs typeface="Arial" pitchFamily="34" charset="0"/>
              </a:defRPr>
            </a:pPr>
            <a:endParaRPr lang="ru-RU"/>
          </a:p>
        </c:txPr>
        <c:crossAx val="228707328"/>
        <c:crosses val="autoZero"/>
        <c:auto val="1"/>
        <c:lblAlgn val="ctr"/>
        <c:lblOffset val="100"/>
        <c:tickLblSkip val="1"/>
        <c:tickMarkSkip val="1"/>
      </c:catAx>
      <c:valAx>
        <c:axId val="228707328"/>
        <c:scaling>
          <c:orientation val="minMax"/>
        </c:scaling>
        <c:axPos val="b"/>
        <c:majorGridlines/>
        <c:numFmt formatCode="General" sourceLinked="1"/>
        <c:tickLblPos val="nextTo"/>
        <c:txPr>
          <a:bodyPr/>
          <a:lstStyle/>
          <a:p>
            <a:pPr>
              <a:defRPr sz="900" b="1">
                <a:latin typeface="Arial" pitchFamily="34" charset="0"/>
                <a:cs typeface="Arial" pitchFamily="34" charset="0"/>
              </a:defRPr>
            </a:pPr>
            <a:endParaRPr lang="ru-RU"/>
          </a:p>
        </c:txPr>
        <c:crossAx val="228705792"/>
        <c:crosses val="autoZero"/>
        <c:crossBetween val="between"/>
      </c:valAx>
    </c:plotArea>
    <c:legend>
      <c:legendPos val="b"/>
      <c:layout>
        <c:manualLayout>
          <c:xMode val="edge"/>
          <c:yMode val="edge"/>
          <c:x val="0.17727272727272728"/>
          <c:y val="0.96912370286139304"/>
          <c:w val="0.64318181818183529"/>
          <c:h val="3.0876297138607012E-2"/>
        </c:manualLayout>
      </c:layout>
      <c:txPr>
        <a:bodyPr/>
        <a:lstStyle/>
        <a:p>
          <a:pPr>
            <a:defRPr sz="900" b="0">
              <a:latin typeface="Arial" pitchFamily="34" charset="0"/>
              <a:cs typeface="Arial" pitchFamily="34" charset="0"/>
            </a:defRPr>
          </a:pPr>
          <a:endParaRPr lang="ru-RU"/>
        </a:p>
      </c:txPr>
    </c:legend>
    <c:plotVisOnly val="1"/>
    <c:dispBlanksAs val="gap"/>
  </c:chart>
  <c:spPr>
    <a:ln>
      <a:no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10"/>
      <c:perspective val="20"/>
    </c:view3D>
    <c:plotArea>
      <c:layout>
        <c:manualLayout>
          <c:layoutTarget val="inner"/>
          <c:xMode val="edge"/>
          <c:yMode val="edge"/>
          <c:x val="4.9574222818272333E-2"/>
          <c:y val="0.16847166130161215"/>
          <c:w val="0.63318618186468656"/>
          <c:h val="0.72037043840835191"/>
        </c:manualLayout>
      </c:layout>
      <c:pie3DChart>
        <c:varyColors val="1"/>
        <c:ser>
          <c:idx val="0"/>
          <c:order val="0"/>
          <c:tx>
            <c:strRef>
              <c:f>Лист1!$B$1</c:f>
              <c:strCache>
                <c:ptCount val="1"/>
                <c:pt idx="0">
                  <c:v>%</c:v>
                </c:pt>
              </c:strCache>
            </c:strRef>
          </c:tx>
          <c:explosion val="25"/>
          <c:dPt>
            <c:idx val="0"/>
            <c:spPr>
              <a:solidFill>
                <a:srgbClr val="FF0000"/>
              </a:solidFill>
            </c:spPr>
          </c:dPt>
          <c:dPt>
            <c:idx val="1"/>
            <c:spPr>
              <a:solidFill>
                <a:srgbClr val="FFFF00"/>
              </a:solidFill>
            </c:spPr>
          </c:dPt>
          <c:dLbls>
            <c:dLbl>
              <c:idx val="0"/>
              <c:layout>
                <c:manualLayout>
                  <c:x val="3.2671479910716471E-2"/>
                  <c:y val="5.901349692820667E-2"/>
                </c:manualLayout>
              </c:layout>
              <c:showPercent val="1"/>
            </c:dLbl>
            <c:dLbl>
              <c:idx val="1"/>
              <c:layout>
                <c:manualLayout>
                  <c:x val="-3.096498096419853E-2"/>
                  <c:y val="-7.5442369705482515E-2"/>
                </c:manualLayout>
              </c:layout>
              <c:showPercent val="1"/>
            </c:dLbl>
            <c:dLbl>
              <c:idx val="2"/>
              <c:layout>
                <c:manualLayout>
                  <c:x val="-4.5552986655107194E-2"/>
                  <c:y val="-6.8748935137991823E-2"/>
                </c:manualLayout>
              </c:layout>
              <c:showPercent val="1"/>
            </c:dLbl>
            <c:dLbl>
              <c:idx val="3"/>
              <c:layout>
                <c:manualLayout>
                  <c:x val="2.9769807133320992E-2"/>
                  <c:y val="-7.3047986755902334E-3"/>
                </c:manualLayout>
              </c:layout>
              <c:showPercent val="1"/>
            </c:dLbl>
            <c:txPr>
              <a:bodyPr/>
              <a:lstStyle/>
              <a:p>
                <a:pPr>
                  <a:defRPr sz="900" b="1" i="0" baseline="0">
                    <a:latin typeface="Arial" pitchFamily="34" charset="0"/>
                  </a:defRPr>
                </a:pPr>
                <a:endParaRPr lang="ru-RU"/>
              </a:p>
            </c:txPr>
            <c:showPercent val="1"/>
            <c:showLeaderLines val="1"/>
          </c:dLbls>
          <c:cat>
            <c:strRef>
              <c:f>Лист1!$A$2:$A$3</c:f>
              <c:strCache>
                <c:ptCount val="2"/>
                <c:pt idx="0">
                  <c:v>аскаридоз</c:v>
                </c:pt>
                <c:pt idx="1">
                  <c:v>энтеробиоз</c:v>
                </c:pt>
              </c:strCache>
            </c:strRef>
          </c:cat>
          <c:val>
            <c:numRef>
              <c:f>Лист1!$B$2:$B$3</c:f>
              <c:numCache>
                <c:formatCode>General</c:formatCode>
                <c:ptCount val="2"/>
                <c:pt idx="0">
                  <c:v>163</c:v>
                </c:pt>
                <c:pt idx="1">
                  <c:v>416</c:v>
                </c:pt>
              </c:numCache>
            </c:numRef>
          </c:val>
        </c:ser>
      </c:pie3DChart>
    </c:plotArea>
    <c:legend>
      <c:legendPos val="r"/>
      <c:layout>
        <c:manualLayout>
          <c:xMode val="edge"/>
          <c:yMode val="edge"/>
          <c:x val="0.75795022660017253"/>
          <c:y val="0.30068610521536537"/>
          <c:w val="0.22091010964349744"/>
          <c:h val="0.41456609944993167"/>
        </c:manualLayout>
      </c:layout>
      <c:spPr>
        <a:ln>
          <a:noFill/>
        </a:ln>
      </c:spPr>
      <c:txPr>
        <a:bodyPr/>
        <a:lstStyle/>
        <a:p>
          <a:pPr>
            <a:defRPr sz="900" b="0" i="0" baseline="0">
              <a:latin typeface="Arial" pitchFamily="34" charset="0"/>
              <a:cs typeface="Arial" pitchFamily="34" charset="0"/>
            </a:defRPr>
          </a:pPr>
          <a:endParaRPr lang="ru-RU"/>
        </a:p>
      </c:txPr>
    </c:legend>
    <c:plotVisOnly val="1"/>
    <c:dispBlanksAs val="zero"/>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7724732895849534E-2"/>
          <c:y val="1.8717490999699396E-2"/>
          <c:w val="0.92657299588889996"/>
          <c:h val="0.74803432295087979"/>
        </c:manualLayout>
      </c:layout>
      <c:barChart>
        <c:barDir val="col"/>
        <c:grouping val="clustered"/>
        <c:ser>
          <c:idx val="0"/>
          <c:order val="0"/>
          <c:tx>
            <c:strRef>
              <c:f>Лист1!$B$1</c:f>
              <c:strCache>
                <c:ptCount val="1"/>
                <c:pt idx="0">
                  <c:v>Брянская область</c:v>
                </c:pt>
              </c:strCache>
            </c:strRef>
          </c:tx>
          <c:spPr>
            <a:solidFill>
              <a:srgbClr val="879FED"/>
            </a:solidFill>
          </c:spPr>
          <c:dLbls>
            <c:dLbl>
              <c:idx val="0"/>
              <c:tx>
                <c:rich>
                  <a:bodyPr/>
                  <a:lstStyle/>
                  <a:p>
                    <a:r>
                      <a:rPr lang="en-US"/>
                      <a:t>12</a:t>
                    </a:r>
                    <a:r>
                      <a:rPr lang="ru-RU"/>
                      <a:t>,0</a:t>
                    </a:r>
                    <a:endParaRPr lang="en-US"/>
                  </a:p>
                </c:rich>
              </c:tx>
              <c:showVal val="1"/>
            </c:dLbl>
            <c:dLbl>
              <c:idx val="1"/>
              <c:layout>
                <c:manualLayout>
                  <c:x val="-6.6216890034253824E-3"/>
                  <c:y val="3.286210285372548E-3"/>
                </c:manualLayout>
              </c:layout>
              <c:showVal val="1"/>
            </c:dLbl>
            <c:dLbl>
              <c:idx val="2"/>
              <c:layout>
                <c:manualLayout>
                  <c:x val="-2.2072296678085526E-3"/>
                  <c:y val="6.5724205707448904E-3"/>
                </c:manualLayout>
              </c:layout>
              <c:showVal val="1"/>
            </c:dLbl>
            <c:dLbl>
              <c:idx val="3"/>
              <c:layout>
                <c:manualLayout>
                  <c:x val="-8.8289186712338184E-3"/>
                  <c:y val="6.5724205707448904E-3"/>
                </c:manualLayout>
              </c:layout>
              <c:showVal val="1"/>
            </c:dLbl>
            <c:dLbl>
              <c:idx val="5"/>
              <c:layout>
                <c:manualLayout>
                  <c:x val="0"/>
                  <c:y val="-3.2862102853725261E-2"/>
                </c:manualLayout>
              </c:layout>
              <c:showVal val="1"/>
            </c:dLbl>
            <c:dLbl>
              <c:idx val="6"/>
              <c:layout>
                <c:manualLayout>
                  <c:x val="-2.2072296678085526E-3"/>
                  <c:y val="-1.3144841141489763E-2"/>
                </c:manualLayout>
              </c:layout>
              <c:showVal val="1"/>
            </c:dLbl>
            <c:dLbl>
              <c:idx val="7"/>
              <c:layout>
                <c:manualLayout>
                  <c:x val="-6.6216890034253824E-3"/>
                  <c:y val="-2.3003471997606988E-2"/>
                </c:manualLayout>
              </c:layout>
              <c:showVal val="1"/>
            </c:dLbl>
            <c:dLbl>
              <c:idx val="8"/>
              <c:layout>
                <c:manualLayout>
                  <c:x val="-8.8289186712338184E-3"/>
                  <c:y val="-6.5724205707448514E-3"/>
                </c:manualLayout>
              </c:layout>
              <c:showVal val="1"/>
            </c:dLbl>
            <c:dLbl>
              <c:idx val="13"/>
              <c:layout>
                <c:manualLayout>
                  <c:x val="-1.10361483390423E-2"/>
                  <c:y val="6.5724205707449234E-3"/>
                </c:manualLayout>
              </c:layout>
              <c:tx>
                <c:rich>
                  <a:bodyPr/>
                  <a:lstStyle/>
                  <a:p>
                    <a:r>
                      <a:rPr lang="en-US"/>
                      <a:t>4</a:t>
                    </a:r>
                    <a:r>
                      <a:rPr lang="ru-RU"/>
                      <a:t>,0</a:t>
                    </a:r>
                    <a:endParaRPr lang="en-US"/>
                  </a:p>
                </c:rich>
              </c:tx>
              <c:showVal val="1"/>
            </c:dLbl>
            <c:dLbl>
              <c:idx val="14"/>
              <c:layout>
                <c:manualLayout>
                  <c:x val="-1.10361483390423E-2"/>
                  <c:y val="6.5724205707448904E-3"/>
                </c:manualLayout>
              </c:layout>
              <c:showVal val="1"/>
            </c:dLbl>
            <c:dLbl>
              <c:idx val="15"/>
              <c:layout>
                <c:manualLayout>
                  <c:x val="-2.2064075116535672E-3"/>
                  <c:y val="1.1193063003724616E-2"/>
                </c:manualLayout>
              </c:layout>
              <c:showVal val="1"/>
            </c:dLbl>
            <c:spPr>
              <a:solidFill>
                <a:schemeClr val="bg1">
                  <a:lumMod val="85000"/>
                </a:schemeClr>
              </a:solidFill>
            </c:spPr>
            <c:txPr>
              <a:bodyPr/>
              <a:lstStyle/>
              <a:p>
                <a:pPr>
                  <a:defRPr sz="800" b="1" i="0" baseline="0">
                    <a:latin typeface="Arial" pitchFamily="34" charset="0"/>
                  </a:defRPr>
                </a:pPr>
                <a:endParaRPr lang="ru-RU"/>
              </a:p>
            </c:txPr>
            <c:showVal val="1"/>
          </c:dLbls>
          <c:trendline>
            <c:spPr>
              <a:ln w="25400" cmpd="thinThick">
                <a:solidFill>
                  <a:schemeClr val="bg1">
                    <a:lumMod val="50000"/>
                  </a:schemeClr>
                </a:solidFill>
                <a:prstDash val="solid"/>
                <a:round/>
              </a:ln>
            </c:spPr>
            <c:trendlineType val="linear"/>
          </c:trendline>
          <c:cat>
            <c:numRef>
              <c:f>Лист1!$A$2:$A$17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Лист1!$B$2:$B$17</c:f>
              <c:numCache>
                <c:formatCode>General</c:formatCode>
                <c:ptCount val="16"/>
                <c:pt idx="0">
                  <c:v>12</c:v>
                </c:pt>
                <c:pt idx="1">
                  <c:v>7.8</c:v>
                </c:pt>
                <c:pt idx="2">
                  <c:v>8.7000000000000011</c:v>
                </c:pt>
                <c:pt idx="3">
                  <c:v>7.6</c:v>
                </c:pt>
                <c:pt idx="4">
                  <c:v>7.4</c:v>
                </c:pt>
                <c:pt idx="5">
                  <c:v>7.7</c:v>
                </c:pt>
                <c:pt idx="6">
                  <c:v>9.2000000000000011</c:v>
                </c:pt>
                <c:pt idx="7">
                  <c:v>8.9</c:v>
                </c:pt>
                <c:pt idx="8">
                  <c:v>8.9</c:v>
                </c:pt>
                <c:pt idx="9">
                  <c:v>9.2000000000000011</c:v>
                </c:pt>
                <c:pt idx="10">
                  <c:v>7.9</c:v>
                </c:pt>
                <c:pt idx="11">
                  <c:v>7.6</c:v>
                </c:pt>
                <c:pt idx="12">
                  <c:v>8.2000000000000011</c:v>
                </c:pt>
                <c:pt idx="13">
                  <c:v>4</c:v>
                </c:pt>
                <c:pt idx="14">
                  <c:v>3.6</c:v>
                </c:pt>
                <c:pt idx="15">
                  <c:v>4.4000000000000004</c:v>
                </c:pt>
              </c:numCache>
            </c:numRef>
          </c:val>
        </c:ser>
        <c:ser>
          <c:idx val="1"/>
          <c:order val="1"/>
          <c:tx>
            <c:strRef>
              <c:f>Лист1!$C$1</c:f>
              <c:strCache>
                <c:ptCount val="1"/>
                <c:pt idx="0">
                  <c:v>Российская Федерация</c:v>
                </c:pt>
              </c:strCache>
            </c:strRef>
          </c:tx>
          <c:spPr>
            <a:solidFill>
              <a:srgbClr val="DC4F4C"/>
            </a:solidFill>
          </c:spPr>
          <c:dLbls>
            <c:dLbl>
              <c:idx val="0"/>
              <c:layout>
                <c:manualLayout>
                  <c:x val="4.4144593356169283E-3"/>
                  <c:y val="3.286210285372548E-3"/>
                </c:manualLayout>
              </c:layout>
              <c:tx>
                <c:rich>
                  <a:bodyPr/>
                  <a:lstStyle/>
                  <a:p>
                    <a:r>
                      <a:rPr lang="en-US"/>
                      <a:t>11</a:t>
                    </a:r>
                    <a:r>
                      <a:rPr lang="ru-RU"/>
                      <a:t>,0</a:t>
                    </a:r>
                    <a:endParaRPr lang="en-US"/>
                  </a:p>
                </c:rich>
              </c:tx>
              <c:showVal val="1"/>
            </c:dLbl>
            <c:dLbl>
              <c:idx val="2"/>
              <c:layout>
                <c:manualLayout>
                  <c:x val="-2.2072296678085526E-3"/>
                  <c:y val="-1.3144841141489701E-2"/>
                </c:manualLayout>
              </c:layout>
              <c:showVal val="1"/>
            </c:dLbl>
            <c:dLbl>
              <c:idx val="3"/>
              <c:layout>
                <c:manualLayout>
                  <c:x val="0"/>
                  <c:y val="-9.8586308561177498E-3"/>
                </c:manualLayout>
              </c:layout>
              <c:showVal val="1"/>
            </c:dLbl>
            <c:dLbl>
              <c:idx val="4"/>
              <c:layout>
                <c:manualLayout>
                  <c:x val="-2.2072296678085526E-3"/>
                  <c:y val="-3.286210285372548E-3"/>
                </c:manualLayout>
              </c:layout>
              <c:showVal val="1"/>
            </c:dLbl>
            <c:dLbl>
              <c:idx val="5"/>
              <c:layout>
                <c:manualLayout>
                  <c:x val="6.6216890034253824E-3"/>
                  <c:y val="6.5724205707448904E-3"/>
                </c:manualLayout>
              </c:layout>
              <c:showVal val="1"/>
            </c:dLbl>
            <c:dLbl>
              <c:idx val="6"/>
              <c:layout>
                <c:manualLayout>
                  <c:x val="4.4144593356169179E-3"/>
                  <c:y val="6.5724205707448904E-3"/>
                </c:manualLayout>
              </c:layout>
              <c:showVal val="1"/>
            </c:dLbl>
            <c:dLbl>
              <c:idx val="7"/>
              <c:layout>
                <c:manualLayout>
                  <c:x val="0"/>
                  <c:y val="6.5724205707448904E-3"/>
                </c:manualLayout>
              </c:layout>
              <c:showVal val="1"/>
            </c:dLbl>
            <c:dLbl>
              <c:idx val="8"/>
              <c:layout>
                <c:manualLayout>
                  <c:x val="6.6216890034254579E-3"/>
                  <c:y val="1.3144841141489763E-2"/>
                </c:manualLayout>
              </c:layout>
              <c:showVal val="1"/>
            </c:dLbl>
            <c:dLbl>
              <c:idx val="10"/>
              <c:layout>
                <c:manualLayout>
                  <c:x val="4.4144593356169179E-3"/>
                  <c:y val="1.3144841141489763E-2"/>
                </c:manualLayout>
              </c:layout>
              <c:showVal val="1"/>
            </c:dLbl>
            <c:dLbl>
              <c:idx val="11"/>
              <c:layout>
                <c:manualLayout>
                  <c:x val="8.8289186712338184E-3"/>
                  <c:y val="3.286210285372548E-3"/>
                </c:manualLayout>
              </c:layout>
              <c:tx>
                <c:rich>
                  <a:bodyPr/>
                  <a:lstStyle/>
                  <a:p>
                    <a:r>
                      <a:rPr lang="en-US"/>
                      <a:t>6</a:t>
                    </a:r>
                    <a:r>
                      <a:rPr lang="ru-RU"/>
                      <a:t>,0</a:t>
                    </a:r>
                    <a:endParaRPr lang="en-US"/>
                  </a:p>
                </c:rich>
              </c:tx>
              <c:showVal val="1"/>
            </c:dLbl>
            <c:dLbl>
              <c:idx val="12"/>
              <c:layout>
                <c:manualLayout>
                  <c:x val="1.10361483390423E-2"/>
                  <c:y val="3.2862102853726022E-3"/>
                </c:manualLayout>
              </c:layout>
              <c:showVal val="1"/>
            </c:dLbl>
            <c:dLbl>
              <c:idx val="13"/>
              <c:layout>
                <c:manualLayout>
                  <c:x val="6.6216890034253824E-3"/>
                  <c:y val="3.286210285372548E-3"/>
                </c:manualLayout>
              </c:layout>
              <c:showVal val="1"/>
            </c:dLbl>
            <c:dLbl>
              <c:idx val="15"/>
              <c:layout>
                <c:manualLayout>
                  <c:x val="1.5444852581574966E-2"/>
                  <c:y val="0"/>
                </c:manualLayout>
              </c:layout>
              <c:showVal val="1"/>
            </c:dLbl>
            <c:spPr>
              <a:solidFill>
                <a:sysClr val="window" lastClr="FFFFFF">
                  <a:lumMod val="85000"/>
                </a:sysClr>
              </a:solidFill>
            </c:spPr>
            <c:txPr>
              <a:bodyPr/>
              <a:lstStyle/>
              <a:p>
                <a:pPr>
                  <a:defRPr sz="800" b="1" i="0" baseline="0">
                    <a:latin typeface="Arial" pitchFamily="34" charset="0"/>
                  </a:defRPr>
                </a:pPr>
                <a:endParaRPr lang="ru-RU"/>
              </a:p>
            </c:txPr>
            <c:showVal val="1"/>
          </c:dLbls>
          <c:cat>
            <c:numRef>
              <c:f>Лист1!$A$2:$A$17</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Лист1!$C$2:$C$17</c:f>
              <c:numCache>
                <c:formatCode>General</c:formatCode>
                <c:ptCount val="16"/>
                <c:pt idx="0">
                  <c:v>11</c:v>
                </c:pt>
                <c:pt idx="1">
                  <c:v>10.200000000000001</c:v>
                </c:pt>
                <c:pt idx="2">
                  <c:v>9.4</c:v>
                </c:pt>
                <c:pt idx="3">
                  <c:v>8.5</c:v>
                </c:pt>
                <c:pt idx="4">
                  <c:v>8.1</c:v>
                </c:pt>
                <c:pt idx="5">
                  <c:v>7.5</c:v>
                </c:pt>
                <c:pt idx="6">
                  <c:v>7.3</c:v>
                </c:pt>
                <c:pt idx="7">
                  <c:v>8.6</c:v>
                </c:pt>
                <c:pt idx="8">
                  <c:v>8.2000000000000011</c:v>
                </c:pt>
                <c:pt idx="9">
                  <c:v>7.4</c:v>
                </c:pt>
                <c:pt idx="10">
                  <c:v>6.5</c:v>
                </c:pt>
                <c:pt idx="11">
                  <c:v>6</c:v>
                </c:pt>
                <c:pt idx="12">
                  <c:v>5.5</c:v>
                </c:pt>
                <c:pt idx="13">
                  <c:v>5.0999999999999996</c:v>
                </c:pt>
                <c:pt idx="14">
                  <c:v>4.9000000000000004</c:v>
                </c:pt>
                <c:pt idx="15">
                  <c:v>4.9000000000000004</c:v>
                </c:pt>
              </c:numCache>
            </c:numRef>
          </c:val>
        </c:ser>
        <c:dLbls>
          <c:showVal val="1"/>
        </c:dLbls>
        <c:axId val="141916416"/>
        <c:axId val="141942784"/>
      </c:barChart>
      <c:catAx>
        <c:axId val="141916416"/>
        <c:scaling>
          <c:orientation val="minMax"/>
        </c:scaling>
        <c:axPos val="b"/>
        <c:numFmt formatCode="General" sourceLinked="1"/>
        <c:tickLblPos val="low"/>
        <c:txPr>
          <a:bodyPr rot="0" vert="horz" anchor="ctr" anchorCtr="0"/>
          <a:lstStyle/>
          <a:p>
            <a:pPr>
              <a:defRPr sz="900" b="1" i="0" baseline="0">
                <a:latin typeface="Arial" pitchFamily="34" charset="0"/>
              </a:defRPr>
            </a:pPr>
            <a:endParaRPr lang="ru-RU"/>
          </a:p>
        </c:txPr>
        <c:crossAx val="141942784"/>
        <c:crosses val="autoZero"/>
        <c:auto val="1"/>
        <c:lblAlgn val="ctr"/>
        <c:lblOffset val="100"/>
      </c:catAx>
      <c:valAx>
        <c:axId val="141942784"/>
        <c:scaling>
          <c:orientation val="minMax"/>
        </c:scaling>
        <c:axPos val="l"/>
        <c:majorGridlines>
          <c:spPr>
            <a:ln>
              <a:solidFill>
                <a:schemeClr val="bg1">
                  <a:lumMod val="65000"/>
                </a:schemeClr>
              </a:solidFill>
            </a:ln>
          </c:spPr>
        </c:majorGridlines>
        <c:numFmt formatCode="General" sourceLinked="1"/>
        <c:tickLblPos val="nextTo"/>
        <c:txPr>
          <a:bodyPr/>
          <a:lstStyle/>
          <a:p>
            <a:pPr>
              <a:defRPr sz="900" b="1" i="0" baseline="0">
                <a:latin typeface="Arial" pitchFamily="34" charset="0"/>
              </a:defRPr>
            </a:pPr>
            <a:endParaRPr lang="ru-RU"/>
          </a:p>
        </c:txPr>
        <c:crossAx val="141916416"/>
        <c:crosses val="autoZero"/>
        <c:crossBetween val="between"/>
      </c:valAx>
    </c:plotArea>
    <c:legend>
      <c:legendPos val="b"/>
      <c:txPr>
        <a:bodyPr/>
        <a:lstStyle/>
        <a:p>
          <a:pPr>
            <a:defRPr sz="900" baseline="0">
              <a:latin typeface="Arial" pitchFamily="34" charset="0"/>
            </a:defRPr>
          </a:pPr>
          <a:endParaRPr lang="ru-RU"/>
        </a:p>
      </c:txPr>
    </c:legend>
    <c:plotVisOnly val="1"/>
  </c:chart>
  <c:spPr>
    <a:ln>
      <a:noFill/>
    </a:ln>
  </c:sp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8152938435525E-2"/>
          <c:y val="3.5535226146524282E-2"/>
          <c:w val="0.8674928872986426"/>
          <c:h val="0.82900979985152579"/>
        </c:manualLayout>
      </c:layout>
      <c:barChart>
        <c:barDir val="col"/>
        <c:grouping val="clustered"/>
        <c:ser>
          <c:idx val="0"/>
          <c:order val="0"/>
          <c:tx>
            <c:strRef>
              <c:f>Sheet1!$A$2:$D$2</c:f>
              <c:strCache>
                <c:ptCount val="1"/>
                <c:pt idx="0">
                  <c:v>на 100 тыс. нас.</c:v>
                </c:pt>
              </c:strCache>
            </c:strRef>
          </c:tx>
          <c:dLbls>
            <c:dLbl>
              <c:idx val="0"/>
              <c:layout>
                <c:manualLayout>
                  <c:x val="-1.7861786921744018E-7"/>
                  <c:y val="1.4386533298594201E-2"/>
                </c:manualLayout>
              </c:layout>
              <c:tx>
                <c:rich>
                  <a:bodyPr/>
                  <a:lstStyle/>
                  <a:p>
                    <a:r>
                      <a:rPr lang="ru-RU" sz="899" b="1" i="0" baseline="0">
                        <a:latin typeface="Arial" pitchFamily="34" charset="0"/>
                      </a:rPr>
                      <a:t>188,0</a:t>
                    </a:r>
                  </a:p>
                </c:rich>
              </c:tx>
            </c:dLbl>
            <c:dLbl>
              <c:idx val="1"/>
              <c:layout>
                <c:manualLayout>
                  <c:x val="4.5367179157734527E-3"/>
                  <c:y val="-3.4875496091957808E-2"/>
                </c:manualLayout>
              </c:layout>
              <c:dLblPos val="outEnd"/>
              <c:showVal val="1"/>
            </c:dLbl>
            <c:dLbl>
              <c:idx val="2"/>
              <c:layout>
                <c:manualLayout>
                  <c:x val="1.25416489421733E-2"/>
                  <c:y val="-2.9648862563239897E-2"/>
                </c:manualLayout>
              </c:layout>
              <c:dLblPos val="outEnd"/>
              <c:showVal val="1"/>
            </c:dLbl>
            <c:dLbl>
              <c:idx val="3"/>
              <c:layout>
                <c:manualLayout>
                  <c:x val="1.6011077446631303E-2"/>
                  <c:y val="1.6273667881221848E-2"/>
                </c:manualLayout>
              </c:layout>
              <c:dLblPos val="outEnd"/>
              <c:showVal val="1"/>
            </c:dLbl>
            <c:dLbl>
              <c:idx val="4"/>
              <c:layout>
                <c:manualLayout>
                  <c:x val="2.298097505351785E-3"/>
                  <c:y val="-4.3695790900612104E-3"/>
                </c:manualLayout>
              </c:layout>
              <c:tx>
                <c:rich>
                  <a:bodyPr/>
                  <a:lstStyle/>
                  <a:p>
                    <a:r>
                      <a:rPr lang="ru-RU" sz="899" b="1" i="0" baseline="0">
                        <a:latin typeface="Arial" pitchFamily="34" charset="0"/>
                      </a:rPr>
                      <a:t>132,1</a:t>
                    </a:r>
                    <a:endParaRPr lang="en-US" sz="900" b="1" i="0" baseline="0">
                      <a:latin typeface="Arial" pitchFamily="34" charset="0"/>
                    </a:endParaRPr>
                  </a:p>
                </c:rich>
              </c:tx>
              <c:dLblPos val="outEnd"/>
            </c:dLbl>
            <c:dLbl>
              <c:idx val="5"/>
              <c:layout>
                <c:manualLayout>
                  <c:x val="1.8665497573553031E-2"/>
                  <c:y val="-6.4433421321722542E-2"/>
                </c:manualLayout>
              </c:layout>
              <c:showVal val="1"/>
            </c:dLbl>
            <c:dLbl>
              <c:idx val="6"/>
              <c:layout>
                <c:manualLayout>
                  <c:x val="1.1347784944743007E-2"/>
                  <c:y val="-4.2305199681513542E-2"/>
                </c:manualLayout>
              </c:layout>
              <c:showVal val="1"/>
            </c:dLbl>
            <c:dLbl>
              <c:idx val="7"/>
              <c:layout>
                <c:manualLayout>
                  <c:x val="-2.3662548948404647E-3"/>
                  <c:y val="1.3651476025535843E-2"/>
                </c:manualLayout>
              </c:layout>
              <c:showVal val="1"/>
            </c:dLbl>
            <c:dLbl>
              <c:idx val="10"/>
              <c:layout>
                <c:manualLayout>
                  <c:x val="8.8202866593164956E-3"/>
                  <c:y val="-5.2258105664243727E-3"/>
                </c:manualLayout>
              </c:layout>
              <c:showVal val="1"/>
            </c:dLbl>
            <c:dLbl>
              <c:idx val="11"/>
              <c:layout>
                <c:manualLayout>
                  <c:x val="1.5435501653803804E-2"/>
                  <c:y val="-4.1806484531395134E-2"/>
                </c:manualLayout>
              </c:layout>
              <c:showVal val="1"/>
            </c:dLbl>
            <c:dLbl>
              <c:idx val="12"/>
              <c:layout>
                <c:manualLayout>
                  <c:x val="1.5435501653803804E-2"/>
                  <c:y val="5.2258105664243727E-3"/>
                </c:manualLayout>
              </c:layout>
              <c:showVal val="1"/>
            </c:dLbl>
            <c:txPr>
              <a:bodyPr/>
              <a:lstStyle/>
              <a:p>
                <a:pPr>
                  <a:defRPr sz="899" b="1" i="0" baseline="0">
                    <a:latin typeface="Arial" pitchFamily="34" charset="0"/>
                  </a:defRPr>
                </a:pPr>
                <a:endParaRPr lang="ru-RU"/>
              </a:p>
            </c:txPr>
            <c:showVal val="1"/>
          </c:dLbls>
          <c:trendline>
            <c:trendlineType val="linear"/>
          </c:trendline>
          <c:trendline>
            <c:spPr>
              <a:ln>
                <a:solidFill>
                  <a:schemeClr val="bg1">
                    <a:lumMod val="65000"/>
                  </a:schemeClr>
                </a:solidFill>
              </a:ln>
            </c:spPr>
            <c:trendlineType val="linear"/>
          </c:trendline>
          <c:trendline>
            <c:spPr>
              <a:ln w="25371" cmpd="sng">
                <a:solidFill>
                  <a:schemeClr val="bg1">
                    <a:lumMod val="50000"/>
                  </a:schemeClr>
                </a:solidFill>
              </a:ln>
            </c:spPr>
            <c:trendlineType val="linear"/>
          </c:trendline>
          <c:trendline>
            <c:spPr>
              <a:ln w="34885">
                <a:solidFill>
                  <a:schemeClr val="bg1">
                    <a:lumMod val="50000"/>
                  </a:schemeClr>
                </a:solidFill>
              </a:ln>
            </c:spPr>
            <c:trendlineType val="linear"/>
          </c:trendline>
          <c:trendline>
            <c:spPr>
              <a:ln>
                <a:solidFill>
                  <a:sysClr val="window" lastClr="FFFFFF">
                    <a:lumMod val="65000"/>
                  </a:sysClr>
                </a:solidFill>
              </a:ln>
            </c:spPr>
            <c:trendlineType val="linear"/>
          </c:trendline>
          <c:cat>
            <c:numRef>
              <c:f>Sheet1!$E$1:$Q$1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Sheet1!$E$2:$Q$2</c:f>
              <c:numCache>
                <c:formatCode>General</c:formatCode>
                <c:ptCount val="13"/>
                <c:pt idx="0">
                  <c:v>190.1</c:v>
                </c:pt>
                <c:pt idx="1">
                  <c:v>151.30000000000001</c:v>
                </c:pt>
                <c:pt idx="2">
                  <c:v>139.9</c:v>
                </c:pt>
                <c:pt idx="3">
                  <c:v>148.69999999999999</c:v>
                </c:pt>
                <c:pt idx="4">
                  <c:v>132.1</c:v>
                </c:pt>
                <c:pt idx="5">
                  <c:v>99.29</c:v>
                </c:pt>
                <c:pt idx="6">
                  <c:v>91.1</c:v>
                </c:pt>
                <c:pt idx="7">
                  <c:v>99.78</c:v>
                </c:pt>
                <c:pt idx="8">
                  <c:v>85.460000000000022</c:v>
                </c:pt>
                <c:pt idx="9">
                  <c:v>76.69</c:v>
                </c:pt>
                <c:pt idx="10">
                  <c:v>77.179999999999978</c:v>
                </c:pt>
                <c:pt idx="11">
                  <c:v>37.03</c:v>
                </c:pt>
                <c:pt idx="12">
                  <c:v>34.75</c:v>
                </c:pt>
              </c:numCache>
            </c:numRef>
          </c:val>
        </c:ser>
        <c:dLbls>
          <c:showVal val="1"/>
        </c:dLbls>
        <c:gapWidth val="190"/>
        <c:axId val="229986304"/>
        <c:axId val="229987840"/>
      </c:barChart>
      <c:catAx>
        <c:axId val="229986304"/>
        <c:scaling>
          <c:orientation val="minMax"/>
        </c:scaling>
        <c:axPos val="b"/>
        <c:numFmt formatCode="General" sourceLinked="1"/>
        <c:majorTickMark val="none"/>
        <c:tickLblPos val="nextTo"/>
        <c:spPr>
          <a:ln>
            <a:solidFill>
              <a:schemeClr val="tx1"/>
            </a:solidFill>
          </a:ln>
        </c:spPr>
        <c:txPr>
          <a:bodyPr rot="0" vert="horz"/>
          <a:lstStyle/>
          <a:p>
            <a:pPr>
              <a:defRPr sz="899" b="1" i="0" baseline="0">
                <a:latin typeface="Arial" pitchFamily="34" charset="0"/>
              </a:defRPr>
            </a:pPr>
            <a:endParaRPr lang="ru-RU"/>
          </a:p>
        </c:txPr>
        <c:crossAx val="229987840"/>
        <c:crosses val="autoZero"/>
        <c:auto val="1"/>
        <c:lblAlgn val="ctr"/>
        <c:lblOffset val="100"/>
        <c:tickLblSkip val="1"/>
        <c:tickMarkSkip val="1"/>
      </c:catAx>
      <c:valAx>
        <c:axId val="229987840"/>
        <c:scaling>
          <c:orientation val="minMax"/>
          <c:max val="200"/>
          <c:min val="0"/>
        </c:scaling>
        <c:axPos val="l"/>
        <c:majorGridlines>
          <c:spPr>
            <a:ln>
              <a:solidFill>
                <a:schemeClr val="bg1">
                  <a:lumMod val="75000"/>
                </a:schemeClr>
              </a:solidFill>
            </a:ln>
          </c:spPr>
        </c:majorGridlines>
        <c:numFmt formatCode="General" sourceLinked="1"/>
        <c:majorTickMark val="none"/>
        <c:tickLblPos val="nextTo"/>
        <c:spPr>
          <a:ln>
            <a:solidFill>
              <a:schemeClr val="tx1"/>
            </a:solidFill>
          </a:ln>
        </c:spPr>
        <c:txPr>
          <a:bodyPr rot="0" vert="horz"/>
          <a:lstStyle/>
          <a:p>
            <a:pPr>
              <a:defRPr sz="899" b="1" i="0" baseline="0">
                <a:latin typeface="Arial" pitchFamily="34" charset="0"/>
              </a:defRPr>
            </a:pPr>
            <a:endParaRPr lang="ru-RU"/>
          </a:p>
        </c:txPr>
        <c:crossAx val="229986304"/>
        <c:crosses val="autoZero"/>
        <c:crossBetween val="between"/>
        <c:majorUnit val="20"/>
      </c:valAx>
      <c:spPr>
        <a:ln>
          <a:noFill/>
        </a:ln>
      </c:spPr>
    </c:plotArea>
    <c:plotVisOnly val="1"/>
    <c:dispBlanksAs val="gap"/>
  </c:chart>
  <c:spPr>
    <a:ln>
      <a:noFill/>
    </a:ln>
  </c:sp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6.6506751758795724E-2"/>
          <c:y val="8.2732533874961739E-2"/>
          <c:w val="0.89999324856454288"/>
          <c:h val="0.68387353314110932"/>
        </c:manualLayout>
      </c:layout>
      <c:barChart>
        <c:barDir val="col"/>
        <c:grouping val="clustered"/>
        <c:ser>
          <c:idx val="0"/>
          <c:order val="0"/>
          <c:tx>
            <c:strRef>
              <c:f>Sheet1!$A$2:$D$2</c:f>
              <c:strCache>
                <c:ptCount val="1"/>
                <c:pt idx="0">
                  <c:v>показатель заболеваемости</c:v>
                </c:pt>
              </c:strCache>
            </c:strRef>
          </c:tx>
          <c:dLbls>
            <c:dLbl>
              <c:idx val="0"/>
              <c:layout>
                <c:manualLayout>
                  <c:x val="9.169546801379028E-4"/>
                  <c:y val="8.6497315044100076E-3"/>
                </c:manualLayout>
              </c:layout>
              <c:dLblPos val="outEnd"/>
              <c:showVal val="1"/>
            </c:dLbl>
            <c:dLbl>
              <c:idx val="1"/>
              <c:layout>
                <c:manualLayout>
                  <c:x val="-3.7501768751521073E-4"/>
                  <c:y val="9.8180351131021068E-3"/>
                </c:manualLayout>
              </c:layout>
              <c:dLblPos val="outEnd"/>
              <c:showVal val="1"/>
            </c:dLbl>
            <c:dLbl>
              <c:idx val="2"/>
              <c:layout>
                <c:manualLayout>
                  <c:x val="4.9347827364904064E-3"/>
                  <c:y val="-4.0813929437217934E-2"/>
                </c:manualLayout>
              </c:layout>
              <c:dLblPos val="outEnd"/>
              <c:showVal val="1"/>
            </c:dLbl>
            <c:dLbl>
              <c:idx val="3"/>
              <c:layout>
                <c:manualLayout>
                  <c:x val="-7.1206482230536518E-4"/>
                  <c:y val="-2.6806691883425656E-3"/>
                </c:manualLayout>
              </c:layout>
              <c:dLblPos val="outEnd"/>
              <c:showVal val="1"/>
            </c:dLbl>
            <c:dLbl>
              <c:idx val="4"/>
              <c:layout>
                <c:manualLayout>
                  <c:x val="2.1284329666482806E-4"/>
                  <c:y val="1.4584179627724353E-2"/>
                </c:manualLayout>
              </c:layout>
              <c:dLblPos val="outEnd"/>
              <c:showVal val="1"/>
            </c:dLbl>
            <c:dLbl>
              <c:idx val="5"/>
              <c:layout>
                <c:manualLayout>
                  <c:x val="-2.1520868615818602E-3"/>
                  <c:y val="1.1861209835954747E-2"/>
                </c:manualLayout>
              </c:layout>
              <c:dLblPos val="outEnd"/>
              <c:showVal val="1"/>
            </c:dLbl>
            <c:dLbl>
              <c:idx val="6"/>
              <c:layout>
                <c:manualLayout>
                  <c:x val="4.5247087396886963E-3"/>
                  <c:y val="-1.7877329599137633E-2"/>
                </c:manualLayout>
              </c:layout>
              <c:showVal val="1"/>
            </c:dLbl>
            <c:dLbl>
              <c:idx val="7"/>
              <c:layout>
                <c:manualLayout>
                  <c:x val="1.5836449915940007E-2"/>
                  <c:y val="-2.2110140025216878E-2"/>
                </c:manualLayout>
              </c:layout>
              <c:showVal val="1"/>
            </c:dLbl>
            <c:dLbl>
              <c:idx val="8"/>
              <c:layout>
                <c:manualLayout>
                  <c:x val="6.7875080635061424E-3"/>
                  <c:y val="-1.7635067957498099E-2"/>
                </c:manualLayout>
              </c:layout>
              <c:showVal val="1"/>
            </c:dLbl>
            <c:dLbl>
              <c:idx val="10"/>
              <c:layout>
                <c:manualLayout>
                  <c:x val="0"/>
                  <c:y val="7.2766400945163436E-3"/>
                </c:manualLayout>
              </c:layout>
              <c:showVal val="1"/>
            </c:dLbl>
            <c:dLbl>
              <c:idx val="11"/>
              <c:layout>
                <c:manualLayout>
                  <c:x val="-3.562996358795907E-7"/>
                  <c:y val="6.506229205894336E-3"/>
                </c:manualLayout>
              </c:layout>
              <c:showVal val="1"/>
            </c:dLbl>
            <c:dLbl>
              <c:idx val="12"/>
              <c:layout>
                <c:manualLayout>
                  <c:x val="-2.2625026878353906E-3"/>
                  <c:y val="8.8175339787491328E-3"/>
                </c:manualLayout>
              </c:layout>
              <c:showVal val="1"/>
            </c:dLbl>
            <c:numFmt formatCode="0.0" sourceLinked="0"/>
            <c:spPr>
              <a:noFill/>
              <a:ln w="24923">
                <a:noFill/>
              </a:ln>
            </c:spPr>
            <c:txPr>
              <a:bodyPr/>
              <a:lstStyle/>
              <a:p>
                <a:pPr>
                  <a:defRPr sz="883" b="1" i="0" baseline="0">
                    <a:latin typeface="Arial" pitchFamily="34" charset="0"/>
                  </a:defRPr>
                </a:pPr>
                <a:endParaRPr lang="ru-RU"/>
              </a:p>
            </c:txPr>
            <c:showVal val="1"/>
          </c:dLbls>
          <c:trendline>
            <c:spPr>
              <a:ln w="28575">
                <a:solidFill>
                  <a:sysClr val="window" lastClr="FFFFFF">
                    <a:lumMod val="65000"/>
                  </a:sysClr>
                </a:solidFill>
              </a:ln>
            </c:spPr>
            <c:trendlineType val="linear"/>
          </c:trendline>
          <c:cat>
            <c:numRef>
              <c:f>Sheet1!$E$1:$Q$1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Sheet1!$E$2:$Q$2</c:f>
              <c:numCache>
                <c:formatCode>General</c:formatCode>
                <c:ptCount val="13"/>
                <c:pt idx="0">
                  <c:v>73</c:v>
                </c:pt>
                <c:pt idx="1">
                  <c:v>63.9</c:v>
                </c:pt>
                <c:pt idx="2">
                  <c:v>43.1</c:v>
                </c:pt>
                <c:pt idx="3">
                  <c:v>33.300000000000004</c:v>
                </c:pt>
                <c:pt idx="4">
                  <c:v>25.5</c:v>
                </c:pt>
                <c:pt idx="5">
                  <c:v>24.419999999999987</c:v>
                </c:pt>
                <c:pt idx="6">
                  <c:v>26.58</c:v>
                </c:pt>
                <c:pt idx="7">
                  <c:v>21.73</c:v>
                </c:pt>
                <c:pt idx="8">
                  <c:v>19.309999999999999</c:v>
                </c:pt>
                <c:pt idx="9">
                  <c:v>18.53</c:v>
                </c:pt>
                <c:pt idx="10">
                  <c:v>20.36</c:v>
                </c:pt>
                <c:pt idx="11">
                  <c:v>15.7</c:v>
                </c:pt>
                <c:pt idx="12">
                  <c:v>13.62</c:v>
                </c:pt>
              </c:numCache>
            </c:numRef>
          </c:val>
        </c:ser>
        <c:gapWidth val="190"/>
        <c:axId val="228572160"/>
        <c:axId val="230007552"/>
      </c:barChart>
      <c:lineChart>
        <c:grouping val="standard"/>
        <c:ser>
          <c:idx val="1"/>
          <c:order val="1"/>
          <c:tx>
            <c:strRef>
              <c:f>Sheet1!$A$3:$D$3</c:f>
              <c:strCache>
                <c:ptCount val="1"/>
                <c:pt idx="0">
                  <c:v>показатель поражённости</c:v>
                </c:pt>
              </c:strCache>
            </c:strRef>
          </c:tx>
          <c:marker>
            <c:symbol val="square"/>
            <c:size val="19"/>
            <c:spPr>
              <a:gradFill>
                <a:gsLst>
                  <a:gs pos="37000">
                    <a:srgbClr val="F57E1B"/>
                  </a:gs>
                  <a:gs pos="100000">
                    <a:srgbClr val="FFFFFF">
                      <a:gamma/>
                      <a:tint val="0"/>
                      <a:invGamma/>
                    </a:srgbClr>
                  </a:gs>
                </a:gsLst>
                <a:path path="rect">
                  <a:fillToRect l="100000" t="100000"/>
                </a:path>
              </a:gradFill>
            </c:spPr>
          </c:marker>
          <c:dLbls>
            <c:dLbl>
              <c:idx val="0"/>
              <c:layout>
                <c:manualLayout>
                  <c:x val="-5.1472373652886864E-2"/>
                  <c:y val="-2.4569495032220546E-5"/>
                </c:manualLayout>
              </c:layout>
              <c:dLblPos val="r"/>
              <c:showVal val="1"/>
            </c:dLbl>
            <c:dLbl>
              <c:idx val="1"/>
              <c:layout>
                <c:manualLayout>
                  <c:x val="-5.7874331859894511E-2"/>
                  <c:y val="-6.7808057161966523E-3"/>
                </c:manualLayout>
              </c:layout>
              <c:dLblPos val="r"/>
              <c:showVal val="1"/>
            </c:dLbl>
            <c:dLbl>
              <c:idx val="2"/>
              <c:layout>
                <c:manualLayout>
                  <c:x val="-5.4550688430505034E-2"/>
                  <c:y val="3.6346136591651752E-3"/>
                </c:manualLayout>
              </c:layout>
              <c:dLblPos val="r"/>
              <c:showVal val="1"/>
            </c:dLbl>
            <c:dLbl>
              <c:idx val="3"/>
              <c:layout>
                <c:manualLayout>
                  <c:x val="-5.5471295941069997E-2"/>
                  <c:y val="4.5644744247506122E-4"/>
                </c:manualLayout>
              </c:layout>
              <c:dLblPos val="r"/>
              <c:showVal val="1"/>
            </c:dLbl>
            <c:dLbl>
              <c:idx val="4"/>
              <c:layout>
                <c:manualLayout>
                  <c:x val="-5.5212009987337524E-2"/>
                  <c:y val="5.8419362486260475E-3"/>
                </c:manualLayout>
              </c:layout>
              <c:tx>
                <c:rich>
                  <a:bodyPr/>
                  <a:lstStyle/>
                  <a:p>
                    <a:r>
                      <a:rPr lang="en-US"/>
                      <a:t>0,1</a:t>
                    </a:r>
                    <a:r>
                      <a:rPr lang="ru-RU"/>
                      <a:t>3</a:t>
                    </a:r>
                    <a:endParaRPr lang="en-US"/>
                  </a:p>
                </c:rich>
              </c:tx>
              <c:dLblPos val="r"/>
            </c:dLbl>
            <c:dLbl>
              <c:idx val="5"/>
              <c:layout>
                <c:manualLayout>
                  <c:x val="-5.8064516129032434E-2"/>
                  <c:y val="-7.0733863837321607E-3"/>
                </c:manualLayout>
              </c:layout>
              <c:showVal val="1"/>
            </c:dLbl>
            <c:dLbl>
              <c:idx val="6"/>
              <c:layout>
                <c:manualLayout>
                  <c:x val="-5.8439107307030516E-2"/>
                  <c:y val="0"/>
                </c:manualLayout>
              </c:layout>
              <c:showVal val="1"/>
            </c:dLbl>
            <c:dLbl>
              <c:idx val="7"/>
              <c:layout>
                <c:manualLayout>
                  <c:x val="-5.4296504876264431E-2"/>
                  <c:y val="0"/>
                </c:manualLayout>
              </c:layout>
              <c:showVal val="1"/>
            </c:dLbl>
            <c:dLbl>
              <c:idx val="8"/>
              <c:layout>
                <c:manualLayout>
                  <c:x val="-5.4296504876264431E-2"/>
                  <c:y val="0"/>
                </c:manualLayout>
              </c:layout>
              <c:showVal val="1"/>
            </c:dLbl>
            <c:dLbl>
              <c:idx val="9"/>
              <c:layout>
                <c:manualLayout>
                  <c:x val="-5.2034150506420011E-2"/>
                  <c:y val="3.6383200472582438E-3"/>
                </c:manualLayout>
              </c:layout>
              <c:showVal val="1"/>
            </c:dLbl>
            <c:dLbl>
              <c:idx val="10"/>
              <c:layout>
                <c:manualLayout>
                  <c:x val="-5.2008142338073771E-2"/>
                  <c:y val="0"/>
                </c:manualLayout>
              </c:layout>
              <c:showVal val="1"/>
            </c:dLbl>
            <c:dLbl>
              <c:idx val="11"/>
              <c:layout>
                <c:manualLayout>
                  <c:x val="-5.4297035961144123E-2"/>
                  <c:y val="-4.408766989374569E-3"/>
                </c:manualLayout>
              </c:layout>
              <c:showVal val="1"/>
            </c:dLbl>
            <c:dLbl>
              <c:idx val="12"/>
              <c:layout>
                <c:manualLayout>
                  <c:x val="-4.5250053756707556E-2"/>
                  <c:y val="4.4087669893745829E-3"/>
                </c:manualLayout>
              </c:layout>
              <c:showVal val="1"/>
            </c:dLbl>
            <c:spPr>
              <a:noFill/>
              <a:ln w="24923">
                <a:noFill/>
              </a:ln>
            </c:spPr>
            <c:txPr>
              <a:bodyPr/>
              <a:lstStyle/>
              <a:p>
                <a:pPr>
                  <a:defRPr sz="883" b="1" i="0" baseline="0">
                    <a:latin typeface="Arial" pitchFamily="34" charset="0"/>
                  </a:defRPr>
                </a:pPr>
                <a:endParaRPr lang="ru-RU"/>
              </a:p>
            </c:txPr>
            <c:showVal val="1"/>
          </c:dLbls>
          <c:cat>
            <c:numRef>
              <c:f>Sheet1!$E$1:$Q$1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Sheet1!$E$3:$Q$3</c:f>
              <c:numCache>
                <c:formatCode>General</c:formatCode>
                <c:ptCount val="13"/>
                <c:pt idx="0">
                  <c:v>0.30000000000000032</c:v>
                </c:pt>
                <c:pt idx="1">
                  <c:v>0.18000000000000024</c:v>
                </c:pt>
                <c:pt idx="2">
                  <c:v>0.16</c:v>
                </c:pt>
                <c:pt idx="3">
                  <c:v>0.14000000000000001</c:v>
                </c:pt>
                <c:pt idx="4">
                  <c:v>0.14000000000000001</c:v>
                </c:pt>
                <c:pt idx="5">
                  <c:v>0.13</c:v>
                </c:pt>
                <c:pt idx="6">
                  <c:v>0.13</c:v>
                </c:pt>
                <c:pt idx="7">
                  <c:v>0.13</c:v>
                </c:pt>
                <c:pt idx="8">
                  <c:v>0.13</c:v>
                </c:pt>
                <c:pt idx="9">
                  <c:v>0.13</c:v>
                </c:pt>
                <c:pt idx="10">
                  <c:v>0.13</c:v>
                </c:pt>
                <c:pt idx="11">
                  <c:v>0.13</c:v>
                </c:pt>
                <c:pt idx="12">
                  <c:v>0.13</c:v>
                </c:pt>
              </c:numCache>
            </c:numRef>
          </c:val>
        </c:ser>
        <c:marker val="1"/>
        <c:axId val="228572160"/>
        <c:axId val="230007552"/>
      </c:lineChart>
      <c:catAx>
        <c:axId val="228572160"/>
        <c:scaling>
          <c:orientation val="minMax"/>
        </c:scaling>
        <c:axPos val="b"/>
        <c:numFmt formatCode="General" sourceLinked="1"/>
        <c:tickLblPos val="nextTo"/>
        <c:spPr>
          <a:ln>
            <a:solidFill>
              <a:sysClr val="windowText" lastClr="000000"/>
            </a:solidFill>
          </a:ln>
        </c:spPr>
        <c:txPr>
          <a:bodyPr rot="0" vert="horz"/>
          <a:lstStyle/>
          <a:p>
            <a:pPr>
              <a:defRPr sz="883" b="1" i="0" baseline="0">
                <a:latin typeface="Arial" pitchFamily="34" charset="0"/>
              </a:defRPr>
            </a:pPr>
            <a:endParaRPr lang="ru-RU"/>
          </a:p>
        </c:txPr>
        <c:crossAx val="230007552"/>
        <c:crosses val="autoZero"/>
        <c:auto val="1"/>
        <c:lblAlgn val="ctr"/>
        <c:lblOffset val="100"/>
        <c:tickLblSkip val="1"/>
        <c:tickMarkSkip val="1"/>
      </c:catAx>
      <c:valAx>
        <c:axId val="230007552"/>
        <c:scaling>
          <c:orientation val="minMax"/>
        </c:scaling>
        <c:axPos val="l"/>
        <c:majorGridlines>
          <c:spPr>
            <a:ln>
              <a:solidFill>
                <a:sysClr val="window" lastClr="FFFFFF">
                  <a:lumMod val="75000"/>
                </a:sysClr>
              </a:solidFill>
            </a:ln>
          </c:spPr>
        </c:majorGridlines>
        <c:numFmt formatCode="General" sourceLinked="1"/>
        <c:tickLblPos val="nextTo"/>
        <c:spPr>
          <a:ln>
            <a:solidFill>
              <a:sysClr val="windowText" lastClr="000000"/>
            </a:solidFill>
          </a:ln>
        </c:spPr>
        <c:txPr>
          <a:bodyPr rot="0" vert="horz"/>
          <a:lstStyle/>
          <a:p>
            <a:pPr>
              <a:defRPr sz="883" b="1" i="0" baseline="0">
                <a:latin typeface="Arial" pitchFamily="34" charset="0"/>
              </a:defRPr>
            </a:pPr>
            <a:endParaRPr lang="ru-RU"/>
          </a:p>
        </c:txPr>
        <c:crossAx val="228572160"/>
        <c:crosses val="autoZero"/>
        <c:crossBetween val="between"/>
      </c:valAx>
    </c:plotArea>
    <c:legend>
      <c:legendPos val="b"/>
      <c:legendEntry>
        <c:idx val="2"/>
        <c:delete val="1"/>
      </c:legendEntry>
      <c:layout>
        <c:manualLayout>
          <c:xMode val="edge"/>
          <c:yMode val="edge"/>
          <c:x val="3.1765642197951062E-2"/>
          <c:y val="0.90529080490525748"/>
          <c:w val="0.96608788568474435"/>
          <c:h val="9.1220705077777006E-2"/>
        </c:manualLayout>
      </c:layout>
      <c:txPr>
        <a:bodyPr/>
        <a:lstStyle/>
        <a:p>
          <a:pPr>
            <a:defRPr sz="883" baseline="0">
              <a:latin typeface="Arial" pitchFamily="34" charset="0"/>
            </a:defRPr>
          </a:pPr>
          <a:endParaRPr lang="ru-RU"/>
        </a:p>
      </c:txPr>
    </c:legend>
    <c:plotVisOnly val="1"/>
    <c:dispBlanksAs val="gap"/>
  </c:chart>
  <c:spPr>
    <a:ln>
      <a:noFill/>
    </a:ln>
  </c:sp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44435439708404E-2"/>
          <c:y val="4.1662302788475242E-2"/>
          <c:w val="0.88223724415445226"/>
          <c:h val="0.81573019304963934"/>
        </c:manualLayout>
      </c:layout>
      <c:barChart>
        <c:barDir val="col"/>
        <c:grouping val="clustered"/>
        <c:ser>
          <c:idx val="0"/>
          <c:order val="0"/>
          <c:tx>
            <c:strRef>
              <c:f>Sheet1!$A$2:$D$2</c:f>
              <c:strCache>
                <c:ptCount val="1"/>
                <c:pt idx="0">
                  <c:v>Заболеваемоть</c:v>
                </c:pt>
              </c:strCache>
            </c:strRef>
          </c:tx>
          <c:dLbls>
            <c:dLbl>
              <c:idx val="0"/>
              <c:layout>
                <c:manualLayout>
                  <c:x val="-2.3880484755036987E-3"/>
                  <c:y val="-1.1960723147311496E-2"/>
                </c:manualLayout>
              </c:layout>
              <c:numFmt formatCode="General" sourceLinked="0"/>
              <c:spPr/>
              <c:txPr>
                <a:bodyPr/>
                <a:lstStyle/>
                <a:p>
                  <a:pPr>
                    <a:defRPr/>
                  </a:pPr>
                  <a:endParaRPr lang="ru-RU"/>
                </a:p>
              </c:txPr>
              <c:dLblPos val="outEnd"/>
              <c:showVal val="1"/>
            </c:dLbl>
            <c:dLbl>
              <c:idx val="1"/>
              <c:layout>
                <c:manualLayout>
                  <c:x val="-1.1282118781907374E-6"/>
                  <c:y val="1.1384335154826957E-2"/>
                </c:manualLayout>
              </c:layout>
              <c:tx>
                <c:rich>
                  <a:bodyPr/>
                  <a:lstStyle/>
                  <a:p>
                    <a:pPr>
                      <a:defRPr/>
                    </a:pPr>
                    <a:r>
                      <a:rPr lang="en-US"/>
                      <a:t>145</a:t>
                    </a:r>
                    <a:r>
                      <a:rPr lang="ru-RU"/>
                      <a:t>,0</a:t>
                    </a:r>
                    <a:endParaRPr lang="en-US"/>
                  </a:p>
                </c:rich>
              </c:tx>
              <c:numFmt formatCode="General" sourceLinked="0"/>
              <c:spPr/>
              <c:dLblPos val="outEnd"/>
              <c:showVal val="1"/>
            </c:dLbl>
            <c:dLbl>
              <c:idx val="2"/>
              <c:layout>
                <c:manualLayout>
                  <c:x val="4.7766610569464994E-3"/>
                  <c:y val="7.8628106937452483E-3"/>
                </c:manualLayout>
              </c:layout>
              <c:numFmt formatCode="General" sourceLinked="0"/>
              <c:spPr/>
              <c:txPr>
                <a:bodyPr/>
                <a:lstStyle/>
                <a:p>
                  <a:pPr>
                    <a:defRPr/>
                  </a:pPr>
                  <a:endParaRPr lang="ru-RU"/>
                </a:p>
              </c:txPr>
              <c:dLblPos val="outEnd"/>
              <c:showVal val="1"/>
            </c:dLbl>
            <c:dLbl>
              <c:idx val="3"/>
              <c:layout>
                <c:manualLayout>
                  <c:x val="2.3897407933209857E-3"/>
                  <c:y val="-7.2447398993158814E-3"/>
                </c:manualLayout>
              </c:layout>
              <c:numFmt formatCode="General" sourceLinked="0"/>
              <c:spPr/>
              <c:txPr>
                <a:bodyPr/>
                <a:lstStyle/>
                <a:p>
                  <a:pPr>
                    <a:defRPr/>
                  </a:pPr>
                  <a:endParaRPr lang="ru-RU"/>
                </a:p>
              </c:txPr>
              <c:dLblPos val="outEnd"/>
              <c:showVal val="1"/>
            </c:dLbl>
            <c:dLbl>
              <c:idx val="4"/>
              <c:layout>
                <c:manualLayout>
                  <c:x val="-2.3882365108167432E-3"/>
                  <c:y val="-1.1471734578259684E-2"/>
                </c:manualLayout>
              </c:layout>
              <c:numFmt formatCode="General" sourceLinked="0"/>
              <c:spPr/>
              <c:txPr>
                <a:bodyPr/>
                <a:lstStyle/>
                <a:p>
                  <a:pPr>
                    <a:defRPr/>
                  </a:pPr>
                  <a:endParaRPr lang="ru-RU"/>
                </a:p>
              </c:txPr>
              <c:dLblPos val="outEnd"/>
              <c:showVal val="1"/>
            </c:dLbl>
            <c:dLbl>
              <c:idx val="5"/>
              <c:layout>
                <c:manualLayout>
                  <c:x val="-4.7749539752713933E-3"/>
                  <c:y val="5.4512707899453021E-3"/>
                </c:manualLayout>
              </c:layout>
              <c:numFmt formatCode="General" sourceLinked="0"/>
              <c:spPr/>
              <c:txPr>
                <a:bodyPr/>
                <a:lstStyle/>
                <a:p>
                  <a:pPr>
                    <a:defRPr/>
                  </a:pPr>
                  <a:endParaRPr lang="ru-RU"/>
                </a:p>
              </c:txPr>
              <c:dLblPos val="ctr"/>
              <c:showVal val="1"/>
            </c:dLbl>
            <c:numFmt formatCode="General" sourceLinked="0"/>
            <c:dLblPos val="ctr"/>
            <c:showVal val="1"/>
          </c:dLbls>
          <c:cat>
            <c:strRef>
              <c:f>Sheet1!$E$1:$J$1</c:f>
              <c:strCache>
                <c:ptCount val="6"/>
                <c:pt idx="0">
                  <c:v>до 1 года</c:v>
                </c:pt>
                <c:pt idx="1">
                  <c:v>1-2 года</c:v>
                </c:pt>
                <c:pt idx="2">
                  <c:v>3-6 лет</c:v>
                </c:pt>
                <c:pt idx="3">
                  <c:v>7-14 лет</c:v>
                </c:pt>
                <c:pt idx="4">
                  <c:v>15-17 лет</c:v>
                </c:pt>
                <c:pt idx="5">
                  <c:v>взрослые</c:v>
                </c:pt>
              </c:strCache>
            </c:strRef>
          </c:cat>
          <c:val>
            <c:numRef>
              <c:f>Sheet1!$E$2:$J$2</c:f>
              <c:numCache>
                <c:formatCode>General</c:formatCode>
                <c:ptCount val="6"/>
                <c:pt idx="0">
                  <c:v>10.91</c:v>
                </c:pt>
                <c:pt idx="1">
                  <c:v>145</c:v>
                </c:pt>
                <c:pt idx="2">
                  <c:v>118.1</c:v>
                </c:pt>
                <c:pt idx="3">
                  <c:v>56.190000000000012</c:v>
                </c:pt>
                <c:pt idx="4">
                  <c:v>14.26</c:v>
                </c:pt>
                <c:pt idx="5">
                  <c:v>0.82000000000000062</c:v>
                </c:pt>
              </c:numCache>
            </c:numRef>
          </c:val>
        </c:ser>
        <c:dLbls>
          <c:showVal val="1"/>
        </c:dLbls>
        <c:gapWidth val="97"/>
        <c:overlap val="-11"/>
        <c:axId val="229948416"/>
        <c:axId val="138806016"/>
      </c:barChart>
      <c:catAx>
        <c:axId val="229948416"/>
        <c:scaling>
          <c:orientation val="minMax"/>
        </c:scaling>
        <c:axPos val="b"/>
        <c:numFmt formatCode="General" sourceLinked="1"/>
        <c:tickLblPos val="nextTo"/>
        <c:spPr>
          <a:ln>
            <a:solidFill>
              <a:schemeClr val="tx1"/>
            </a:solidFill>
          </a:ln>
        </c:spPr>
        <c:txPr>
          <a:bodyPr rot="0" vert="horz"/>
          <a:lstStyle/>
          <a:p>
            <a:pPr>
              <a:defRPr/>
            </a:pPr>
            <a:endParaRPr lang="ru-RU"/>
          </a:p>
        </c:txPr>
        <c:crossAx val="138806016"/>
        <c:crosses val="autoZero"/>
        <c:auto val="1"/>
        <c:lblAlgn val="ctr"/>
        <c:lblOffset val="100"/>
        <c:tickLblSkip val="1"/>
        <c:tickMarkSkip val="1"/>
      </c:catAx>
      <c:valAx>
        <c:axId val="138806016"/>
        <c:scaling>
          <c:orientation val="minMax"/>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a:pPr>
            <a:endParaRPr lang="ru-RU"/>
          </a:p>
        </c:txPr>
        <c:crossAx val="229948416"/>
        <c:crosses val="autoZero"/>
        <c:crossBetween val="between"/>
      </c:valAx>
    </c:plotArea>
    <c:plotVisOnly val="1"/>
    <c:dispBlanksAs val="gap"/>
  </c:chart>
  <c:spPr>
    <a:ln>
      <a:noFill/>
    </a:ln>
  </c:spPr>
  <c:txPr>
    <a:bodyPr/>
    <a:lstStyle/>
    <a:p>
      <a:pPr>
        <a:defRPr sz="899" b="1" i="0" baseline="0">
          <a:latin typeface="Arial" pitchFamily="34" charset="0"/>
        </a:defRPr>
      </a:pPr>
      <a:endParaRPr lang="ru-RU"/>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29746281714772E-2"/>
          <c:y val="8.4414715719063546E-2"/>
          <c:w val="0.90020366598777957"/>
          <c:h val="0.72888888888890002"/>
        </c:manualLayout>
      </c:layout>
      <c:barChart>
        <c:barDir val="col"/>
        <c:grouping val="clustered"/>
        <c:ser>
          <c:idx val="0"/>
          <c:order val="0"/>
          <c:tx>
            <c:strRef>
              <c:f>Sheet1!$A$2:$D$2</c:f>
              <c:strCache>
                <c:ptCount val="1"/>
                <c:pt idx="0">
                  <c:v>на 100 тыс. нас.</c:v>
                </c:pt>
              </c:strCache>
            </c:strRef>
          </c:tx>
          <c:dLbls>
            <c:dLbl>
              <c:idx val="0"/>
              <c:layout>
                <c:manualLayout>
                  <c:x val="1.3132108486439281E-3"/>
                  <c:y val="-9.3181997735233228E-3"/>
                </c:manualLayout>
              </c:layout>
              <c:dLblPos val="outEnd"/>
              <c:showVal val="1"/>
            </c:dLbl>
            <c:dLbl>
              <c:idx val="1"/>
              <c:layout>
                <c:manualLayout>
                  <c:x val="3.6005249343832092E-3"/>
                  <c:y val="2.0698917652018412E-2"/>
                </c:manualLayout>
              </c:layout>
              <c:dLblPos val="outEnd"/>
              <c:showVal val="1"/>
            </c:dLbl>
            <c:dLbl>
              <c:idx val="2"/>
              <c:layout>
                <c:manualLayout>
                  <c:x val="-5.0159775549153121E-4"/>
                  <c:y val="7.0930810793935414E-3"/>
                </c:manualLayout>
              </c:layout>
              <c:tx>
                <c:rich>
                  <a:bodyPr/>
                  <a:lstStyle/>
                  <a:p>
                    <a:r>
                      <a:rPr lang="ru-RU" sz="895" b="1" i="0" baseline="0">
                        <a:latin typeface="Arial" pitchFamily="34" charset="0"/>
                      </a:rPr>
                      <a:t>0,23</a:t>
                    </a:r>
                  </a:p>
                </c:rich>
              </c:tx>
              <c:dLblPos val="outEnd"/>
            </c:dLbl>
            <c:dLbl>
              <c:idx val="3"/>
              <c:layout>
                <c:manualLayout>
                  <c:x val="-1.3161438807903721E-3"/>
                  <c:y val="1.7990040964505606E-2"/>
                </c:manualLayout>
              </c:layout>
              <c:dLblPos val="outEnd"/>
              <c:showVal val="1"/>
            </c:dLbl>
            <c:dLbl>
              <c:idx val="4"/>
              <c:layout>
                <c:manualLayout>
                  <c:x val="5.3070866141732322E-4"/>
                  <c:y val="6.3248448458992756E-3"/>
                </c:manualLayout>
              </c:layout>
              <c:dLblPos val="outEnd"/>
              <c:showVal val="1"/>
            </c:dLbl>
            <c:dLbl>
              <c:idx val="5"/>
              <c:layout>
                <c:manualLayout>
                  <c:x val="0"/>
                  <c:y val="1.5380671622662708E-2"/>
                </c:manualLayout>
              </c:layout>
              <c:showVal val="1"/>
            </c:dLbl>
            <c:dLbl>
              <c:idx val="6"/>
              <c:layout>
                <c:manualLayout>
                  <c:x val="0"/>
                  <c:y val="6.9990080671354224E-3"/>
                </c:manualLayout>
              </c:layout>
              <c:showVal val="1"/>
            </c:dLbl>
            <c:dLbl>
              <c:idx val="8"/>
              <c:layout>
                <c:manualLayout>
                  <c:x val="0"/>
                  <c:y val="1.3377926421404658E-2"/>
                </c:manualLayout>
              </c:layout>
              <c:showVal val="1"/>
            </c:dLbl>
            <c:dLbl>
              <c:idx val="9"/>
              <c:layout>
                <c:manualLayout>
                  <c:x val="0"/>
                  <c:y val="8.9186176142698227E-3"/>
                </c:manualLayout>
              </c:layout>
              <c:showVal val="1"/>
            </c:dLbl>
            <c:dLbl>
              <c:idx val="10"/>
              <c:layout>
                <c:manualLayout>
                  <c:x val="0"/>
                  <c:y val="1.783723522853958E-2"/>
                </c:manualLayout>
              </c:layout>
              <c:showVal val="1"/>
            </c:dLbl>
            <c:dLbl>
              <c:idx val="11"/>
              <c:layout>
                <c:manualLayout>
                  <c:x val="0"/>
                  <c:y val="1.783723522853958E-2"/>
                </c:manualLayout>
              </c:layout>
              <c:showVal val="1"/>
            </c:dLbl>
            <c:dLbl>
              <c:idx val="12"/>
              <c:layout>
                <c:manualLayout>
                  <c:x val="2.2222222222222292E-3"/>
                  <c:y val="1.3377926421404658E-2"/>
                </c:manualLayout>
              </c:layout>
              <c:showVal val="1"/>
            </c:dLbl>
            <c:txPr>
              <a:bodyPr/>
              <a:lstStyle/>
              <a:p>
                <a:pPr>
                  <a:defRPr sz="895" b="1" i="0" baseline="0">
                    <a:latin typeface="Arial" pitchFamily="34" charset="0"/>
                  </a:defRPr>
                </a:pPr>
                <a:endParaRPr lang="ru-RU"/>
              </a:p>
            </c:txPr>
            <c:showVal val="1"/>
          </c:dLbls>
          <c:cat>
            <c:numRef>
              <c:f>Sheet1!$E$1:$Q$1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Sheet1!$E$2:$Q$2</c:f>
              <c:numCache>
                <c:formatCode>General</c:formatCode>
                <c:ptCount val="13"/>
                <c:pt idx="0">
                  <c:v>1.33</c:v>
                </c:pt>
                <c:pt idx="1">
                  <c:v>0.31000000000000116</c:v>
                </c:pt>
                <c:pt idx="2">
                  <c:v>0.23</c:v>
                </c:pt>
                <c:pt idx="3">
                  <c:v>0.47000000000000008</c:v>
                </c:pt>
                <c:pt idx="4">
                  <c:v>8.0000000000000043E-2</c:v>
                </c:pt>
                <c:pt idx="5">
                  <c:v>0</c:v>
                </c:pt>
                <c:pt idx="6">
                  <c:v>8.0000000000000043E-2</c:v>
                </c:pt>
                <c:pt idx="7">
                  <c:v>0.16</c:v>
                </c:pt>
                <c:pt idx="8">
                  <c:v>0</c:v>
                </c:pt>
                <c:pt idx="9">
                  <c:v>0.25</c:v>
                </c:pt>
                <c:pt idx="10">
                  <c:v>0</c:v>
                </c:pt>
                <c:pt idx="11">
                  <c:v>0</c:v>
                </c:pt>
                <c:pt idx="12">
                  <c:v>0</c:v>
                </c:pt>
              </c:numCache>
            </c:numRef>
          </c:val>
        </c:ser>
        <c:dLbls>
          <c:showVal val="1"/>
        </c:dLbls>
        <c:gapWidth val="190"/>
        <c:axId val="138850304"/>
        <c:axId val="138851840"/>
      </c:barChart>
      <c:catAx>
        <c:axId val="138850304"/>
        <c:scaling>
          <c:orientation val="minMax"/>
        </c:scaling>
        <c:axPos val="b"/>
        <c:numFmt formatCode="General" sourceLinked="1"/>
        <c:tickLblPos val="nextTo"/>
        <c:spPr>
          <a:ln>
            <a:solidFill>
              <a:schemeClr val="tx1"/>
            </a:solidFill>
          </a:ln>
        </c:spPr>
        <c:txPr>
          <a:bodyPr rot="0" vert="horz"/>
          <a:lstStyle/>
          <a:p>
            <a:pPr>
              <a:defRPr sz="895" b="1" i="0" baseline="0">
                <a:latin typeface="Arial" pitchFamily="34" charset="0"/>
              </a:defRPr>
            </a:pPr>
            <a:endParaRPr lang="ru-RU"/>
          </a:p>
        </c:txPr>
        <c:crossAx val="138851840"/>
        <c:crosses val="autoZero"/>
        <c:auto val="1"/>
        <c:lblAlgn val="ctr"/>
        <c:lblOffset val="100"/>
        <c:tickLblSkip val="1"/>
        <c:tickMarkSkip val="1"/>
      </c:catAx>
      <c:valAx>
        <c:axId val="138851840"/>
        <c:scaling>
          <c:orientation val="minMax"/>
          <c:max val="1.6"/>
        </c:scaling>
        <c:axPos val="l"/>
        <c:majorGridlines>
          <c:spPr>
            <a:ln>
              <a:solidFill>
                <a:schemeClr val="bg1">
                  <a:lumMod val="75000"/>
                </a:schemeClr>
              </a:solidFill>
            </a:ln>
          </c:spPr>
        </c:majorGridlines>
        <c:numFmt formatCode="General" sourceLinked="1"/>
        <c:tickLblPos val="nextTo"/>
        <c:spPr>
          <a:ln>
            <a:solidFill>
              <a:schemeClr val="tx1"/>
            </a:solidFill>
          </a:ln>
        </c:spPr>
        <c:txPr>
          <a:bodyPr rot="0" vert="horz"/>
          <a:lstStyle/>
          <a:p>
            <a:pPr>
              <a:defRPr sz="895" b="1" i="0" baseline="0">
                <a:latin typeface="Arial" pitchFamily="34" charset="0"/>
              </a:defRPr>
            </a:pPr>
            <a:endParaRPr lang="ru-RU"/>
          </a:p>
        </c:txPr>
        <c:crossAx val="138850304"/>
        <c:crosses val="autoZero"/>
        <c:crossBetween val="between"/>
      </c:valAx>
    </c:plotArea>
    <c:plotVisOnly val="1"/>
    <c:dispBlanksAs val="gap"/>
  </c:chart>
  <c:spPr>
    <a:ln>
      <a:noFill/>
    </a:ln>
  </c:sp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330"/>
      <c:perspective val="0"/>
    </c:view3D>
    <c:plotArea>
      <c:layout>
        <c:manualLayout>
          <c:layoutTarget val="inner"/>
          <c:xMode val="edge"/>
          <c:yMode val="edge"/>
          <c:x val="0.1743223534436977"/>
          <c:y val="0.34295275590551288"/>
          <c:w val="0.57927868942030969"/>
          <c:h val="0.43806736657917938"/>
        </c:manualLayout>
      </c:layout>
      <c:pie3DChart>
        <c:varyColors val="1"/>
        <c:ser>
          <c:idx val="0"/>
          <c:order val="0"/>
          <c:spPr>
            <a:solidFill>
              <a:srgbClr val="9999FF"/>
            </a:solidFill>
            <a:ln w="10397">
              <a:solidFill>
                <a:schemeClr val="bg1">
                  <a:lumMod val="75000"/>
                </a:schemeClr>
              </a:solidFill>
              <a:prstDash val="solid"/>
            </a:ln>
          </c:spPr>
          <c:explosion val="17"/>
          <c:dPt>
            <c:idx val="0"/>
            <c:spPr>
              <a:solidFill>
                <a:srgbClr val="FF3399"/>
              </a:solidFill>
              <a:ln w="10397">
                <a:solidFill>
                  <a:schemeClr val="bg1">
                    <a:lumMod val="75000"/>
                  </a:schemeClr>
                </a:solidFill>
                <a:prstDash val="solid"/>
              </a:ln>
            </c:spPr>
          </c:dPt>
          <c:dPt>
            <c:idx val="1"/>
            <c:spPr>
              <a:solidFill>
                <a:srgbClr val="000000"/>
              </a:solidFill>
              <a:ln w="10397">
                <a:solidFill>
                  <a:schemeClr val="bg1">
                    <a:lumMod val="75000"/>
                  </a:schemeClr>
                </a:solidFill>
                <a:prstDash val="solid"/>
              </a:ln>
            </c:spPr>
          </c:dPt>
          <c:dPt>
            <c:idx val="2"/>
            <c:spPr>
              <a:solidFill>
                <a:srgbClr val="7CF6FC"/>
              </a:solidFill>
              <a:ln w="10397">
                <a:solidFill>
                  <a:schemeClr val="bg1">
                    <a:lumMod val="75000"/>
                  </a:schemeClr>
                </a:solidFill>
                <a:prstDash val="solid"/>
              </a:ln>
            </c:spPr>
          </c:dPt>
          <c:dPt>
            <c:idx val="3"/>
            <c:spPr>
              <a:solidFill>
                <a:srgbClr val="FFFF00"/>
              </a:solidFill>
              <a:ln w="10397">
                <a:solidFill>
                  <a:schemeClr val="bg1">
                    <a:lumMod val="75000"/>
                  </a:schemeClr>
                </a:solidFill>
                <a:prstDash val="solid"/>
              </a:ln>
            </c:spPr>
          </c:dPt>
          <c:dPt>
            <c:idx val="4"/>
            <c:explosion val="19"/>
            <c:spPr>
              <a:pattFill prst="shingle">
                <a:fgClr>
                  <a:srgbClr val="000000"/>
                </a:fgClr>
                <a:bgClr>
                  <a:srgbClr val="FFFFFF"/>
                </a:bgClr>
              </a:pattFill>
              <a:ln w="10397">
                <a:solidFill>
                  <a:schemeClr val="bg1">
                    <a:lumMod val="75000"/>
                  </a:schemeClr>
                </a:solidFill>
                <a:prstDash val="solid"/>
              </a:ln>
            </c:spPr>
          </c:dPt>
          <c:dPt>
            <c:idx val="5"/>
            <c:spPr>
              <a:solidFill>
                <a:srgbClr val="92D050"/>
              </a:solidFill>
              <a:ln w="10397">
                <a:solidFill>
                  <a:schemeClr val="bg1">
                    <a:lumMod val="75000"/>
                  </a:schemeClr>
                </a:solidFill>
                <a:prstDash val="solid"/>
              </a:ln>
            </c:spPr>
          </c:dPt>
          <c:dPt>
            <c:idx val="6"/>
            <c:spPr>
              <a:solidFill>
                <a:srgbClr val="00B0F0"/>
              </a:solidFill>
              <a:ln w="10397">
                <a:solidFill>
                  <a:schemeClr val="bg1">
                    <a:lumMod val="75000"/>
                  </a:schemeClr>
                </a:solidFill>
                <a:prstDash val="solid"/>
              </a:ln>
            </c:spPr>
          </c:dPt>
          <c:dLbls>
            <c:dLbl>
              <c:idx val="0"/>
              <c:layout>
                <c:manualLayout>
                  <c:x val="-0.16487868971565417"/>
                  <c:y val="6.4665791776027992E-2"/>
                </c:manualLayout>
              </c:layout>
              <c:dLblPos val="bestFit"/>
              <c:showCatName val="1"/>
              <c:showPercent val="1"/>
            </c:dLbl>
            <c:dLbl>
              <c:idx val="1"/>
              <c:layout>
                <c:manualLayout>
                  <c:x val="-0.16582545576845234"/>
                  <c:y val="-9.8719160104987727E-2"/>
                </c:manualLayout>
              </c:layout>
              <c:dLblPos val="bestFit"/>
              <c:showCatName val="1"/>
              <c:showPercent val="1"/>
            </c:dLbl>
            <c:dLbl>
              <c:idx val="2"/>
              <c:layout>
                <c:manualLayout>
                  <c:x val="3.0866529983355439E-2"/>
                  <c:y val="-0.10430927384076992"/>
                </c:manualLayout>
              </c:layout>
              <c:dLblPos val="bestFit"/>
              <c:showCatName val="1"/>
              <c:showPercent val="1"/>
            </c:dLbl>
            <c:dLbl>
              <c:idx val="3"/>
              <c:layout>
                <c:manualLayout>
                  <c:x val="0.10868686003534175"/>
                  <c:y val="-0.17533377077865267"/>
                </c:manualLayout>
              </c:layout>
              <c:dLblPos val="bestFit"/>
              <c:showCatName val="1"/>
              <c:showPercent val="1"/>
            </c:dLbl>
            <c:dLbl>
              <c:idx val="4"/>
              <c:layout>
                <c:manualLayout>
                  <c:x val="5.3918778954217123E-2"/>
                  <c:y val="-7.51894138232721E-2"/>
                </c:manualLayout>
              </c:layout>
              <c:dLblPos val="bestFit"/>
              <c:showCatName val="1"/>
              <c:showPercent val="1"/>
            </c:dLbl>
            <c:dLbl>
              <c:idx val="5"/>
              <c:layout>
                <c:manualLayout>
                  <c:x val="5.0550551197264947E-2"/>
                  <c:y val="4.1090551181102372E-2"/>
                </c:manualLayout>
              </c:layout>
              <c:dLblPos val="bestFit"/>
              <c:showCatName val="1"/>
              <c:showPercent val="1"/>
            </c:dLbl>
            <c:dLbl>
              <c:idx val="6"/>
              <c:layout>
                <c:manualLayout>
                  <c:x val="-6.7466818424890704E-2"/>
                  <c:y val="4.0304461942257924E-2"/>
                </c:manualLayout>
              </c:layout>
              <c:dLblPos val="bestFit"/>
              <c:showCatName val="1"/>
              <c:showPercent val="1"/>
            </c:dLbl>
            <c:numFmt formatCode="0.0%" sourceLinked="0"/>
            <c:spPr>
              <a:noFill/>
              <a:ln w="20794">
                <a:noFill/>
              </a:ln>
            </c:spPr>
            <c:txPr>
              <a:bodyPr/>
              <a:lstStyle/>
              <a:p>
                <a:pPr>
                  <a:defRPr sz="800" b="1" i="0" u="none" strike="noStrike" baseline="0">
                    <a:solidFill>
                      <a:srgbClr val="000000"/>
                    </a:solidFill>
                    <a:latin typeface="Arial"/>
                    <a:ea typeface="Arial"/>
                    <a:cs typeface="Arial"/>
                  </a:defRPr>
                </a:pPr>
                <a:endParaRPr lang="ru-RU"/>
              </a:p>
            </c:txPr>
            <c:showCatName val="1"/>
            <c:showPercent val="1"/>
            <c:showLeaderLines val="1"/>
          </c:dLbls>
          <c:cat>
            <c:strRef>
              <c:f>Sheet1!$B$1:$H$1</c:f>
              <c:strCache>
                <c:ptCount val="7"/>
                <c:pt idx="0">
                  <c:v>вода открытых водоёмов</c:v>
                </c:pt>
                <c:pt idx="1">
                  <c:v>сточная вода</c:v>
                </c:pt>
                <c:pt idx="2">
                  <c:v>вода бассейнов</c:v>
                </c:pt>
                <c:pt idx="3">
                  <c:v>почва</c:v>
                </c:pt>
                <c:pt idx="4">
                  <c:v>вода питьевая</c:v>
                </c:pt>
                <c:pt idx="5">
                  <c:v>пищевые продукты</c:v>
                </c:pt>
                <c:pt idx="6">
                  <c:v>смывы</c:v>
                </c:pt>
              </c:strCache>
            </c:strRef>
          </c:cat>
          <c:val>
            <c:numRef>
              <c:f>Sheet1!$B$2:$H$2</c:f>
              <c:numCache>
                <c:formatCode>General</c:formatCode>
                <c:ptCount val="7"/>
                <c:pt idx="0">
                  <c:v>384</c:v>
                </c:pt>
                <c:pt idx="1">
                  <c:v>128</c:v>
                </c:pt>
                <c:pt idx="2">
                  <c:v>6</c:v>
                </c:pt>
                <c:pt idx="3">
                  <c:v>719</c:v>
                </c:pt>
                <c:pt idx="4">
                  <c:v>95</c:v>
                </c:pt>
                <c:pt idx="5">
                  <c:v>523</c:v>
                </c:pt>
                <c:pt idx="6">
                  <c:v>1989</c:v>
                </c:pt>
              </c:numCache>
            </c:numRef>
          </c:val>
        </c:ser>
        <c:dLbls>
          <c:showCatName val="1"/>
          <c:showPercent val="1"/>
        </c:dLbls>
      </c:pie3DChart>
      <c:spPr>
        <a:noFill/>
        <a:ln w="20786">
          <a:noFill/>
        </a:ln>
      </c:spPr>
    </c:plotArea>
    <c:plotVisOnly val="1"/>
    <c:dispBlanksAs val="zero"/>
  </c:chart>
  <c:spPr>
    <a:noFill/>
    <a:ln>
      <a:noFill/>
    </a:ln>
  </c:spPr>
  <c:txPr>
    <a:bodyPr/>
    <a:lstStyle/>
    <a:p>
      <a:pPr>
        <a:defRPr sz="389" b="0" i="0" u="none" strike="noStrike" baseline="0">
          <a:solidFill>
            <a:srgbClr val="000000"/>
          </a:solidFill>
          <a:latin typeface="Arial"/>
          <a:ea typeface="Arial"/>
          <a:cs typeface="Arial"/>
        </a:defRPr>
      </a:pPr>
      <a:endParaRPr lang="ru-RU"/>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manualLayout>
          <c:layoutTarget val="inner"/>
          <c:xMode val="edge"/>
          <c:yMode val="edge"/>
          <c:x val="5.9151448174241492E-2"/>
          <c:y val="8.3333333333333565E-2"/>
          <c:w val="0.91843971631205679"/>
          <c:h val="0.75793650793650791"/>
        </c:manualLayout>
      </c:layout>
      <c:barChart>
        <c:barDir val="col"/>
        <c:grouping val="clustered"/>
        <c:ser>
          <c:idx val="0"/>
          <c:order val="0"/>
          <c:tx>
            <c:strRef>
              <c:f>Sheet1!$A$2:$D$2</c:f>
              <c:strCache>
                <c:ptCount val="1"/>
              </c:strCache>
            </c:strRef>
          </c:tx>
          <c:spPr>
            <a:gradFill>
              <a:gsLst>
                <a:gs pos="0">
                  <a:srgbClr val="FFF200"/>
                </a:gs>
                <a:gs pos="45000">
                  <a:srgbClr val="FF7A00"/>
                </a:gs>
                <a:gs pos="70000">
                  <a:srgbClr val="FF0300"/>
                </a:gs>
                <a:gs pos="100000">
                  <a:srgbClr val="4D0808"/>
                </a:gs>
              </a:gsLst>
              <a:lin ang="5400000" scaled="0"/>
            </a:gradFill>
            <a:scene3d>
              <a:camera prst="orthographicFront"/>
              <a:lightRig rig="threePt" dir="t">
                <a:rot lat="0" lon="0" rev="1200000"/>
              </a:lightRig>
            </a:scene3d>
            <a:sp3d>
              <a:bevelB/>
            </a:sp3d>
          </c:spPr>
          <c:dLbls>
            <c:dLbl>
              <c:idx val="0"/>
              <c:layout>
                <c:manualLayout>
                  <c:x val="2.3051065985174543E-3"/>
                  <c:y val="9.4823743185948328E-2"/>
                </c:manualLayout>
              </c:layout>
              <c:dLblPos val="outEnd"/>
              <c:showVal val="1"/>
            </c:dLbl>
            <c:dLbl>
              <c:idx val="1"/>
              <c:layout>
                <c:manualLayout>
                  <c:x val="3.4258875535296684E-5"/>
                  <c:y val="9.6829396325465431E-2"/>
                </c:manualLayout>
              </c:layout>
              <c:dLblPos val="outEnd"/>
              <c:showVal val="1"/>
            </c:dLbl>
            <c:dLbl>
              <c:idx val="2"/>
              <c:layout>
                <c:manualLayout>
                  <c:x val="-2.7280011051250812E-3"/>
                  <c:y val="9.4010902483343747E-2"/>
                </c:manualLayout>
              </c:layout>
              <c:dLblPos val="outEnd"/>
              <c:showVal val="1"/>
            </c:dLbl>
            <c:dLbl>
              <c:idx val="3"/>
              <c:layout>
                <c:manualLayout>
                  <c:x val="1.4526868351982861E-3"/>
                  <c:y val="0.10432949727437917"/>
                </c:manualLayout>
              </c:layout>
              <c:dLblPos val="outEnd"/>
              <c:showVal val="1"/>
            </c:dLbl>
            <c:dLbl>
              <c:idx val="4"/>
              <c:layout>
                <c:manualLayout>
                  <c:x val="-7.4356494911827849E-4"/>
                  <c:y val="0.10151140722794265"/>
                </c:manualLayout>
              </c:layout>
              <c:dLblPos val="outEnd"/>
              <c:showVal val="1"/>
            </c:dLbl>
            <c:dLbl>
              <c:idx val="5"/>
              <c:layout>
                <c:manualLayout>
                  <c:x val="0"/>
                  <c:y val="0.10256410256410402"/>
                </c:manualLayout>
              </c:layout>
              <c:tx>
                <c:rich>
                  <a:bodyPr/>
                  <a:lstStyle/>
                  <a:p>
                    <a:r>
                      <a:rPr lang="en-US" sz="900" baseline="0"/>
                      <a:t>72</a:t>
                    </a:r>
                    <a:r>
                      <a:rPr lang="ru-RU" sz="900" baseline="0"/>
                      <a:t>,0</a:t>
                    </a:r>
                    <a:endParaRPr lang="en-US" sz="900" baseline="0"/>
                  </a:p>
                </c:rich>
              </c:tx>
              <c:showVal val="1"/>
            </c:dLbl>
            <c:dLbl>
              <c:idx val="6"/>
              <c:layout>
                <c:manualLayout>
                  <c:x val="2.3391812865497076E-3"/>
                  <c:y val="8.7179487179487175E-2"/>
                </c:manualLayout>
              </c:layout>
              <c:showVal val="1"/>
            </c:dLbl>
            <c:txPr>
              <a:bodyPr/>
              <a:lstStyle/>
              <a:p>
                <a:pPr>
                  <a:defRPr sz="900" b="1" i="0" baseline="0">
                    <a:latin typeface="Arial" pitchFamily="34" charset="0"/>
                  </a:defRPr>
                </a:pPr>
                <a:endParaRPr lang="ru-RU"/>
              </a:p>
            </c:txPr>
            <c:showVal val="1"/>
          </c:dLbls>
          <c:cat>
            <c:numRef>
              <c:f>Sheet1!$E$1:$K$1</c:f>
              <c:numCache>
                <c:formatCode>General</c:formatCode>
                <c:ptCount val="7"/>
                <c:pt idx="0">
                  <c:v>2015</c:v>
                </c:pt>
                <c:pt idx="1">
                  <c:v>2016</c:v>
                </c:pt>
                <c:pt idx="2">
                  <c:v>2017</c:v>
                </c:pt>
                <c:pt idx="3">
                  <c:v>2018</c:v>
                </c:pt>
                <c:pt idx="4">
                  <c:v>2019</c:v>
                </c:pt>
                <c:pt idx="5">
                  <c:v>2020</c:v>
                </c:pt>
                <c:pt idx="6">
                  <c:v>2021</c:v>
                </c:pt>
              </c:numCache>
            </c:numRef>
          </c:cat>
          <c:val>
            <c:numRef>
              <c:f>Sheet1!$E$2:$K$2</c:f>
              <c:numCache>
                <c:formatCode>General</c:formatCode>
                <c:ptCount val="7"/>
                <c:pt idx="0">
                  <c:v>70.7</c:v>
                </c:pt>
                <c:pt idx="1">
                  <c:v>71.5</c:v>
                </c:pt>
                <c:pt idx="2">
                  <c:v>71.3</c:v>
                </c:pt>
                <c:pt idx="3">
                  <c:v>70.099999999999994</c:v>
                </c:pt>
                <c:pt idx="4">
                  <c:v>71.8</c:v>
                </c:pt>
                <c:pt idx="5">
                  <c:v>72</c:v>
                </c:pt>
                <c:pt idx="6">
                  <c:v>74.099999999999994</c:v>
                </c:pt>
              </c:numCache>
            </c:numRef>
          </c:val>
        </c:ser>
        <c:dLbls>
          <c:showVal val="1"/>
        </c:dLbls>
        <c:axId val="139392128"/>
        <c:axId val="139393664"/>
      </c:barChart>
      <c:catAx>
        <c:axId val="139392128"/>
        <c:scaling>
          <c:orientation val="minMax"/>
        </c:scaling>
        <c:axPos val="b"/>
        <c:numFmt formatCode="General" sourceLinked="1"/>
        <c:tickLblPos val="nextTo"/>
        <c:txPr>
          <a:bodyPr rot="0" vert="horz"/>
          <a:lstStyle/>
          <a:p>
            <a:pPr>
              <a:defRPr sz="900" b="1" i="0" baseline="0">
                <a:latin typeface="Arial" pitchFamily="34" charset="0"/>
              </a:defRPr>
            </a:pPr>
            <a:endParaRPr lang="ru-RU"/>
          </a:p>
        </c:txPr>
        <c:crossAx val="139393664"/>
        <c:crossesAt val="0"/>
        <c:auto val="1"/>
        <c:lblAlgn val="ctr"/>
        <c:lblOffset val="100"/>
        <c:tickLblSkip val="1"/>
        <c:tickMarkSkip val="1"/>
      </c:catAx>
      <c:valAx>
        <c:axId val="139393664"/>
        <c:scaling>
          <c:orientation val="minMax"/>
          <c:min val="0"/>
        </c:scaling>
        <c:axPos val="l"/>
        <c:majorGridlines>
          <c:spPr>
            <a:ln>
              <a:solidFill>
                <a:schemeClr val="bg1">
                  <a:lumMod val="65000"/>
                </a:schemeClr>
              </a:solidFill>
            </a:ln>
          </c:spPr>
        </c:majorGridlines>
        <c:numFmt formatCode="General" sourceLinked="1"/>
        <c:tickLblPos val="nextTo"/>
        <c:txPr>
          <a:bodyPr rot="0" vert="horz"/>
          <a:lstStyle/>
          <a:p>
            <a:pPr>
              <a:defRPr sz="900" b="1" i="0" baseline="0">
                <a:latin typeface="Arial" pitchFamily="34" charset="0"/>
              </a:defRPr>
            </a:pPr>
            <a:endParaRPr lang="ru-RU"/>
          </a:p>
        </c:txPr>
        <c:crossAx val="139392128"/>
        <c:crosses val="autoZero"/>
        <c:crossBetween val="between"/>
        <c:majorUnit val="10"/>
      </c:valAx>
    </c:plotArea>
    <c:plotVisOnly val="1"/>
    <c:dispBlanksAs val="gap"/>
  </c:chart>
  <c:spPr>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style val="15"/>
  <c:chart>
    <c:plotArea>
      <c:layout>
        <c:manualLayout>
          <c:layoutTarget val="inner"/>
          <c:xMode val="edge"/>
          <c:yMode val="edge"/>
          <c:x val="8.2162458643940464E-2"/>
          <c:y val="3.9043209402120665E-2"/>
          <c:w val="0.89238380427479214"/>
          <c:h val="0.735346166164624"/>
        </c:manualLayout>
      </c:layout>
      <c:barChart>
        <c:barDir val="col"/>
        <c:grouping val="clustered"/>
        <c:ser>
          <c:idx val="0"/>
          <c:order val="0"/>
          <c:tx>
            <c:strRef>
              <c:f>Лист1!$B$1</c:f>
              <c:strCache>
                <c:ptCount val="1"/>
                <c:pt idx="0">
                  <c:v>2018</c:v>
                </c:pt>
              </c:strCache>
            </c:strRef>
          </c:tx>
          <c:spPr>
            <a:solidFill>
              <a:srgbClr val="D1EBFF"/>
            </a:solidFill>
          </c:spPr>
          <c:dLbls>
            <c:dLbl>
              <c:idx val="0"/>
              <c:layout>
                <c:manualLayout>
                  <c:x val="-2.1377027303850211E-3"/>
                  <c:y val="-7.8661446117203146E-17"/>
                </c:manualLayout>
              </c:layout>
              <c:dLblPos val="outEnd"/>
              <c:showVal val="1"/>
            </c:dLbl>
            <c:dLbl>
              <c:idx val="1"/>
              <c:layout>
                <c:manualLayout>
                  <c:x val="0"/>
                  <c:y val="8.5813477986477968E-3"/>
                </c:manualLayout>
              </c:layout>
              <c:dLblPos val="outEnd"/>
              <c:showVal val="1"/>
            </c:dLbl>
            <c:dLbl>
              <c:idx val="2"/>
              <c:layout>
                <c:manualLayout>
                  <c:x val="-4.2754054607701524E-3"/>
                  <c:y val="-4.2906738993239591E-3"/>
                </c:manualLayout>
              </c:layout>
              <c:dLblPos val="outEnd"/>
              <c:showVal val="1"/>
            </c:dLbl>
            <c:dLbl>
              <c:idx val="3"/>
              <c:layout>
                <c:manualLayout>
                  <c:x val="-2.1377027303850211E-3"/>
                  <c:y val="1.716269559729559E-2"/>
                </c:manualLayout>
              </c:layout>
              <c:dLblPos val="outEnd"/>
              <c:showVal val="1"/>
            </c:dLbl>
            <c:txPr>
              <a:bodyPr/>
              <a:lstStyle/>
              <a:p>
                <a:pPr>
                  <a:defRPr sz="900" b="1" i="0" baseline="0">
                    <a:latin typeface="Arial" pitchFamily="34" charset="0"/>
                  </a:defRPr>
                </a:pPr>
                <a:endParaRPr lang="ru-RU"/>
              </a:p>
            </c:txPr>
            <c:dLblPos val="outEnd"/>
            <c:showVal val="1"/>
          </c:dLbls>
          <c:cat>
            <c:strRef>
              <c:f>Лист1!$A$2:$A$5</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Лист1!$B$2:$B$5</c:f>
              <c:numCache>
                <c:formatCode>General</c:formatCode>
                <c:ptCount val="4"/>
                <c:pt idx="0">
                  <c:v>176</c:v>
                </c:pt>
                <c:pt idx="1">
                  <c:v>631</c:v>
                </c:pt>
                <c:pt idx="2">
                  <c:v>354</c:v>
                </c:pt>
                <c:pt idx="3">
                  <c:v>854</c:v>
                </c:pt>
              </c:numCache>
            </c:numRef>
          </c:val>
        </c:ser>
        <c:ser>
          <c:idx val="1"/>
          <c:order val="1"/>
          <c:tx>
            <c:strRef>
              <c:f>Лист1!$C$1</c:f>
              <c:strCache>
                <c:ptCount val="1"/>
                <c:pt idx="0">
                  <c:v>2019</c:v>
                </c:pt>
              </c:strCache>
            </c:strRef>
          </c:tx>
          <c:spPr>
            <a:solidFill>
              <a:srgbClr val="66B4FA"/>
            </a:solidFill>
          </c:spPr>
          <c:dLbls>
            <c:dLbl>
              <c:idx val="0"/>
              <c:layout>
                <c:manualLayout>
                  <c:x val="0"/>
                  <c:y val="8.5813477986477968E-3"/>
                </c:manualLayout>
              </c:layout>
              <c:dLblPos val="outEnd"/>
              <c:showVal val="1"/>
            </c:dLbl>
            <c:dLbl>
              <c:idx val="1"/>
              <c:layout>
                <c:manualLayout>
                  <c:x val="4.2754054607700414E-3"/>
                  <c:y val="8.5813477986477708E-3"/>
                </c:manualLayout>
              </c:layout>
              <c:dLblPos val="outEnd"/>
              <c:showVal val="1"/>
            </c:dLbl>
            <c:dLbl>
              <c:idx val="2"/>
              <c:layout>
                <c:manualLayout>
                  <c:x val="0"/>
                  <c:y val="1.2872021697971721E-2"/>
                </c:manualLayout>
              </c:layout>
              <c:dLblPos val="outEnd"/>
              <c:showVal val="1"/>
            </c:dLbl>
            <c:dLbl>
              <c:idx val="3"/>
              <c:layout>
                <c:manualLayout>
                  <c:x val="2.1377027303850211E-3"/>
                  <c:y val="8.5813477986477708E-3"/>
                </c:manualLayout>
              </c:layout>
              <c:dLblPos val="outEnd"/>
              <c:showVal val="1"/>
            </c:dLbl>
            <c:txPr>
              <a:bodyPr/>
              <a:lstStyle/>
              <a:p>
                <a:pPr>
                  <a:defRPr sz="900" b="1" i="0" baseline="0">
                    <a:latin typeface="Arial" pitchFamily="34" charset="0"/>
                  </a:defRPr>
                </a:pPr>
                <a:endParaRPr lang="ru-RU"/>
              </a:p>
            </c:txPr>
            <c:dLblPos val="outEnd"/>
            <c:showVal val="1"/>
          </c:dLbls>
          <c:cat>
            <c:strRef>
              <c:f>Лист1!$A$2:$A$5</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Лист1!$C$2:$C$5</c:f>
              <c:numCache>
                <c:formatCode>General</c:formatCode>
                <c:ptCount val="4"/>
                <c:pt idx="0">
                  <c:v>310</c:v>
                </c:pt>
                <c:pt idx="1">
                  <c:v>587</c:v>
                </c:pt>
                <c:pt idx="2">
                  <c:v>329</c:v>
                </c:pt>
                <c:pt idx="3">
                  <c:v>602</c:v>
                </c:pt>
              </c:numCache>
            </c:numRef>
          </c:val>
        </c:ser>
        <c:ser>
          <c:idx val="2"/>
          <c:order val="2"/>
          <c:tx>
            <c:strRef>
              <c:f>Лист1!$D$1</c:f>
              <c:strCache>
                <c:ptCount val="1"/>
                <c:pt idx="0">
                  <c:v>2020</c:v>
                </c:pt>
              </c:strCache>
            </c:strRef>
          </c:tx>
          <c:spPr>
            <a:solidFill>
              <a:srgbClr val="006EC0"/>
            </a:solidFill>
          </c:spPr>
          <c:dLbls>
            <c:dLbl>
              <c:idx val="0"/>
              <c:layout>
                <c:manualLayout>
                  <c:x val="0"/>
                  <c:y val="1.2872021697971721E-2"/>
                </c:manualLayout>
              </c:layout>
              <c:dLblPos val="outEnd"/>
              <c:showVal val="1"/>
            </c:dLbl>
            <c:dLbl>
              <c:idx val="2"/>
              <c:layout>
                <c:manualLayout>
                  <c:x val="7.8381527977354364E-17"/>
                  <c:y val="1.716269559729567E-2"/>
                </c:manualLayout>
              </c:layout>
              <c:dLblPos val="outEnd"/>
              <c:showVal val="1"/>
            </c:dLbl>
            <c:txPr>
              <a:bodyPr/>
              <a:lstStyle/>
              <a:p>
                <a:pPr>
                  <a:defRPr sz="900" b="1" i="0" baseline="0">
                    <a:latin typeface="Arial" pitchFamily="34" charset="0"/>
                  </a:defRPr>
                </a:pPr>
                <a:endParaRPr lang="ru-RU"/>
              </a:p>
            </c:txPr>
            <c:dLblPos val="outEnd"/>
            <c:showVal val="1"/>
          </c:dLbls>
          <c:cat>
            <c:strRef>
              <c:f>Лист1!$A$2:$A$5</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Лист1!$D$2:$D$5</c:f>
              <c:numCache>
                <c:formatCode>General</c:formatCode>
                <c:ptCount val="4"/>
                <c:pt idx="0">
                  <c:v>75</c:v>
                </c:pt>
                <c:pt idx="1">
                  <c:v>163</c:v>
                </c:pt>
                <c:pt idx="2">
                  <c:v>123</c:v>
                </c:pt>
                <c:pt idx="3">
                  <c:v>161</c:v>
                </c:pt>
              </c:numCache>
            </c:numRef>
          </c:val>
        </c:ser>
        <c:ser>
          <c:idx val="3"/>
          <c:order val="3"/>
          <c:tx>
            <c:strRef>
              <c:f>Лист1!$E$1</c:f>
              <c:strCache>
                <c:ptCount val="1"/>
                <c:pt idx="0">
                  <c:v>2021</c:v>
                </c:pt>
              </c:strCache>
            </c:strRef>
          </c:tx>
          <c:spPr>
            <a:solidFill>
              <a:srgbClr val="004F8A"/>
            </a:solidFill>
          </c:spPr>
          <c:dLbls>
            <c:dLbl>
              <c:idx val="0"/>
              <c:layout>
                <c:manualLayout>
                  <c:x val="0"/>
                  <c:y val="4.2906738993239591E-3"/>
                </c:manualLayout>
              </c:layout>
              <c:dLblPos val="outEnd"/>
              <c:showVal val="1"/>
            </c:dLbl>
            <c:dLbl>
              <c:idx val="1"/>
              <c:layout>
                <c:manualLayout>
                  <c:x val="0"/>
                  <c:y val="1.716269559729559E-2"/>
                </c:manualLayout>
              </c:layout>
              <c:dLblPos val="outEnd"/>
              <c:showVal val="1"/>
            </c:dLbl>
            <c:dLbl>
              <c:idx val="2"/>
              <c:layout>
                <c:manualLayout>
                  <c:x val="-7.8381527977354364E-17"/>
                  <c:y val="8.5813477986477968E-3"/>
                </c:manualLayout>
              </c:layout>
              <c:dLblPos val="outEnd"/>
              <c:showVal val="1"/>
            </c:dLbl>
            <c:dLbl>
              <c:idx val="3"/>
              <c:layout>
                <c:manualLayout>
                  <c:x val="0"/>
                  <c:y val="8.5813477986477968E-3"/>
                </c:manualLayout>
              </c:layout>
              <c:dLblPos val="outEnd"/>
              <c:showVal val="1"/>
            </c:dLbl>
            <c:txPr>
              <a:bodyPr/>
              <a:lstStyle/>
              <a:p>
                <a:pPr>
                  <a:defRPr sz="900" b="1" i="0" baseline="0">
                    <a:latin typeface="Arial" pitchFamily="34" charset="0"/>
                  </a:defRPr>
                </a:pPr>
                <a:endParaRPr lang="ru-RU"/>
              </a:p>
            </c:txPr>
            <c:dLblPos val="outEnd"/>
            <c:showVal val="1"/>
          </c:dLbls>
          <c:cat>
            <c:strRef>
              <c:f>Лист1!$A$2:$A$5</c:f>
              <c:strCache>
                <c:ptCount val="4"/>
                <c:pt idx="0">
                  <c:v>в отношении ИП</c:v>
                </c:pt>
                <c:pt idx="1">
                  <c:v>в отношении граждан</c:v>
                </c:pt>
                <c:pt idx="2">
                  <c:v>в отношении юридических лиц</c:v>
                </c:pt>
                <c:pt idx="3">
                  <c:v>в отношении должностных лиц</c:v>
                </c:pt>
              </c:strCache>
            </c:strRef>
          </c:cat>
          <c:val>
            <c:numRef>
              <c:f>Лист1!$E$2:$E$5</c:f>
              <c:numCache>
                <c:formatCode>General</c:formatCode>
                <c:ptCount val="4"/>
                <c:pt idx="0">
                  <c:v>987</c:v>
                </c:pt>
                <c:pt idx="1">
                  <c:v>420</c:v>
                </c:pt>
                <c:pt idx="2">
                  <c:v>205</c:v>
                </c:pt>
                <c:pt idx="3">
                  <c:v>308</c:v>
                </c:pt>
              </c:numCache>
            </c:numRef>
          </c:val>
        </c:ser>
        <c:dLbls>
          <c:showVal val="1"/>
        </c:dLbls>
        <c:axId val="140035584"/>
        <c:axId val="140037120"/>
      </c:barChart>
      <c:catAx>
        <c:axId val="140035584"/>
        <c:scaling>
          <c:orientation val="minMax"/>
        </c:scaling>
        <c:axPos val="b"/>
        <c:tickLblPos val="nextTo"/>
        <c:txPr>
          <a:bodyPr/>
          <a:lstStyle/>
          <a:p>
            <a:pPr>
              <a:defRPr sz="900" b="1" i="0" baseline="0">
                <a:latin typeface="Arial" pitchFamily="34" charset="0"/>
              </a:defRPr>
            </a:pPr>
            <a:endParaRPr lang="ru-RU"/>
          </a:p>
        </c:txPr>
        <c:crossAx val="140037120"/>
        <c:crosses val="autoZero"/>
        <c:auto val="1"/>
        <c:lblAlgn val="ctr"/>
        <c:lblOffset val="100"/>
      </c:catAx>
      <c:valAx>
        <c:axId val="140037120"/>
        <c:scaling>
          <c:orientation val="minMax"/>
        </c:scaling>
        <c:axPos val="l"/>
        <c:majorGridlines/>
        <c:numFmt formatCode="General" sourceLinked="1"/>
        <c:tickLblPos val="nextTo"/>
        <c:txPr>
          <a:bodyPr/>
          <a:lstStyle/>
          <a:p>
            <a:pPr>
              <a:defRPr sz="900" b="1" i="0" baseline="0">
                <a:latin typeface="Arial" pitchFamily="34" charset="0"/>
              </a:defRPr>
            </a:pPr>
            <a:endParaRPr lang="ru-RU"/>
          </a:p>
        </c:txPr>
        <c:crossAx val="140035584"/>
        <c:crosses val="autoZero"/>
        <c:crossBetween val="between"/>
      </c:valAx>
    </c:plotArea>
    <c:legend>
      <c:legendPos val="b"/>
      <c:layout>
        <c:manualLayout>
          <c:xMode val="edge"/>
          <c:yMode val="edge"/>
          <c:x val="0.14319527038172145"/>
          <c:y val="0.94302064696087595"/>
          <c:w val="0.68665688564012195"/>
          <c:h val="5.697935303912418E-2"/>
        </c:manualLayout>
      </c:layout>
      <c:txPr>
        <a:bodyPr/>
        <a:lstStyle/>
        <a:p>
          <a:pPr>
            <a:defRPr sz="900" baseline="0">
              <a:latin typeface="Arial" pitchFamily="34" charset="0"/>
            </a:defRPr>
          </a:pPr>
          <a:endParaRPr lang="ru-RU"/>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view3D>
      <c:rotY val="210"/>
      <c:perspective val="0"/>
    </c:view3D>
    <c:plotArea>
      <c:layout>
        <c:manualLayout>
          <c:layoutTarget val="inner"/>
          <c:xMode val="edge"/>
          <c:yMode val="edge"/>
          <c:x val="0.20308816172803759"/>
          <c:y val="0.14071374073806406"/>
          <c:w val="0.60959339850462035"/>
          <c:h val="0.66150080395084465"/>
        </c:manualLayout>
      </c:layout>
      <c:pie3DChart>
        <c:varyColors val="1"/>
        <c:ser>
          <c:idx val="0"/>
          <c:order val="0"/>
          <c:explosion val="15"/>
          <c:dPt>
            <c:idx val="0"/>
            <c:spPr>
              <a:solidFill>
                <a:schemeClr val="tx2">
                  <a:lumMod val="60000"/>
                  <a:lumOff val="40000"/>
                </a:schemeClr>
              </a:solidFill>
            </c:spPr>
          </c:dPt>
          <c:dPt>
            <c:idx val="1"/>
            <c:spPr>
              <a:solidFill>
                <a:srgbClr val="92D050"/>
              </a:solidFill>
            </c:spPr>
          </c:dPt>
          <c:dPt>
            <c:idx val="2"/>
            <c:spPr>
              <a:solidFill>
                <a:srgbClr val="7FF1DE"/>
              </a:solidFill>
            </c:spPr>
          </c:dPt>
          <c:dPt>
            <c:idx val="3"/>
            <c:spPr>
              <a:solidFill>
                <a:srgbClr val="AB4BAD"/>
              </a:solidFill>
            </c:spPr>
          </c:dPt>
          <c:dPt>
            <c:idx val="4"/>
            <c:spPr>
              <a:solidFill>
                <a:srgbClr val="FFFF00"/>
              </a:solidFill>
            </c:spPr>
          </c:dPt>
          <c:dPt>
            <c:idx val="5"/>
            <c:spPr>
              <a:solidFill>
                <a:srgbClr val="FF0000"/>
              </a:solidFill>
            </c:spPr>
          </c:dPt>
          <c:dLbls>
            <c:dLbl>
              <c:idx val="0"/>
              <c:layout>
                <c:manualLayout>
                  <c:x val="-2.6633077596053822E-2"/>
                  <c:y val="7.1627508244597946E-2"/>
                </c:manualLayout>
              </c:layout>
              <c:tx>
                <c:rich>
                  <a:bodyPr/>
                  <a:lstStyle/>
                  <a:p>
                    <a:r>
                      <a:rPr lang="ru-RU"/>
                      <a:t>Новообразования 15,9%</a:t>
                    </a:r>
                  </a:p>
                </c:rich>
              </c:tx>
              <c:dLblPos val="outEnd"/>
              <c:showVal val="1"/>
              <c:showCatName val="1"/>
            </c:dLbl>
            <c:dLbl>
              <c:idx val="1"/>
              <c:layout>
                <c:manualLayout>
                  <c:x val="-2.9054266468421616E-2"/>
                  <c:y val="0.14976660814779838"/>
                </c:manualLayout>
              </c:layout>
              <c:tx>
                <c:rich>
                  <a:bodyPr/>
                  <a:lstStyle/>
                  <a:p>
                    <a:r>
                      <a:rPr lang="ru-RU"/>
                      <a:t>Травмы, отравления и др. последствия воздействия внешних причин 6,5%</a:t>
                    </a:r>
                  </a:p>
                </c:rich>
              </c:tx>
              <c:dLblPos val="outEnd"/>
              <c:showVal val="1"/>
              <c:showCatName val="1"/>
            </c:dLbl>
            <c:dLbl>
              <c:idx val="2"/>
              <c:layout>
                <c:manualLayout>
                  <c:x val="-6.7793288426317863E-2"/>
                  <c:y val="-1.3023183317199661E-2"/>
                </c:manualLayout>
              </c:layout>
              <c:tx>
                <c:rich>
                  <a:bodyPr/>
                  <a:lstStyle/>
                  <a:p>
                    <a:r>
                      <a:rPr lang="ru-RU"/>
                      <a:t>Прочие 9,7%</a:t>
                    </a:r>
                  </a:p>
                </c:rich>
              </c:tx>
              <c:dLblPos val="outEnd"/>
              <c:showVal val="1"/>
              <c:showCatName val="1"/>
            </c:dLbl>
            <c:dLbl>
              <c:idx val="3"/>
              <c:layout>
                <c:manualLayout>
                  <c:x val="-6.7793288426317863E-2"/>
                  <c:y val="-9.7673874878997188E-2"/>
                </c:manualLayout>
              </c:layout>
              <c:tx>
                <c:rich>
                  <a:bodyPr/>
                  <a:lstStyle/>
                  <a:p>
                    <a:r>
                      <a:rPr lang="ru-RU"/>
                      <a:t>Болезни органов пищеварения 6,0%</a:t>
                    </a:r>
                  </a:p>
                </c:rich>
              </c:tx>
              <c:dLblPos val="outEnd"/>
              <c:showVal val="1"/>
              <c:showCatName val="1"/>
            </c:dLbl>
            <c:dLbl>
              <c:idx val="4"/>
              <c:layout>
                <c:manualLayout>
                  <c:x val="0.17190440993816225"/>
                  <c:y val="-3.2557958292999074E-2"/>
                </c:manualLayout>
              </c:layout>
              <c:tx>
                <c:rich>
                  <a:bodyPr/>
                  <a:lstStyle/>
                  <a:p>
                    <a:r>
                      <a:rPr lang="ru-RU"/>
                      <a:t>Болезни органов дыхания 9,4%</a:t>
                    </a:r>
                  </a:p>
                </c:rich>
              </c:tx>
              <c:dLblPos val="outEnd"/>
              <c:showVal val="1"/>
              <c:showCatName val="1"/>
            </c:dLbl>
            <c:dLbl>
              <c:idx val="5"/>
              <c:layout>
                <c:manualLayout>
                  <c:x val="1.6948322106579209E-2"/>
                  <c:y val="7.8139099903197784E-2"/>
                </c:manualLayout>
              </c:layout>
              <c:tx>
                <c:rich>
                  <a:bodyPr/>
                  <a:lstStyle/>
                  <a:p>
                    <a:r>
                      <a:rPr lang="ru-RU"/>
                      <a:t>Болезни системы кровообращения 43,5%</a:t>
                    </a:r>
                  </a:p>
                </c:rich>
              </c:tx>
              <c:dLblPos val="outEnd"/>
              <c:showVal val="1"/>
              <c:showCatName val="1"/>
            </c:dLbl>
            <c:dLbl>
              <c:idx val="6"/>
              <c:layout>
                <c:manualLayout>
                  <c:x val="0.12348063249079139"/>
                  <c:y val="7.8139099903197784E-2"/>
                </c:manualLayout>
              </c:layout>
              <c:tx>
                <c:rich>
                  <a:bodyPr/>
                  <a:lstStyle/>
                  <a:p>
                    <a:r>
                      <a:rPr lang="ru-RU"/>
                      <a:t>Болезни эндокринной системы 2,1%</a:t>
                    </a:r>
                  </a:p>
                </c:rich>
              </c:tx>
              <c:dLblPos val="bestFit"/>
              <c:showVal val="1"/>
              <c:showCatName val="1"/>
            </c:dLbl>
            <c:dLbl>
              <c:idx val="7"/>
              <c:layout>
                <c:manualLayout>
                  <c:x val="-0.10895349925658072"/>
                  <c:y val="9.1162283220397239E-2"/>
                </c:manualLayout>
              </c:layout>
              <c:tx>
                <c:rich>
                  <a:bodyPr/>
                  <a:lstStyle/>
                  <a:p>
                    <a:r>
                      <a:rPr lang="ru-RU"/>
                      <a:t>Болезни нервной ситсемы 6,9%</a:t>
                    </a:r>
                  </a:p>
                </c:rich>
              </c:tx>
              <c:dLblPos val="outEnd"/>
              <c:showVal val="1"/>
              <c:showCatName val="1"/>
            </c:dLbl>
            <c:txPr>
              <a:bodyPr/>
              <a:lstStyle/>
              <a:p>
                <a:pPr>
                  <a:defRPr sz="700" b="1">
                    <a:latin typeface="Arial" pitchFamily="34" charset="0"/>
                    <a:cs typeface="Arial" pitchFamily="34" charset="0"/>
                  </a:defRPr>
                </a:pPr>
                <a:endParaRPr lang="ru-RU"/>
              </a:p>
            </c:txPr>
            <c:dLblPos val="outEnd"/>
            <c:showVal val="1"/>
            <c:showCatName val="1"/>
            <c:showLeaderLines val="1"/>
          </c:dLbls>
          <c:cat>
            <c:strRef>
              <c:f>Sheet1!$B$1:$I$1</c:f>
              <c:strCache>
                <c:ptCount val="8"/>
                <c:pt idx="0">
                  <c:v>Новообразования</c:v>
                </c:pt>
                <c:pt idx="1">
                  <c:v>Травмы, отравления и др. последствия воздействия внешних причин</c:v>
                </c:pt>
                <c:pt idx="2">
                  <c:v>Прочие</c:v>
                </c:pt>
                <c:pt idx="3">
                  <c:v>Болезни органов пищеварения</c:v>
                </c:pt>
                <c:pt idx="4">
                  <c:v>Болезни органов дыхания</c:v>
                </c:pt>
                <c:pt idx="5">
                  <c:v>Болезни системы кровообращения</c:v>
                </c:pt>
                <c:pt idx="6">
                  <c:v>Болезни эндокринной системы</c:v>
                </c:pt>
                <c:pt idx="7">
                  <c:v>Болезни нервной ситсемы</c:v>
                </c:pt>
              </c:strCache>
            </c:strRef>
          </c:cat>
          <c:val>
            <c:numRef>
              <c:f>Sheet1!$B$2:$I$2</c:f>
              <c:numCache>
                <c:formatCode>0.0%</c:formatCode>
                <c:ptCount val="8"/>
                <c:pt idx="0">
                  <c:v>0.15900000000000139</c:v>
                </c:pt>
                <c:pt idx="1">
                  <c:v>6.5000000000000002E-2</c:v>
                </c:pt>
                <c:pt idx="2">
                  <c:v>9.7000000000000003E-2</c:v>
                </c:pt>
                <c:pt idx="3">
                  <c:v>6.0000000000000032E-2</c:v>
                </c:pt>
                <c:pt idx="4">
                  <c:v>9.4000000000000028E-2</c:v>
                </c:pt>
                <c:pt idx="5">
                  <c:v>0.43500000000000238</c:v>
                </c:pt>
                <c:pt idx="6" formatCode="0.00%">
                  <c:v>2.1000000000000012E-2</c:v>
                </c:pt>
                <c:pt idx="7" formatCode="0.00%">
                  <c:v>6.9000000000000034E-2</c:v>
                </c:pt>
              </c:numCache>
            </c:numRef>
          </c:val>
        </c:ser>
        <c:dLbls>
          <c:showVal val="1"/>
        </c:dLbls>
      </c:pie3DChart>
    </c:plotArea>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7F59DF-9FF2-4007-801C-F08E2103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6226</TotalTime>
  <Pages>184</Pages>
  <Words>52573</Words>
  <Characters>299668</Characters>
  <Application>Microsoft Office Word</Application>
  <DocSecurity>0</DocSecurity>
  <Lines>2497</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Печикина И.В.</Company>
  <LinksUpToDate>false</LinksUpToDate>
  <CharactersWithSpaces>351538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kokorevasn</dc:creator>
  <cp:keywords/>
  <dc:description/>
  <cp:lastModifiedBy>kokoreva</cp:lastModifiedBy>
  <cp:revision>89</cp:revision>
  <cp:lastPrinted>2021-03-30T05:50:00Z</cp:lastPrinted>
  <dcterms:created xsi:type="dcterms:W3CDTF">2020-03-02T08:53:00Z</dcterms:created>
  <dcterms:modified xsi:type="dcterms:W3CDTF">2022-03-09T08:36:00Z</dcterms:modified>
</cp:coreProperties>
</file>